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-457200</wp:posOffset>
                </wp:positionV>
                <wp:extent cx="5715000" cy="1828800"/>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5715000" cy="1828800"/>
                        </a:xfrm>
                        <a:prstGeom prst="rect">
                          <a:avLst/>
                        </a:prstGeom>
                        <a:noFill/>
                        <a:ln w="6350">
                          <a:noFill/>
                        </a:ln>
                      </wps:spPr>
                      <wps:txbx>
                        <w:txbxContent>
                          <w:p>
                            <w:pPr>
                              <w:jc w:val="distribute"/>
                              <w:rPr>
                                <w:rFonts w:hint="default" w:eastAsia="方正小标宋简体"/>
                                <w:lang w:val="en-US" w:eastAsia="zh-CN"/>
                              </w:rPr>
                            </w:pPr>
                          </w:p>
                        </w:txbxContent>
                      </wps:txbx>
                      <wps:bodyPr vert="horz" wrap="square" anchor="t" anchorCtr="0" upright="1">
                        <a:spAutoFit/>
                      </wps:bodyPr>
                    </wps:wsp>
                  </a:graphicData>
                </a:graphic>
              </wp:anchor>
            </w:drawing>
          </mc:Choice>
          <mc:Fallback>
            <w:pict>
              <v:shape id="文本框 3" o:spid="_x0000_s1026" o:spt="202" type="#_x0000_t202" style="position:absolute;left:0pt;margin-left:3pt;margin-top:-36pt;height:144pt;width:450pt;mso-wrap-distance-bottom:0pt;mso-wrap-distance-left:9pt;mso-wrap-distance-right:9pt;mso-wrap-distance-top:0pt;z-index:251659264;mso-width-relative:page;mso-height-relative:page;" filled="f" stroked="f" coordsize="21600,21600" o:gfxdata="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6bD8C0wAAAAkBAAAPAAAAAAAAAAEAIAAAACIAAABkcnMvZG93bnJldi54bWxQ&#10;SwECFAAUAAAACACHTuJA0kn1Q8MBAABXAwAADgAAAAAAAAABACAAAAAiAQAAZHJzL2Uyb0RvYy54&#10;bWxQSwUGAAAAAAYABgBZAQAAVwUAAAAA&#10;">
                <v:fill on="f" focussize="0,0"/>
                <v:stroke on="f" weight="0.5pt"/>
                <v:imagedata o:title=""/>
                <o:lock v:ext="edit" aspectratio="f"/>
                <v:textbox style="mso-fit-shape-to-text:t;">
                  <w:txbxContent>
                    <w:p>
                      <w:pPr>
                        <w:jc w:val="distribute"/>
                        <w:rPr>
                          <w:rFonts w:hint="default" w:eastAsia="方正小标宋简体"/>
                          <w:lang w:val="en-US" w:eastAsia="zh-CN"/>
                        </w:rPr>
                      </w:pPr>
                    </w:p>
                  </w:txbxContent>
                </v:textbox>
                <w10:wrap type="square"/>
              </v:shape>
            </w:pict>
          </mc:Fallback>
        </mc:AlternateContent>
      </w:r>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12</w:t>
      </w:r>
      <w:r>
        <w:rPr>
          <w:rFonts w:hint="eastAsia" w:ascii="仿宋_GB2312" w:hAnsi="仿宋_GB2312" w:eastAsia="仿宋_GB2312" w:cs="仿宋_GB2312"/>
          <w:sz w:val="32"/>
          <w:szCs w:val="32"/>
          <w:highlight w:val="none"/>
          <w:u w:val="none"/>
        </w:rPr>
        <w:t>号</w:t>
      </w:r>
    </w:p>
    <w:p>
      <w:pPr>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当事人：广州市电子商务技工学校</w:t>
      </w:r>
    </w:p>
    <w:p>
      <w:pPr>
        <w:pStyle w:val="2"/>
        <w:rPr>
          <w:rFonts w:hint="default"/>
          <w:lang w:val="en-US" w:eastAsia="zh-CN"/>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pStyle w:val="2"/>
        <w:ind w:left="0" w:leftChars="0" w:firstLine="0" w:firstLineChars="0"/>
        <w:rPr>
          <w:rFonts w:hint="eastAsia" w:ascii="仿宋_GB2312" w:hAnsi="Times New Roman" w:eastAsia="仿宋_GB2312" w:cs="Times New Roman"/>
          <w:kern w:val="2"/>
          <w:sz w:val="32"/>
          <w:szCs w:val="32"/>
          <w:lang w:val="en-US" w:eastAsia="zh-CN" w:bidi="ar-SA"/>
        </w:rPr>
      </w:pPr>
      <w:r>
        <w:rPr>
          <w:rFonts w:hint="default" w:ascii="仿宋_GB2312" w:eastAsia="仿宋_GB2312" w:cs="Times New Roman"/>
          <w:kern w:val="2"/>
          <w:sz w:val="32"/>
          <w:szCs w:val="32"/>
          <w:lang w:eastAsia="zh-CN" w:bidi="ar-SA"/>
        </w:rPr>
        <w:t xml:space="preserve">    </w:t>
      </w:r>
      <w:r>
        <w:rPr>
          <w:rFonts w:hint="eastAsia" w:ascii="仿宋_GB2312" w:hAnsi="Times New Roman" w:eastAsia="仿宋_GB2312" w:cs="Times New Roman"/>
          <w:kern w:val="2"/>
          <w:sz w:val="32"/>
          <w:szCs w:val="32"/>
          <w:lang w:val="en-US" w:eastAsia="zh-CN" w:bidi="ar-SA"/>
        </w:rPr>
        <w:t>当事人</w:t>
      </w:r>
      <w:bookmarkStart w:id="0" w:name="_GoBack"/>
      <w:bookmarkEnd w:id="0"/>
      <w:r>
        <w:rPr>
          <w:rFonts w:hint="eastAsia" w:ascii="仿宋_GB2312" w:hAnsi="Times New Roman" w:eastAsia="仿宋_GB2312" w:cs="Times New Roman"/>
          <w:kern w:val="2"/>
          <w:sz w:val="32"/>
          <w:szCs w:val="32"/>
          <w:lang w:val="en-US" w:eastAsia="zh-CN" w:bidi="ar-SA"/>
        </w:rPr>
        <w:t>经营全日制中级技工教育项目，于2009年建成并投入使用。经营过程中产生的饭堂废水、生活废水通过三级化粪池过滤，经自建生活污水处理系统处理后外排至坭村河涌。</w:t>
      </w:r>
    </w:p>
    <w:p>
      <w:pPr>
        <w:pStyle w:val="2"/>
        <w:ind w:left="0" w:leftChars="0" w:firstLine="0" w:firstLineChars="0"/>
        <w:rPr>
          <w:rFonts w:hint="eastAsia" w:ascii="仿宋_GB2312" w:hAnsi="Times New Roman" w:eastAsia="仿宋_GB2312" w:cs="Times New Roman"/>
          <w:spacing w:val="-20"/>
          <w:kern w:val="2"/>
          <w:sz w:val="32"/>
          <w:szCs w:val="32"/>
          <w:lang w:val="en-US" w:eastAsia="zh-CN" w:bidi="ar-SA"/>
        </w:rPr>
      </w:pPr>
      <w:r>
        <w:rPr>
          <w:rFonts w:hint="default" w:ascii="仿宋_GB2312" w:hAnsi="仿宋_GB2312" w:eastAsia="仿宋_GB2312" w:cs="仿宋_GB2312"/>
          <w:kern w:val="2"/>
          <w:sz w:val="32"/>
          <w:szCs w:val="32"/>
          <w:lang w:eastAsia="zh-CN" w:bidi="ar-SA"/>
        </w:rPr>
        <w:t xml:space="preserve">    </w:t>
      </w:r>
      <w:r>
        <w:rPr>
          <w:rFonts w:hint="eastAsia" w:ascii="仿宋_GB2312" w:hAnsi="Times New Roman" w:eastAsia="仿宋_GB2312" w:cs="Times New Roman"/>
          <w:kern w:val="2"/>
          <w:sz w:val="32"/>
          <w:szCs w:val="32"/>
          <w:lang w:val="en-US" w:eastAsia="zh-CN" w:bidi="ar-SA"/>
        </w:rPr>
        <w:t>2022年3月9日, 当事人正常经营，废水处理设施正在运行，我局委托广东省科学院测试分析研究所（中国广州分析测试中心）对当事人污水站清水池出水口(编号:水-01)外排废水进行采样监测，监测报告结果显示，总磷浓度为3.54mg/L，氨氮浓度为40.9mg/L，分别超过广东省地方标准《水污染物排放限值》（DB44/26-2001）中规定的第二时段一级标准污染物最高允许排放浓度限值（总磷：0.5mg/L、氨氮：10mg/L），总磷超标6.08倍、氨氮超标3.09倍。另查明，</w:t>
      </w:r>
      <w:r>
        <w:rPr>
          <w:rFonts w:hint="eastAsia" w:ascii="仿宋_GB2312" w:hAnsi="Times New Roman" w:eastAsia="仿宋_GB2312" w:cs="Times New Roman"/>
          <w:spacing w:val="-20"/>
          <w:kern w:val="2"/>
          <w:sz w:val="32"/>
          <w:szCs w:val="32"/>
          <w:lang w:val="en-US" w:eastAsia="zh-CN" w:bidi="ar-SA"/>
        </w:rPr>
        <w:t>当事人废水日均排放量约为248m³。</w:t>
      </w:r>
    </w:p>
    <w:p>
      <w:pPr>
        <w:pStyle w:val="2"/>
        <w:rPr>
          <w:rFonts w:hint="eastAsia" w:ascii="仿宋_GB2312" w:hAnsi="Times New Roman" w:eastAsia="仿宋_GB2312" w:cs="Times New Roman"/>
          <w:kern w:val="2"/>
          <w:sz w:val="32"/>
          <w:szCs w:val="32"/>
          <w:lang w:val="en-US" w:eastAsia="zh-CN" w:bidi="ar-SA"/>
        </w:rPr>
      </w:pPr>
      <w:r>
        <w:rPr>
          <w:rFonts w:hint="default" w:ascii="仿宋_GB2312" w:eastAsia="仿宋_GB2312" w:cs="Times New Roman"/>
          <w:kern w:val="2"/>
          <w:sz w:val="32"/>
          <w:szCs w:val="32"/>
          <w:lang w:eastAsia="zh-CN" w:bidi="ar-SA"/>
        </w:rPr>
        <w:t xml:space="preserve"> </w:t>
      </w:r>
      <w:r>
        <w:rPr>
          <w:rFonts w:hint="eastAsia" w:ascii="仿宋_GB2312" w:hAnsi="Times New Roman" w:eastAsia="仿宋_GB2312" w:cs="Times New Roman"/>
          <w:kern w:val="2"/>
          <w:sz w:val="32"/>
          <w:szCs w:val="32"/>
          <w:lang w:val="en-US" w:eastAsia="zh-CN" w:bidi="ar-SA"/>
        </w:rPr>
        <w:t>以上事实，有《现场检查（勘察）笔录》《调查询问笔录》</w:t>
      </w:r>
    </w:p>
    <w:p>
      <w:pPr>
        <w:pStyle w:val="2"/>
        <w:ind w:left="0" w:leftChars="0" w:firstLine="0" w:firstLineChars="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《监测报告》、现场检查照片、营业执照复印件等证据材料予以证实。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eastAsia="仿宋_GB2312"/>
          <w:sz w:val="32"/>
          <w:szCs w:val="32"/>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《中华人民共和国水污染防治法》第十条的规定。我局于</w:t>
      </w:r>
      <w:r>
        <w:rPr>
          <w:rFonts w:hint="eastAsia" w:ascii="仿宋_GB2312" w:eastAsia="仿宋_GB2312"/>
          <w:sz w:val="32"/>
          <w:szCs w:val="32"/>
          <w:lang w:val="en-US" w:eastAsia="zh-CN" w:bidi="ar-SA"/>
        </w:rPr>
        <w:t>2022年5月7日向当事人送达《行政处罚听证告知书》（穗环（南）罚告〔2022〕33号），告知当事人拟作出的处罚内容及事实、理由、依据，并告知了陈述、申辩和要求听证的权利。</w:t>
      </w:r>
      <w:r>
        <w:rPr>
          <w:rFonts w:hint="default" w:ascii="仿宋_GB2312" w:eastAsia="仿宋_GB2312"/>
          <w:sz w:val="32"/>
          <w:szCs w:val="32"/>
          <w:lang w:eastAsia="zh-CN" w:bidi="ar-SA"/>
        </w:rPr>
        <w:t>当事人于同</w:t>
      </w:r>
      <w:r>
        <w:rPr>
          <w:rFonts w:hint="eastAsia" w:ascii="仿宋_GB2312" w:eastAsia="仿宋_GB2312"/>
          <w:sz w:val="32"/>
          <w:szCs w:val="32"/>
          <w:lang w:val="en-US" w:eastAsia="zh-CN" w:bidi="ar-SA"/>
        </w:rPr>
        <w:t>月12日向我局提交《公开道歉、承诺守法从轻处罚申请书》及《关于污水处理整改情况的报告》等整改证明材料。</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w:t>
      </w:r>
      <w:r>
        <w:rPr>
          <w:rFonts w:hint="eastAsia" w:ascii="仿宋_GB2312" w:eastAsia="仿宋_GB2312" w:cs="Times New Roman"/>
          <w:kern w:val="2"/>
          <w:sz w:val="32"/>
          <w:szCs w:val="32"/>
          <w:highlight w:val="none"/>
          <w:lang w:val="en-US" w:eastAsia="zh-CN" w:bidi="ar-SA"/>
        </w:rPr>
        <w:t>5</w:t>
      </w:r>
      <w:r>
        <w:rPr>
          <w:rFonts w:hint="eastAsia" w:ascii="仿宋_GB2312" w:hAnsi="Times New Roman" w:eastAsia="仿宋_GB2312" w:cs="Times New Roman"/>
          <w:kern w:val="2"/>
          <w:sz w:val="32"/>
          <w:szCs w:val="32"/>
          <w:highlight w:val="none"/>
          <w:lang w:val="en-US" w:eastAsia="zh-CN" w:bidi="ar-SA"/>
        </w:rPr>
        <w:t>月</w:t>
      </w:r>
      <w:r>
        <w:rPr>
          <w:rFonts w:hint="eastAsia" w:ascii="仿宋_GB2312" w:eastAsia="仿宋_GB2312" w:cs="Times New Roman"/>
          <w:kern w:val="2"/>
          <w:sz w:val="32"/>
          <w:szCs w:val="32"/>
          <w:highlight w:val="none"/>
          <w:lang w:val="en-US" w:eastAsia="zh-CN" w:bidi="ar-SA"/>
        </w:rPr>
        <w:t>19</w:t>
      </w:r>
      <w:r>
        <w:rPr>
          <w:rFonts w:hint="eastAsia" w:ascii="仿宋_GB2312" w:hAnsi="Times New Roman" w:eastAsia="仿宋_GB2312" w:cs="Times New Roman"/>
          <w:kern w:val="2"/>
          <w:sz w:val="32"/>
          <w:szCs w:val="32"/>
          <w:highlight w:val="none"/>
          <w:lang w:val="en-US" w:eastAsia="zh-CN" w:bidi="ar-SA"/>
        </w:rPr>
        <w:t>日，我局现场核查发现，当事人废水处理设施正常运行，废水总排口外排废水未见异常，当事人已按照整改方案购买葡萄糖、除磷剂等污水处理药剂，新增两个清水罐、一台压泥机、污泥收集管、巴歇尔流量槽，已按规范设置废水总排放口。2022年5月20日，当事人向我局提交《检测报告》，结果显示</w:t>
      </w:r>
      <w:r>
        <w:rPr>
          <w:rFonts w:hint="default" w:ascii="仿宋_GB2312" w:eastAsia="仿宋_GB2312" w:cs="Times New Roman"/>
          <w:kern w:val="2"/>
          <w:sz w:val="32"/>
          <w:szCs w:val="32"/>
          <w:highlight w:val="none"/>
          <w:lang w:eastAsia="zh-CN" w:bidi="ar-SA"/>
        </w:rPr>
        <w:t>水污染物达标排放</w:t>
      </w:r>
      <w:r>
        <w:rPr>
          <w:rFonts w:hint="eastAsia" w:ascii="仿宋_GB2312" w:hAnsi="Times New Roman" w:eastAsia="仿宋_GB2312" w:cs="Times New Roman"/>
          <w:kern w:val="2"/>
          <w:sz w:val="32"/>
          <w:szCs w:val="32"/>
          <w:highlight w:val="none"/>
          <w:lang w:val="en-US" w:eastAsia="zh-CN" w:bidi="ar-SA"/>
        </w:rPr>
        <w:t>。</w:t>
      </w:r>
      <w:r>
        <w:rPr>
          <w:rFonts w:hint="eastAsia" w:ascii="仿宋_GB2312" w:eastAsia="仿宋_GB2312" w:cs="Times New Roman"/>
          <w:kern w:val="2"/>
          <w:sz w:val="32"/>
          <w:szCs w:val="32"/>
          <w:highlight w:val="none"/>
          <w:lang w:val="en-US" w:eastAsia="zh-CN" w:bidi="ar-SA"/>
        </w:rPr>
        <w:t>2022</w:t>
      </w:r>
      <w:r>
        <w:rPr>
          <w:rFonts w:hint="eastAsia" w:ascii="仿宋_GB2312" w:hAnsi="Times New Roman" w:eastAsia="仿宋_GB2312" w:cs="Times New Roman"/>
          <w:kern w:val="2"/>
          <w:sz w:val="32"/>
          <w:szCs w:val="32"/>
          <w:highlight w:val="none"/>
          <w:lang w:val="en-US" w:eastAsia="zh-CN" w:bidi="ar-SA"/>
        </w:rPr>
        <w:t>年5月30日</w:t>
      </w:r>
      <w:r>
        <w:rPr>
          <w:rFonts w:hint="eastAsia" w:ascii="仿宋_GB2312" w:eastAsia="仿宋_GB2312" w:cs="Times New Roman"/>
          <w:kern w:val="2"/>
          <w:sz w:val="32"/>
          <w:szCs w:val="32"/>
          <w:highlight w:val="none"/>
          <w:lang w:val="en-US" w:eastAsia="zh-CN" w:bidi="ar-SA"/>
        </w:rPr>
        <w:t>，当事人按照要求</w:t>
      </w:r>
      <w:r>
        <w:rPr>
          <w:rFonts w:hint="eastAsia" w:ascii="仿宋_GB2312" w:hAnsi="Times New Roman" w:eastAsia="仿宋_GB2312" w:cs="Times New Roman"/>
          <w:kern w:val="2"/>
          <w:sz w:val="32"/>
          <w:szCs w:val="32"/>
          <w:highlight w:val="none"/>
          <w:lang w:val="en-US" w:eastAsia="zh-CN" w:bidi="ar-SA"/>
        </w:rPr>
        <w:t>完成公开道歉、作出守法承诺</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经集体审议，我局认为，当事人确有</w:t>
      </w:r>
      <w:r>
        <w:rPr>
          <w:rFonts w:hint="eastAsia" w:ascii="仿宋_GB2312" w:eastAsia="仿宋_GB2312" w:cs="Times New Roman"/>
          <w:kern w:val="2"/>
          <w:sz w:val="32"/>
          <w:szCs w:val="32"/>
          <w:highlight w:val="none"/>
          <w:lang w:val="en-US" w:eastAsia="zh-CN" w:bidi="ar-SA"/>
        </w:rPr>
        <w:t>超标排放水污染物</w:t>
      </w:r>
      <w:r>
        <w:rPr>
          <w:rFonts w:hint="eastAsia" w:ascii="仿宋_GB2312" w:hAnsi="Times New Roman" w:eastAsia="仿宋_GB2312" w:cs="Times New Roman"/>
          <w:kern w:val="2"/>
          <w:sz w:val="32"/>
          <w:szCs w:val="32"/>
          <w:highlight w:val="none"/>
          <w:lang w:val="en-US" w:eastAsia="zh-CN" w:bidi="ar-SA"/>
        </w:rPr>
        <w:t>的违法行为，应当予以处罚</w:t>
      </w:r>
      <w:r>
        <w:rPr>
          <w:rFonts w:hint="eastAsia" w:ascii="仿宋_GB2312" w:eastAsia="仿宋_GB2312" w:cs="Times New Roman"/>
          <w:kern w:val="2"/>
          <w:sz w:val="32"/>
          <w:szCs w:val="32"/>
          <w:highlight w:val="none"/>
          <w:lang w:val="en-US" w:eastAsia="zh-CN" w:bidi="ar-SA"/>
        </w:rPr>
        <w:t>。鉴于当事人已完成整改，向我局提供《检测报告》证实其已整改至达标排放水污染物的效果，并按照要求完成公开道歉、作出守法承诺，我局决定在告知书处罚数额的基础上降低40%的罚款数额。</w:t>
      </w:r>
      <w:r>
        <w:rPr>
          <w:rFonts w:hint="eastAsia" w:ascii="仿宋_GB2312" w:hAnsi="Times New Roman" w:eastAsia="仿宋_GB2312" w:cs="Times New Roman"/>
          <w:kern w:val="2"/>
          <w:sz w:val="32"/>
          <w:szCs w:val="32"/>
          <w:highlight w:val="none"/>
          <w:lang w:val="en-US" w:eastAsia="zh-CN" w:bidi="ar-SA"/>
        </w:rPr>
        <w:t>现本案经我局审查结束。</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根据《中华人民共和国水污染防治法》第八十三条第二项</w:t>
      </w:r>
      <w:r>
        <w:rPr>
          <w:rFonts w:hint="eastAsia" w:ascii="仿宋_GB2312"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《广东省生态环境行政处罚自由裁量权规定》第十四条</w:t>
      </w:r>
      <w:r>
        <w:rPr>
          <w:rFonts w:hint="eastAsia" w:ascii="仿宋_GB2312" w:eastAsia="仿宋_GB2312" w:cs="Times New Roman"/>
          <w:kern w:val="2"/>
          <w:sz w:val="32"/>
          <w:szCs w:val="32"/>
          <w:highlight w:val="none"/>
          <w:lang w:val="en-US" w:eastAsia="zh-CN" w:bidi="ar-SA"/>
        </w:rPr>
        <w:t>及</w:t>
      </w:r>
      <w:r>
        <w:rPr>
          <w:rFonts w:hint="eastAsia" w:ascii="仿宋_GB2312" w:hAnsi="Times New Roman" w:eastAsia="仿宋_GB2312" w:cs="Times New Roman"/>
          <w:kern w:val="2"/>
          <w:sz w:val="32"/>
          <w:szCs w:val="32"/>
          <w:highlight w:val="none"/>
          <w:lang w:val="en-US" w:eastAsia="zh-CN" w:bidi="ar-SA"/>
        </w:rPr>
        <w:t>附件1第2.7.1项的规定，我局现对当事人作出如下决定：</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w:t>
      </w:r>
      <w:r>
        <w:rPr>
          <w:rFonts w:hint="eastAsia" w:ascii="仿宋_GB2312" w:eastAsia="仿宋_GB2312" w:cs="Times New Roman"/>
          <w:kern w:val="2"/>
          <w:sz w:val="32"/>
          <w:szCs w:val="32"/>
          <w:highlight w:val="none"/>
          <w:u w:val="none"/>
          <w:lang w:val="en-US" w:eastAsia="zh-CN" w:bidi="ar-SA"/>
        </w:rPr>
        <w:t>162000元（壹拾陆万贰仟元整）</w:t>
      </w:r>
      <w:r>
        <w:rPr>
          <w:rFonts w:hint="eastAsia" w:ascii="仿宋_GB2312" w:hAnsi="Times New Roman" w:eastAsia="仿宋_GB2312" w:cs="Times New Roman"/>
          <w:kern w:val="2"/>
          <w:sz w:val="32"/>
          <w:szCs w:val="32"/>
          <w:highlight w:val="none"/>
          <w:u w:val="none"/>
          <w:lang w:val="en-US" w:eastAsia="zh-CN" w:bidi="ar-SA"/>
        </w:rPr>
        <w:t>。</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如不服本决定，可在收到文书之日起60日内向广州市人民政府（1.广州市政府行政复议办公室窗口，地址：广州市越秀区小北路183号金和大厦2楼，电话：83555988。2.广州市公共法律服务中心3号窗口，地址：广州市越秀区连新路31号，电话：83100336。），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highlight w:val="none"/>
          <w:lang w:val="en-US" w:eastAsia="zh-CN" w:bidi="ar-SA"/>
        </w:rPr>
        <w:t>022年6月15日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eastAsia="zh-CN" w:bidi="ar-SA"/>
        </w:rPr>
        <w:t xml:space="preserve">    </w:t>
      </w:r>
      <w:r>
        <w:rPr>
          <w:rFonts w:hint="eastAsia" w:ascii="仿宋_GB2312" w:hAnsi="仿宋_GB2312" w:eastAsia="仿宋_GB2312" w:cs="仿宋_GB2312"/>
          <w:kern w:val="0"/>
          <w:sz w:val="32"/>
          <w:szCs w:val="32"/>
          <w:lang w:val="en-US" w:eastAsia="zh-CN" w:bidi="ar-SA"/>
        </w:rPr>
        <w:t>（联系电话：020-39053008、39053079、39078029）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2084A"/>
    <w:rsid w:val="24F2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2022-06-17T02:00:00Z</dcterms:created>
  <dc:creator>HP</dc:creator>
  <cp:lastModifiedBy>HP</cp:lastModifiedBy>
  <dcterms:modified xsi:type="dcterms:W3CDTF">2022-06-17T02:01:34Z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