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469" w:beforeLines="15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before="469" w:beforeLines="15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u w:val="none"/>
          <w:vertAlign w:val="baseline"/>
          <w:lang w:val="en-US" w:eastAsia="zh-CN"/>
        </w:rPr>
      </w:pPr>
      <w:r>
        <w:rPr>
          <w:rFonts w:hint="eastAsia" w:ascii="方正小标宋简体" w:hAnsi="方正小标宋简体" w:eastAsia="方正小标宋简体" w:cs="方正小标宋简体"/>
          <w:b w:val="0"/>
          <w:bCs w:val="0"/>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66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u w:val="none"/>
        </w:rPr>
        <w:t>穗环（</w:t>
      </w:r>
      <w:r>
        <w:rPr>
          <w:rFonts w:hint="eastAsia" w:ascii="仿宋_GB2312" w:hAnsi="仿宋_GB2312" w:eastAsia="仿宋_GB2312" w:cs="仿宋_GB2312"/>
          <w:sz w:val="32"/>
          <w:szCs w:val="32"/>
          <w:u w:val="none"/>
          <w:lang w:val="en-US" w:eastAsia="zh-CN"/>
        </w:rPr>
        <w:t>南</w:t>
      </w:r>
      <w:r>
        <w:rPr>
          <w:rFonts w:hint="eastAsia" w:ascii="仿宋_GB2312" w:hAnsi="仿宋_GB2312" w:eastAsia="仿宋_GB2312" w:cs="仿宋_GB2312"/>
          <w:sz w:val="32"/>
          <w:szCs w:val="32"/>
          <w:u w:val="none"/>
        </w:rPr>
        <w:t>）法罚</w:t>
      </w:r>
      <w:r>
        <w:rPr>
          <w:rFonts w:hint="eastAsia" w:ascii="仿宋_GB2312" w:hAnsi="仿宋_GB2312" w:eastAsia="仿宋_GB2312" w:cs="仿宋_GB2312"/>
          <w:sz w:val="32"/>
          <w:szCs w:val="32"/>
          <w:highlight w:val="none"/>
          <w:u w:val="none"/>
        </w:rPr>
        <w:t>〔20</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10</w:t>
      </w:r>
      <w:r>
        <w:rPr>
          <w:rFonts w:hint="eastAsia" w:ascii="仿宋_GB2312" w:hAnsi="仿宋_GB2312" w:eastAsia="仿宋_GB2312" w:cs="仿宋_GB2312"/>
          <w:sz w:val="32"/>
          <w:szCs w:val="32"/>
          <w:highlight w:val="none"/>
          <w:u w:val="none"/>
        </w:rPr>
        <w:t>号</w:t>
      </w:r>
    </w:p>
    <w:p>
      <w:pPr>
        <w:rPr>
          <w:rFonts w:hint="eastAsia" w:ascii="仿宋_GB2312" w:hAnsi="仿宋_GB2312" w:eastAsia="仿宋_GB2312" w:cs="仿宋_GB2312"/>
          <w:spacing w:val="-1"/>
          <w:kern w:val="0"/>
          <w:sz w:val="32"/>
          <w:szCs w:val="32"/>
          <w:lang w:val="zh-CN" w:eastAsia="zh-CN" w:bidi="ar-SA"/>
        </w:rPr>
      </w:pPr>
      <w:r>
        <w:rPr>
          <w:rFonts w:hint="eastAsia" w:ascii="仿宋_GB2312" w:hAnsi="仿宋_GB2312" w:eastAsia="仿宋_GB2312" w:cs="仿宋_GB2312"/>
          <w:spacing w:val="-1"/>
          <w:kern w:val="0"/>
          <w:sz w:val="32"/>
          <w:szCs w:val="32"/>
          <w:lang w:val="zh-CN" w:eastAsia="zh-CN" w:bidi="ar-SA"/>
        </w:rPr>
        <w:t>当事人：广州共定山永晟塑胶制品有限公司</w:t>
      </w:r>
    </w:p>
    <w:p>
      <w:pPr>
        <w:pStyle w:val="2"/>
        <w:rPr>
          <w:rFonts w:hint="eastAsia" w:ascii="仿宋_GB2312" w:hAnsi="仿宋_GB2312" w:eastAsia="仿宋_GB2312" w:cs="仿宋_GB2312"/>
          <w:spacing w:val="-1"/>
          <w:kern w:val="0"/>
          <w:sz w:val="32"/>
          <w:szCs w:val="32"/>
          <w:lang w:val="zh-CN" w:eastAsia="zh-CN" w:bidi="ar-SA"/>
        </w:rPr>
      </w:pPr>
    </w:p>
    <w:p>
      <w:pPr>
        <w:rPr>
          <w:rFonts w:hint="eastAsia"/>
          <w:lang w:val="zh-CN" w:eastAsia="zh-CN"/>
        </w:rPr>
      </w:pPr>
      <w:bookmarkStart w:id="0" w:name="_GoBack"/>
      <w:bookmarkEnd w:id="0"/>
    </w:p>
    <w:p>
      <w:pPr>
        <w:pStyle w:val="2"/>
        <w:rPr>
          <w:rFonts w:hint="default"/>
          <w:lang w:val="en-US" w:eastAsia="zh-CN"/>
        </w:rPr>
      </w:pPr>
    </w:p>
    <w:p>
      <w:pPr>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80" w:lineRule="exact"/>
        <w:ind w:right="0" w:firstLine="643" w:firstLineChars="200"/>
        <w:jc w:val="both"/>
        <w:textAlignment w:val="auto"/>
        <w:rPr>
          <w:rFonts w:hint="eastAsia" w:ascii="仿宋_GB2312" w:hAnsi="仿宋_GB2312" w:eastAsia="仿宋_GB2312" w:cs="仿宋_GB2312"/>
          <w:kern w:val="0"/>
          <w:sz w:val="32"/>
          <w:szCs w:val="32"/>
          <w:u w:val="single"/>
          <w:lang w:val="en-US" w:eastAsia="zh-CN" w:bidi="ar-SA"/>
        </w:rPr>
      </w:pPr>
      <w:r>
        <w:rPr>
          <w:rFonts w:hint="eastAsia" w:ascii="仿宋_GB2312" w:hAnsi="仿宋_GB2312" w:eastAsia="仿宋_GB2312" w:cs="仿宋_GB2312"/>
          <w:b/>
          <w:bCs/>
          <w:kern w:val="0"/>
          <w:sz w:val="32"/>
          <w:szCs w:val="32"/>
          <w:lang w:val="en-US" w:eastAsia="zh-CN" w:bidi="ar-SA"/>
        </w:rPr>
        <w:t>当事人基本情况及违法事实情况</w:t>
      </w:r>
    </w:p>
    <w:p>
      <w:pPr>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当事人建成塑料制品生产项目，项目主要生产设备有：注塑机20台、碎料机6台、混料机3台、喷漆线3条、喷枪12个台、喷漆柜2个、移印机7台、空压机3台、冷却塔1台、铣床2台、磨床2台、火花机4台、CNC车床2台等，主要生产工艺流程为：原材料→混料→注塑→冷却→修边→检验→喷漆→移印→检验→产品。项目产生的主要大气污染物包括：注塑废气、喷漆和移印废气等，注塑废气配套“UV光解+活性炭吸附”处理装置处理，喷漆和移印废气配套“水喷淋+UV光解+活性炭吸附”设施处理。</w:t>
      </w:r>
    </w:p>
    <w:p>
      <w:pPr>
        <w:keepNext w:val="0"/>
        <w:keepLines w:val="0"/>
        <w:pageBreakBefore w:val="0"/>
        <w:widowControl w:val="0"/>
        <w:kinsoku/>
        <w:overflowPunct/>
        <w:topLinePunct w:val="0"/>
        <w:bidi w:val="0"/>
        <w:adjustRightInd/>
        <w:snapToGrid w:val="0"/>
        <w:spacing w:line="580" w:lineRule="exact"/>
        <w:ind w:firstLine="622"/>
        <w:textAlignment w:val="auto"/>
        <w:rPr>
          <w:rFonts w:hint="eastAsia" w:ascii="Times New Roman" w:hAnsi="Times New Roman" w:eastAsia="宋体" w:cs="Times New Roman"/>
          <w:kern w:val="2"/>
          <w:sz w:val="21"/>
          <w:szCs w:val="24"/>
          <w:lang w:val="en-US" w:eastAsia="zh-CN" w:bidi="ar-SA"/>
        </w:rPr>
      </w:pPr>
      <w:r>
        <w:rPr>
          <w:rFonts w:hint="eastAsia" w:ascii="仿宋_GB2312" w:eastAsia="仿宋_GB2312"/>
          <w:sz w:val="32"/>
          <w:szCs w:val="32"/>
          <w:lang w:val="en-US" w:eastAsia="zh-CN" w:bidi="ar-SA"/>
        </w:rPr>
        <w:t>2022年1月25日、1月26日，我局执法人员进行调查时发现，注塑生产工序正在生产，产生含挥发性有机物废气，该工序所在车间未密闭，配套的废气收集罩及收集管道破损，且配套的“UV光解+活性炭吸附”设施中，UV灯管处于关闭状态。当事人属于产生含挥发性有机物废气的生产活动，未在密闭空间中进行，且未按照规定使用污染防治设施。</w:t>
      </w:r>
    </w:p>
    <w:p>
      <w:pPr>
        <w:pStyle w:val="2"/>
        <w:ind w:left="0" w:leftChars="0" w:firstLine="0" w:firstLineChars="0"/>
        <w:rPr>
          <w:rFonts w:hint="eastAsia"/>
          <w:lang w:val="en-US" w:eastAsia="zh-CN"/>
        </w:rPr>
      </w:pPr>
    </w:p>
    <w:p>
      <w:pPr>
        <w:keepNext w:val="0"/>
        <w:keepLines w:val="0"/>
        <w:pageBreakBefore w:val="0"/>
        <w:widowControl w:val="0"/>
        <w:kinsoku/>
        <w:overflowPunct/>
        <w:topLinePunct w:val="0"/>
        <w:bidi w:val="0"/>
        <w:adjustRightInd/>
        <w:snapToGrid w:val="0"/>
        <w:spacing w:line="58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以上事实有《现场检查（勘察）笔录》《调查询问笔录》、现场检查照片、营业执照复印件等证据材料予以证实。</w:t>
      </w:r>
    </w:p>
    <w:p>
      <w:pPr>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规范依据、拟处罚告知及意见采纳情况及处罚内容</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eastAsia="仿宋_GB2312"/>
          <w:sz w:val="32"/>
          <w:szCs w:val="32"/>
          <w:lang w:val="en-US" w:eastAsia="zh-CN" w:bidi="ar-SA"/>
        </w:rPr>
      </w:pPr>
      <w:r>
        <w:rPr>
          <w:rFonts w:hint="eastAsia" w:ascii="仿宋_GB2312" w:eastAsia="仿宋_GB2312"/>
          <w:sz w:val="32"/>
          <w:szCs w:val="32"/>
          <w:lang w:bidi="ar-SA"/>
        </w:rPr>
        <w:t>当事人上述行为违反了</w:t>
      </w:r>
      <w:r>
        <w:rPr>
          <w:rFonts w:hint="eastAsia" w:ascii="仿宋_GB2312" w:eastAsia="仿宋_GB2312"/>
          <w:sz w:val="32"/>
          <w:szCs w:val="32"/>
          <w:highlight w:val="none"/>
          <w:lang w:val="en-US" w:eastAsia="zh-CN" w:bidi="ar-SA"/>
        </w:rPr>
        <w:t>《中华人民共和国大气污染防治法》第四十五条的规定。我局于</w:t>
      </w:r>
      <w:r>
        <w:rPr>
          <w:rFonts w:hint="eastAsia" w:ascii="仿宋_GB2312" w:eastAsia="仿宋_GB2312"/>
          <w:sz w:val="32"/>
          <w:szCs w:val="32"/>
          <w:lang w:val="en-US" w:eastAsia="zh-CN" w:bidi="ar-SA"/>
        </w:rPr>
        <w:t>2022年3月17日向当事人送达《行政处罚事先告知书》（穗环（南）罚告〔2022〕22号），告知当事人拟作出的处罚内容及事实、理由、依据，并告知了陈述、申辩的权利。2022年3月21日，当事人向我局提交《公开道歉、承诺守法从轻处罚申请书》及《整改报告》，并于同年4月8日完成公开道歉、作出守法承诺。</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2022年3月24日，我局现场核查发现，当事人正在生产，注塑工序所在的车间已密闭，注塑工序配套的废气收集罩及收集管道完成整改，配套的“UV光解+活性炭吸附”设施中UV灯管处于开启状态。</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经集体审议，我局认为，当事人确有产生含挥发性有机物废气的生产活动，未在密闭空间中进行，且未按照规定使用污染防治设施的违法行为，应当予以处罚</w:t>
      </w:r>
      <w:r>
        <w:rPr>
          <w:rFonts w:hint="eastAsia" w:ascii="仿宋_GB2312" w:eastAsia="仿宋_GB2312" w:cs="Times New Roman"/>
          <w:kern w:val="2"/>
          <w:sz w:val="32"/>
          <w:szCs w:val="32"/>
          <w:highlight w:val="none"/>
          <w:lang w:val="en-US" w:eastAsia="zh-CN" w:bidi="ar-SA"/>
        </w:rPr>
        <w:t>。鉴于当事人已完成整改并按照要求完成公开道歉、作出守法承诺，我局决定在告知书处罚数额的基础上降低30%的罚款数额。</w:t>
      </w:r>
      <w:r>
        <w:rPr>
          <w:rFonts w:hint="eastAsia" w:ascii="仿宋_GB2312" w:hAnsi="Times New Roman" w:eastAsia="仿宋_GB2312" w:cs="Times New Roman"/>
          <w:kern w:val="2"/>
          <w:sz w:val="32"/>
          <w:szCs w:val="32"/>
          <w:highlight w:val="none"/>
          <w:lang w:val="en-US" w:eastAsia="zh-CN" w:bidi="ar-SA"/>
        </w:rPr>
        <w:t>现本案经我局审查结束。</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根据《中华人民共和国大气污染防治法》第一百零八条第一项</w:t>
      </w:r>
      <w:r>
        <w:rPr>
          <w:rFonts w:hint="eastAsia" w:ascii="仿宋_GB2312"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《广东省生态环境行政处罚自由裁量权规定》第十四条</w:t>
      </w:r>
      <w:r>
        <w:rPr>
          <w:rFonts w:hint="eastAsia" w:ascii="仿宋_GB2312" w:eastAsia="仿宋_GB2312" w:cs="Times New Roman"/>
          <w:kern w:val="2"/>
          <w:sz w:val="32"/>
          <w:szCs w:val="32"/>
          <w:highlight w:val="none"/>
          <w:lang w:val="en-US" w:eastAsia="zh-CN" w:bidi="ar-SA"/>
        </w:rPr>
        <w:t>及</w:t>
      </w:r>
      <w:r>
        <w:rPr>
          <w:rFonts w:hint="eastAsia" w:ascii="仿宋_GB2312" w:hAnsi="Times New Roman" w:eastAsia="仿宋_GB2312" w:cs="Times New Roman"/>
          <w:kern w:val="2"/>
          <w:sz w:val="32"/>
          <w:szCs w:val="32"/>
          <w:highlight w:val="none"/>
          <w:lang w:val="en-US" w:eastAsia="zh-CN" w:bidi="ar-SA"/>
        </w:rPr>
        <w:t>附件1第3.14项的规定，我局现对当事人作出如下决定：</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1、责令改正违法行为；</w:t>
      </w:r>
    </w:p>
    <w:p>
      <w:pPr>
        <w:keepNext w:val="0"/>
        <w:keepLines w:val="0"/>
        <w:pageBreakBefore w:val="0"/>
        <w:widowControl w:val="0"/>
        <w:kinsoku/>
        <w:overflowPunct/>
        <w:topLinePunct w:val="0"/>
        <w:bidi w:val="0"/>
        <w:adjustRightInd/>
        <w:snapToGrid w:val="0"/>
        <w:spacing w:line="580" w:lineRule="exact"/>
        <w:ind w:firstLine="622"/>
        <w:jc w:val="both"/>
        <w:textAlignment w:val="auto"/>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2、处罚款</w:t>
      </w:r>
      <w:r>
        <w:rPr>
          <w:rFonts w:hint="eastAsia" w:ascii="仿宋_GB2312" w:eastAsia="仿宋_GB2312" w:cs="Times New Roman"/>
          <w:kern w:val="2"/>
          <w:sz w:val="32"/>
          <w:szCs w:val="32"/>
          <w:highlight w:val="none"/>
          <w:u w:val="none"/>
          <w:lang w:val="en-US" w:eastAsia="zh-CN" w:bidi="ar-SA"/>
        </w:rPr>
        <w:t>42000</w:t>
      </w:r>
      <w:r>
        <w:rPr>
          <w:rFonts w:hint="eastAsia" w:ascii="仿宋_GB2312" w:hAnsi="Times New Roman" w:eastAsia="仿宋_GB2312" w:cs="Times New Roman"/>
          <w:kern w:val="2"/>
          <w:sz w:val="32"/>
          <w:szCs w:val="32"/>
          <w:highlight w:val="none"/>
          <w:u w:val="none"/>
          <w:lang w:val="en-US" w:eastAsia="zh-CN" w:bidi="ar-SA"/>
        </w:rPr>
        <w:t>元（</w:t>
      </w:r>
      <w:r>
        <w:rPr>
          <w:rFonts w:hint="eastAsia" w:ascii="仿宋_GB2312" w:eastAsia="仿宋_GB2312" w:cs="Times New Roman"/>
          <w:kern w:val="2"/>
          <w:sz w:val="32"/>
          <w:szCs w:val="32"/>
          <w:highlight w:val="none"/>
          <w:u w:val="none"/>
          <w:lang w:val="en-US" w:eastAsia="zh-CN" w:bidi="ar-SA"/>
        </w:rPr>
        <w:t>肆万贰仟元整</w:t>
      </w:r>
      <w:r>
        <w:rPr>
          <w:rFonts w:hint="eastAsia" w:ascii="仿宋_GB2312" w:hAnsi="Times New Roman" w:eastAsia="仿宋_GB2312" w:cs="Times New Roman"/>
          <w:kern w:val="2"/>
          <w:sz w:val="32"/>
          <w:szCs w:val="32"/>
          <w:highlight w:val="none"/>
          <w:u w:val="none"/>
          <w:lang w:val="en-US" w:eastAsia="zh-CN" w:bidi="ar-SA"/>
        </w:rPr>
        <w:t>）。</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三、处罚内容的履行要求和当事人的救济权利</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限当事人在收到本处罚决定书之日起15日内，按照《广州市非税收入罚款通知书》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收费项目编码：103050125100。</w:t>
      </w:r>
    </w:p>
    <w:p>
      <w:pPr>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当事人如不服本决定，可在收到文书之日起60日内向广州市人民政府（1.广州市政府行政复议办公室窗口，地址：广州市越秀区小北路183号金和大厦2楼，电话：83555988。2.广州市公共法律服务中心3号窗口，地址：广州市越秀区连新路31号，电话：83100336。），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80" w:lineRule="exact"/>
        <w:ind w:right="0" w:firstLine="640" w:firstLineChars="200"/>
        <w:jc w:val="both"/>
        <w:textAlignment w:val="auto"/>
        <w:rPr>
          <w:rFonts w:hint="eastAsia" w:ascii="仿宋_GB2312" w:hAnsi="仿宋_GB2312" w:eastAsia="仿宋_GB2312" w:cs="仿宋_GB2312"/>
          <w:kern w:val="0"/>
          <w:sz w:val="32"/>
          <w:szCs w:val="32"/>
          <w:u w:val="single"/>
          <w:lang w:val="en-US" w:eastAsia="zh-CN" w:bidi="ar-SA"/>
        </w:rPr>
      </w:pPr>
      <w:r>
        <w:rPr>
          <w:rFonts w:hint="eastAsia" w:ascii="仿宋_GB2312" w:hAnsi="仿宋_GB2312" w:eastAsia="仿宋_GB2312" w:cs="仿宋_GB2312"/>
          <w:kern w:val="0"/>
          <w:sz w:val="32"/>
          <w:szCs w:val="32"/>
          <w:lang w:val="en-US" w:eastAsia="zh-CN" w:bidi="ar-SA"/>
        </w:rPr>
        <w:t>根据《中华人民共和国行政处罚法》第七十二条规定，当事人逾期不履行本处罚决定的，我局将每日按罚款额的百分之三加处罚款，并依照《中华人民共和国行政强制法》的规定申请人民法院强制执行。</w:t>
      </w: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80" w:lineRule="exact"/>
        <w:ind w:leftChars="0" w:right="0" w:rightChars="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tabs>
          <w:tab w:val="left" w:pos="7382"/>
          <w:tab w:val="left" w:pos="7560"/>
        </w:tabs>
        <w:kinsoku/>
        <w:wordWrap/>
        <w:overflowPunct/>
        <w:topLinePunct w:val="0"/>
        <w:autoSpaceDE w:val="0"/>
        <w:autoSpaceDN w:val="0"/>
        <w:bidi w:val="0"/>
        <w:adjustRightInd/>
        <w:snapToGrid/>
        <w:spacing w:line="580" w:lineRule="exact"/>
        <w:ind w:right="1342" w:rightChars="0"/>
        <w:jc w:val="righ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广州市生态环境局</w:t>
      </w:r>
    </w:p>
    <w:p>
      <w:pPr>
        <w:keepNext w:val="0"/>
        <w:keepLines w:val="0"/>
        <w:pageBreakBefore w:val="0"/>
        <w:widowControl w:val="0"/>
        <w:tabs>
          <w:tab w:val="left" w:pos="7382"/>
          <w:tab w:val="left" w:pos="7560"/>
        </w:tabs>
        <w:kinsoku/>
        <w:wordWrap/>
        <w:overflowPunct/>
        <w:topLinePunct w:val="0"/>
        <w:autoSpaceDE w:val="0"/>
        <w:autoSpaceDN w:val="0"/>
        <w:bidi w:val="0"/>
        <w:adjustRightInd/>
        <w:snapToGrid/>
        <w:spacing w:line="580" w:lineRule="exact"/>
        <w:ind w:right="1342" w:rightChars="0"/>
        <w:jc w:val="right"/>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highlight w:val="none"/>
          <w:lang w:val="en-US" w:eastAsia="zh-CN" w:bidi="ar-SA"/>
        </w:rPr>
        <w:t>022年5月12日</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80" w:lineRule="exact"/>
        <w:ind w:right="964"/>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（联系电话：020-39053008、39053079、39078029）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E4B04"/>
    <w:rsid w:val="313B3663"/>
    <w:rsid w:val="4F7E4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2022-05-24T02:59:00Z</dcterms:created>
  <dc:creator>HP</dc:creator>
  <cp:lastModifiedBy>HP</cp:lastModifiedBy>
  <dcterms:modified xsi:type="dcterms:W3CDTF">2022-05-24T03:00:57Z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