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r>
        <w:rPr>
          <w:rFonts w:hint="eastAsia" w:ascii="方正小标宋简体" w:hAnsi="方正小标宋简体" w:eastAsia="方正小标宋简体" w:cs="方正小标宋简体"/>
          <w:b w:val="0"/>
          <w:bCs w:val="0"/>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66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）法罚〔2</w:t>
      </w:r>
      <w:r>
        <w:rPr>
          <w:rFonts w:hint="eastAsia" w:ascii="仿宋_GB2312" w:hAnsi="仿宋_GB2312" w:eastAsia="仿宋_GB2312" w:cs="仿宋_GB2312"/>
          <w:sz w:val="32"/>
          <w:szCs w:val="32"/>
          <w:highlight w:val="none"/>
          <w:u w:val="none"/>
        </w:rPr>
        <w:t>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7</w:t>
      </w:r>
      <w:r>
        <w:rPr>
          <w:rFonts w:hint="eastAsia" w:ascii="仿宋_GB2312" w:hAnsi="仿宋_GB2312" w:eastAsia="仿宋_GB2312" w:cs="仿宋_GB2312"/>
          <w:sz w:val="32"/>
          <w:szCs w:val="32"/>
          <w:highlight w:val="none"/>
          <w:u w:val="none"/>
        </w:rPr>
        <w:t>号</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eastAsia" w:ascii="仿宋_GB2312" w:hAnsi="仿宋_GB2312" w:eastAsia="仿宋_GB2312" w:cs="仿宋_GB2312"/>
          <w:spacing w:val="-1"/>
          <w:kern w:val="0"/>
          <w:sz w:val="32"/>
          <w:szCs w:val="32"/>
          <w:lang w:val="zh-CN" w:eastAsia="zh-CN" w:bidi="ar-SA"/>
        </w:rPr>
      </w:pPr>
      <w:r>
        <w:rPr>
          <w:rFonts w:hint="eastAsia" w:ascii="仿宋_GB2312" w:hAnsi="仿宋_GB2312" w:eastAsia="仿宋_GB2312" w:cs="仿宋_GB2312"/>
          <w:spacing w:val="-1"/>
          <w:kern w:val="0"/>
          <w:sz w:val="32"/>
          <w:szCs w:val="32"/>
          <w:lang w:val="zh-CN" w:eastAsia="zh-CN" w:bidi="ar-SA"/>
        </w:rPr>
        <w:t>当事人：广州市杰泰五金有限公司</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default"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b/>
          <w:bCs/>
          <w:kern w:val="0"/>
          <w:sz w:val="32"/>
          <w:szCs w:val="32"/>
          <w:lang w:val="en-US" w:eastAsia="zh-CN" w:bidi="ar-SA"/>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当事人建成五金电镀生产项目，项目主要生产设备有：电镀生产线6条，主要生产工艺流程为：半成品→除蜡除油→酸洗→沉锌→焦铜→镀铜→镀镍→镀铬→清洗→烘干→成品，产生的主要污染物为：生产废水、生活废水、酸雾废气等，其中，生产废水经“物化+生化”处理后、生活污水经化粪池处理后，通过市政污水管网排入榄核净水厂处理，酸雾废气配套酸雾处理塔处理。</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当事人取得的《排污许可证》载明：排污单位应对总排放口（DW009）外排废水中的悬浮物、五日生化需氧量、总铁、总氮、总磷、氟化物、石油类、动植物油、总铝等污染物开展1次/月的手工监测。2021年11月30日，我局执法人员现场调查发现，当事人2021年9月未对总排放口（DW009）排放的上述污染物进行自行监测，涉嫌未按照排污许可证规定开展自行监测。</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以上事实有《现场检查（勘察）笔录》、《调查询问笔录》、《排污许可证》（节选）、营业执照复印件等证据材料予以证实。</w:t>
      </w:r>
    </w:p>
    <w:p>
      <w:pPr>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sz w:val="32"/>
          <w:szCs w:val="32"/>
          <w:lang w:bidi="ar-SA"/>
        </w:rPr>
        <w:t>当事人上述行为违反了</w:t>
      </w:r>
      <w:r>
        <w:rPr>
          <w:rFonts w:hint="eastAsia" w:ascii="仿宋_GB2312" w:eastAsia="仿宋_GB2312"/>
          <w:sz w:val="32"/>
          <w:szCs w:val="32"/>
          <w:highlight w:val="none"/>
          <w:lang w:val="en-US" w:eastAsia="zh-CN" w:bidi="ar-SA"/>
        </w:rPr>
        <w:t>《排污许可管理条例》第十九条第一款的规定。我局于</w:t>
      </w:r>
      <w:r>
        <w:rPr>
          <w:rFonts w:hint="eastAsia" w:ascii="仿宋_GB2312" w:eastAsia="仿宋_GB2312"/>
          <w:sz w:val="32"/>
          <w:szCs w:val="32"/>
          <w:lang w:val="en-US" w:eastAsia="zh-CN" w:bidi="ar-SA"/>
        </w:rPr>
        <w:t>2022年3月8日向当事人送达《行政处罚事先告知书》（穗环（南）罚告〔2022〕21号），告知当事人拟作出的处罚内容及事实、理由、依据，并告知了陈述、</w:t>
      </w:r>
      <w:r>
        <w:rPr>
          <w:rFonts w:hint="eastAsia" w:ascii="仿宋_GB2312" w:eastAsia="仿宋_GB2312"/>
          <w:sz w:val="32"/>
          <w:szCs w:val="32"/>
          <w:highlight w:val="none"/>
          <w:lang w:val="en-US" w:eastAsia="zh-CN" w:bidi="ar-SA"/>
        </w:rPr>
        <w:t>申辩的权利。</w:t>
      </w:r>
      <w:r>
        <w:rPr>
          <w:rFonts w:hint="eastAsia" w:ascii="仿宋_GB2312" w:eastAsia="仿宋_GB2312"/>
          <w:sz w:val="32"/>
          <w:szCs w:val="32"/>
          <w:lang w:val="en-US" w:eastAsia="zh-CN" w:bidi="ar-SA"/>
        </w:rPr>
        <w:t>当事人于同月14日向我局提出书面陈述、申辩意见，主要申辩意见如下：“一、2021年9月，属我镇限电、错峰用电高峰期，为配合政府部门做好限电工作，我司9月份全月度生产均安排在夜间，白天不生产。因为限电通知发布时间仓促、限电日期无法确定、频繁突然停电等，我司9月份夜间生产断断续续，处于不正常状态。根据相关规定，采样监测时必须处于正常生产状况，因此我司无法与第三方检测公司确定正常生产工况的采样时间，导致采样监测工作无法进行。二、我司按要求每日自行开展污染物排放监测，从未间断，我司在10、11、12月均正常开展每天及月度的检测工作，外排污染物持续满足排放标准要求。9月份的漏测，是我司自取得排污证以来属首次，没造成任何危害，更不是故意、恶意所犯。三、受疫情等影响，我司订单量大幅减少，生存艰难，我司已认真反省，绝不会再有下次，恳请贵局撤销对我司的处罚，减免对我司的罚款。”</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经审查，我局认为</w:t>
      </w:r>
      <w:r>
        <w:rPr>
          <w:rFonts w:hint="eastAsia" w:ascii="仿宋_GB2312" w:eastAsia="仿宋_GB2312" w:cs="Times New Roman"/>
          <w:kern w:val="2"/>
          <w:sz w:val="32"/>
          <w:szCs w:val="32"/>
          <w:highlight w:val="none"/>
          <w:lang w:val="en-US" w:eastAsia="zh-CN" w:bidi="ar-SA"/>
        </w:rPr>
        <w:t>，当事人的申辩意见不影响本案定性，</w:t>
      </w:r>
      <w:r>
        <w:rPr>
          <w:rFonts w:hint="eastAsia" w:ascii="仿宋_GB2312" w:hAnsi="Times New Roman" w:eastAsia="仿宋_GB2312" w:cs="Times New Roman"/>
          <w:kern w:val="2"/>
          <w:sz w:val="32"/>
          <w:szCs w:val="32"/>
          <w:highlight w:val="none"/>
          <w:lang w:val="en-US" w:eastAsia="zh-CN" w:bidi="ar-SA"/>
        </w:rPr>
        <w:t>当事人确有未按照排污许可证规定开展自行监测的违法行为，应当予以处罚。现本案经我局审查结束。</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根据《排污许可管理条例》第三十六条第五项及《广东省生态环境行政处罚自由裁量权规定》附件1第8.32项的规定，我局现对当事人作出如下决定：</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1、责令改正违法行为；</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2、处罚款20000元（贰万元整）。</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三、处罚内容的履行要求和当事人的救济权利</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限当事人在收到本处罚决定书之日起15日内，按照《广州市非税收入罚款通知书》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收费项目编码：103050125100。</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kern w:val="0"/>
          <w:sz w:val="32"/>
          <w:szCs w:val="32"/>
          <w:lang w:val="en-US" w:eastAsia="zh-CN" w:bidi="ar-SA"/>
        </w:rPr>
        <w:t>根据《中华人民共和国行政处罚法》第七十二条规定，当事人逾期不履行本处罚决定的，我局将每日按罚款额的百分之三加处罚款，并依照《中华人民共和国行政强制法》的规定申请人民法院强制执行。</w:t>
      </w: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广州市生态环境局</w:t>
      </w: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2022年3月24</w:t>
      </w:r>
      <w:bookmarkStart w:id="0" w:name="_GoBack"/>
      <w:bookmarkEnd w:id="0"/>
      <w:r>
        <w:rPr>
          <w:rFonts w:hint="eastAsia" w:ascii="仿宋_GB2312" w:hAnsi="仿宋_GB2312" w:eastAsia="仿宋_GB2312" w:cs="仿宋_GB2312"/>
          <w:kern w:val="0"/>
          <w:sz w:val="32"/>
          <w:szCs w:val="32"/>
          <w:highlight w:val="none"/>
          <w:lang w:val="en-US" w:eastAsia="zh-CN" w:bidi="ar-SA"/>
        </w:rPr>
        <w:t>日</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（联系电话：020-39053008、39053079、39078029）</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54FEE"/>
    <w:rsid w:val="1E041DCB"/>
    <w:rsid w:val="46854FEE"/>
    <w:rsid w:val="7B7C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2022-03-25T07:31:00Z</dcterms:created>
  <dc:creator>HP</dc:creator>
  <cp:lastModifiedBy>HP</cp:lastModifiedBy>
  <dcterms:modified xsi:type="dcterms:W3CDTF">2022-03-25T08:37:19Z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