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580" w:lineRule="exact"/>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号</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w:t>
      </w:r>
      <w:r>
        <w:rPr>
          <w:rFonts w:hint="eastAsia" w:ascii="仿宋_GB2312" w:hAnsi="仿宋_GB2312" w:eastAsia="仿宋_GB2312" w:cs="仿宋_GB2312"/>
          <w:spacing w:val="-1"/>
          <w:kern w:val="0"/>
          <w:sz w:val="32"/>
          <w:szCs w:val="32"/>
          <w:lang w:val="en-US" w:eastAsia="zh-CN"/>
        </w:rPr>
        <w:t>广州市南沙区俊枫晒莨加工场（经营者：叶志发）</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 xml:space="preserve">当事人建成布匹晒染生产项目，主要从事丝绸布匹晒染生产，于2021年7月建成并投入生产。项目主要生产设备有：浸布池4个，薯莨粉碎机2台等，主要生产工艺流程为：原材料（丝绸布匹）→薯莨粉碎→薯莨汁浸布上色→露天晒干→整理→成品，主要使用的原材料为薯莨，使用量约40吨/年。产生的主要污染物为：浸布池及染布桶等清洗废水、生活污水，其中，清洗废水经沉淀池收集后循环使用不外排，生活污水经化粪池过滤后排入河涌。                                                                                                             </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根据《建设项目环境影响评价分类管理名录》（2021年版），上述项目需要报批环境影响报告书，并在需要配套建设的环境保护设施经验收合格后，方可投入生产。2021年12月2日，我局现场检查发现，当事人在未办理上述项目需要配套建设的环境保护设施验收手续的情况下，擅自将项目投入生产。</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eastAsia="zh-CN" w:bidi="ar-SA"/>
        </w:rPr>
      </w:pPr>
      <w:r>
        <w:rPr>
          <w:rFonts w:hint="default" w:ascii="仿宋_GB2312" w:eastAsia="仿宋_GB2312"/>
          <w:szCs w:val="32"/>
          <w:lang w:val="en-US" w:eastAsia="zh-CN" w:bidi="ar-SA"/>
        </w:rPr>
        <w:t>以上事实，有《现场检查（勘察）笔录》、《调查询问笔录》、现场检查照片、营业执照复印件、身份证复印件等证据材料予以证实。</w:t>
      </w:r>
    </w:p>
    <w:p>
      <w:pPr>
        <w:pStyle w:val="4"/>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textAlignment w:val="auto"/>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《建设项目环境保护管理条例》第十九条第一款的规定。我局于</w:t>
      </w:r>
      <w:r>
        <w:rPr>
          <w:rFonts w:hint="eastAsia" w:ascii="仿宋_GB2312" w:eastAsia="仿宋_GB2312"/>
          <w:sz w:val="32"/>
          <w:szCs w:val="32"/>
          <w:lang w:val="en-US" w:eastAsia="zh-CN" w:bidi="ar-SA"/>
        </w:rPr>
        <w:t>2021年12月31日向当事人送达《行政处罚听证告知书》（南环听告字〔2021〕164号），告知当事人拟作出的处罚内容及事实、理由、依据，并告知了陈述、申辩</w:t>
      </w:r>
      <w:r>
        <w:rPr>
          <w:rFonts w:hint="eastAsia" w:ascii="仿宋_GB2312" w:eastAsia="仿宋_GB2312"/>
          <w:sz w:val="32"/>
          <w:szCs w:val="32"/>
          <w:highlight w:val="none"/>
          <w:lang w:val="en-US" w:eastAsia="zh-CN" w:bidi="ar-SA"/>
        </w:rPr>
        <w:t>和要求听证的权利。2022年1月7日，当事人向我局提出书面陈述、申辩意见，主要申辩意见如下：“1、我司收到告知书后，立刻停产并开始进行整改，着手落实项目环评申报手续并按照环保相关要求建设配套环保设施，我司承诺在取得合法的环保手续并在各项环保配套设施验收合格后再进行生产。2、关于处罚35万元的决定，我司认为处罚过重，我司采用的是纯植物染布工艺，生产过程中不使用任何化工药剂，生产运行期间已配套建设环境保护设施，且项目未造成环境污染等后果，依照 《广州市生态环境局关于印发广州市生态环境领域轻</w:t>
      </w:r>
      <w:bookmarkStart w:id="0" w:name="_GoBack"/>
      <w:bookmarkEnd w:id="0"/>
      <w:r>
        <w:rPr>
          <w:rFonts w:hint="eastAsia" w:ascii="仿宋_GB2312" w:eastAsia="仿宋_GB2312"/>
          <w:sz w:val="32"/>
          <w:szCs w:val="32"/>
          <w:highlight w:val="none"/>
          <w:lang w:val="en-US" w:eastAsia="zh-CN" w:bidi="ar-SA"/>
        </w:rPr>
        <w:t>微违法行为免处罚强制清单的通知（穗环〔2021〕89号）》文件精神，特向贵局申请免予处罚，同时我们保证按期完成整改。”</w:t>
      </w:r>
    </w:p>
    <w:p>
      <w:pPr>
        <w:pStyle w:val="14"/>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2022年3月2日，我局现场核查发现，当事人正在生产，未完成竣工环境保护验收手续。</w:t>
      </w:r>
    </w:p>
    <w:p>
      <w:pPr>
        <w:pStyle w:val="14"/>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仍未改正“未验先投”的违法行为，不符合免于处罚的情形，当事人的申辩意见不影响本案定性。综上所述，当事人确有建设项目“未验先投”的违法行为，应当予以处罚。现本案经我局审查结束。</w:t>
      </w:r>
    </w:p>
    <w:p>
      <w:pPr>
        <w:pStyle w:val="14"/>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根据《建设项目环境保护管理条例》第二十三条第一款及《广州市规范生态环境行政处罚自由裁量权规定》附件第2.1.1.1.3.2项的规定，我局现对当事人作出如下决定：</w:t>
      </w:r>
    </w:p>
    <w:p>
      <w:pPr>
        <w:pStyle w:val="14"/>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1、责令3个月内改正违法行为；</w:t>
      </w:r>
    </w:p>
    <w:p>
      <w:pPr>
        <w:pStyle w:val="14"/>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2、处罚款35万元（叁拾伍万元整）。</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广州市非税收入罚款通知书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103050125100</w:t>
      </w:r>
      <w:r>
        <w:rPr>
          <w:rFonts w:hint="eastAsia" w:ascii="仿宋_GB2312" w:hAnsi="仿宋_GB2312" w:eastAsia="仿宋_GB2312" w:cs="仿宋_GB2312"/>
          <w:kern w:val="0"/>
          <w:sz w:val="32"/>
          <w:szCs w:val="32"/>
          <w:lang w:val="en-US"/>
        </w:rPr>
        <w:t>。</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2022</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lang w:val="en-US"/>
        </w:rPr>
        <w:t>日</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yellow"/>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C812ABC"/>
    <w:rsid w:val="0D8E04F1"/>
    <w:rsid w:val="0D8F784B"/>
    <w:rsid w:val="0DDC74AE"/>
    <w:rsid w:val="0EE059AD"/>
    <w:rsid w:val="16423E59"/>
    <w:rsid w:val="16DC051F"/>
    <w:rsid w:val="1721363E"/>
    <w:rsid w:val="175A3225"/>
    <w:rsid w:val="18A95050"/>
    <w:rsid w:val="1A642E58"/>
    <w:rsid w:val="1AA2382E"/>
    <w:rsid w:val="1AAD08FA"/>
    <w:rsid w:val="1E641370"/>
    <w:rsid w:val="1EAE625C"/>
    <w:rsid w:val="202757FA"/>
    <w:rsid w:val="206F2007"/>
    <w:rsid w:val="20E95D13"/>
    <w:rsid w:val="21B65544"/>
    <w:rsid w:val="21F41F0F"/>
    <w:rsid w:val="23D2079E"/>
    <w:rsid w:val="240866C2"/>
    <w:rsid w:val="242A0B1C"/>
    <w:rsid w:val="24303317"/>
    <w:rsid w:val="24997A50"/>
    <w:rsid w:val="24AF387E"/>
    <w:rsid w:val="27ED433A"/>
    <w:rsid w:val="27FA42A3"/>
    <w:rsid w:val="2A1B2A10"/>
    <w:rsid w:val="2B34606A"/>
    <w:rsid w:val="2BBB56B5"/>
    <w:rsid w:val="2C003E7D"/>
    <w:rsid w:val="2D4113EF"/>
    <w:rsid w:val="2D6B6CD8"/>
    <w:rsid w:val="32F86059"/>
    <w:rsid w:val="334A5564"/>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3E1C89"/>
    <w:rsid w:val="3FB37C1A"/>
    <w:rsid w:val="405C29A5"/>
    <w:rsid w:val="47224690"/>
    <w:rsid w:val="479802F2"/>
    <w:rsid w:val="47BD27EF"/>
    <w:rsid w:val="4B8C523D"/>
    <w:rsid w:val="4C95683A"/>
    <w:rsid w:val="4CD56ED8"/>
    <w:rsid w:val="4FE5550C"/>
    <w:rsid w:val="50515F4D"/>
    <w:rsid w:val="51966304"/>
    <w:rsid w:val="533A57BE"/>
    <w:rsid w:val="56DB09D8"/>
    <w:rsid w:val="58A4031C"/>
    <w:rsid w:val="58DF2354"/>
    <w:rsid w:val="5A612936"/>
    <w:rsid w:val="5AD03F4E"/>
    <w:rsid w:val="5F9F165E"/>
    <w:rsid w:val="63BA4851"/>
    <w:rsid w:val="643E324C"/>
    <w:rsid w:val="64582203"/>
    <w:rsid w:val="66E76AA8"/>
    <w:rsid w:val="6A6930F0"/>
    <w:rsid w:val="6BC041CD"/>
    <w:rsid w:val="6D6D2E3B"/>
    <w:rsid w:val="6E3557E7"/>
    <w:rsid w:val="6F3F118A"/>
    <w:rsid w:val="73EE4748"/>
    <w:rsid w:val="756C1B4E"/>
    <w:rsid w:val="75D8377E"/>
    <w:rsid w:val="76975649"/>
    <w:rsid w:val="787F2185"/>
    <w:rsid w:val="791B7F86"/>
    <w:rsid w:val="79AE6349"/>
    <w:rsid w:val="7B8F3F36"/>
    <w:rsid w:val="7BAB5214"/>
    <w:rsid w:val="7BE05C65"/>
    <w:rsid w:val="7BEE5DAA"/>
    <w:rsid w:val="7C646768"/>
    <w:rsid w:val="7CCE4EED"/>
    <w:rsid w:val="7E924DD4"/>
    <w:rsid w:val="7ED22AB7"/>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Calibri CE" w:cs="Times New Roman"/>
      <w:kern w:val="2"/>
      <w:sz w:val="32"/>
      <w:lang w:val="en-US" w:eastAsia="zh-CN"/>
    </w:rPr>
  </w:style>
  <w:style w:type="paragraph" w:styleId="3">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 w:type="paragraph" w:customStyle="1" w:styleId="11">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2022-03-25T07:37:15Z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