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580" w:lineRule="exact"/>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eastAsia" w:ascii="仿宋_GB2312" w:eastAsia="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eastAsia" w:ascii="仿宋_GB2312" w:eastAsia="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580" w:lineRule="exact"/>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highlight w:val="none"/>
          <w:u w:val="none"/>
          <w:vertAlign w:val="baseline"/>
          <w:lang w:val="en-US" w:eastAsia="zh-CN"/>
        </w:rPr>
      </w:pPr>
      <w:r>
        <w:rPr>
          <w:rFonts w:hint="eastAsia" w:ascii="方正小标宋" w:hAnsi="方正小标宋" w:eastAsia="方正小标宋" w:cs="方正小标宋"/>
          <w:b/>
          <w:bCs/>
          <w:kern w:val="2"/>
          <w:sz w:val="44"/>
          <w:szCs w:val="44"/>
          <w:highlight w:val="none"/>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580" w:lineRule="exact"/>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穗环（</w:t>
      </w:r>
      <w:r>
        <w:rPr>
          <w:rFonts w:hint="eastAsia" w:ascii="仿宋_GB2312" w:hAnsi="仿宋_GB2312" w:eastAsia="仿宋_GB2312" w:cs="仿宋_GB2312"/>
          <w:sz w:val="32"/>
          <w:szCs w:val="32"/>
          <w:highlight w:val="none"/>
          <w:u w:val="none"/>
          <w:lang w:val="en-US" w:eastAsia="zh-CN"/>
        </w:rPr>
        <w:t>南</w:t>
      </w:r>
      <w:r>
        <w:rPr>
          <w:rFonts w:hint="eastAsia" w:ascii="仿宋_GB2312" w:hAnsi="仿宋_GB2312" w:eastAsia="仿宋_GB2312" w:cs="仿宋_GB2312"/>
          <w:sz w:val="32"/>
          <w:szCs w:val="32"/>
          <w:highlight w:val="none"/>
          <w:u w:val="none"/>
        </w:rPr>
        <w:t>）法罚〔20</w:t>
      </w:r>
      <w:r>
        <w:rPr>
          <w:rFonts w:hint="eastAsia" w:ascii="仿宋_GB2312" w:hAnsi="仿宋_GB2312" w:eastAsia="仿宋_GB2312" w:cs="仿宋_GB2312"/>
          <w:sz w:val="32"/>
          <w:szCs w:val="32"/>
          <w:highlight w:val="none"/>
          <w:u w:val="none"/>
          <w:lang w:val="en-US" w:eastAsia="zh-CN"/>
        </w:rPr>
        <w:t>22</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val="en-US" w:eastAsia="zh-CN"/>
        </w:rPr>
        <w:t>1</w:t>
      </w:r>
      <w:r>
        <w:rPr>
          <w:rFonts w:hint="eastAsia" w:ascii="仿宋_GB2312" w:hAnsi="仿宋_GB2312" w:eastAsia="仿宋_GB2312" w:cs="仿宋_GB2312"/>
          <w:sz w:val="32"/>
          <w:szCs w:val="32"/>
          <w:highlight w:val="none"/>
          <w:u w:val="none"/>
        </w:rPr>
        <w:t>号</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40" w:lineRule="exact"/>
        <w:ind w:right="0"/>
        <w:jc w:val="both"/>
        <w:textAlignment w:val="auto"/>
        <w:rPr>
          <w:rFonts w:hint="eastAsia" w:ascii="仿宋_GB2312" w:hAnsi="仿宋_GB2312" w:eastAsia="仿宋_GB2312" w:cs="仿宋_GB2312"/>
          <w:spacing w:val="-1"/>
          <w:kern w:val="0"/>
          <w:sz w:val="32"/>
          <w:szCs w:val="32"/>
          <w:highlight w:val="none"/>
          <w:lang w:eastAsia="zh-CN"/>
        </w:rPr>
      </w:pPr>
      <w:r>
        <w:rPr>
          <w:rFonts w:hint="eastAsia" w:ascii="仿宋_GB2312" w:hAnsi="仿宋_GB2312" w:eastAsia="仿宋_GB2312" w:cs="仿宋_GB2312"/>
          <w:spacing w:val="-1"/>
          <w:kern w:val="0"/>
          <w:sz w:val="32"/>
          <w:szCs w:val="32"/>
          <w:highlight w:val="none"/>
        </w:rPr>
        <w:t>当事人</w:t>
      </w:r>
      <w:r>
        <w:rPr>
          <w:rFonts w:hint="eastAsia" w:ascii="仿宋_GB2312" w:hAnsi="仿宋_GB2312" w:eastAsia="仿宋_GB2312" w:cs="仿宋_GB2312"/>
          <w:spacing w:val="-1"/>
          <w:kern w:val="0"/>
          <w:sz w:val="32"/>
          <w:szCs w:val="32"/>
          <w:highlight w:val="none"/>
          <w:lang w:eastAsia="zh-CN"/>
        </w:rPr>
        <w:t>：广州市国盾门业制造有限公司</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40" w:lineRule="exact"/>
        <w:ind w:right="0"/>
        <w:jc w:val="both"/>
        <w:textAlignment w:val="auto"/>
        <w:rPr>
          <w:rFonts w:hint="default"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64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b/>
          <w:bCs/>
          <w:kern w:val="0"/>
          <w:sz w:val="32"/>
          <w:szCs w:val="32"/>
          <w:highlight w:val="none"/>
          <w:lang w:val="en-US"/>
        </w:rPr>
        <w:t>当事人基本情况及违法事实情况</w:t>
      </w:r>
    </w:p>
    <w:p>
      <w:pPr>
        <w:keepNext w:val="0"/>
        <w:keepLines w:val="0"/>
        <w:pageBreakBefore w:val="0"/>
        <w:widowControl w:val="0"/>
        <w:kinsoku/>
        <w:wordWrap/>
        <w:overflowPunct/>
        <w:topLinePunct w:val="0"/>
        <w:bidi w:val="0"/>
        <w:adjustRightInd/>
        <w:snapToGrid w:val="0"/>
        <w:spacing w:line="640" w:lineRule="exact"/>
        <w:ind w:firstLine="622"/>
        <w:textAlignment w:val="auto"/>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当事人</w:t>
      </w:r>
      <w:bookmarkStart w:id="0" w:name="_GoBack"/>
      <w:bookmarkEnd w:id="0"/>
      <w:r>
        <w:rPr>
          <w:rFonts w:hint="default" w:ascii="仿宋_GB2312" w:eastAsia="仿宋_GB2312"/>
          <w:szCs w:val="32"/>
          <w:highlight w:val="none"/>
          <w:lang w:val="en-US" w:eastAsia="zh-CN" w:bidi="ar-SA"/>
        </w:rPr>
        <w:t>建成并投产防火门生产项目</w:t>
      </w:r>
      <w:r>
        <w:rPr>
          <w:rFonts w:hint="eastAsia" w:ascii="仿宋_GB2312" w:eastAsia="仿宋_GB2312"/>
          <w:szCs w:val="32"/>
          <w:highlight w:val="none"/>
          <w:lang w:val="en-US" w:eastAsia="zh-CN" w:bidi="ar-SA"/>
        </w:rPr>
        <w:t>，</w:t>
      </w:r>
      <w:r>
        <w:rPr>
          <w:rFonts w:hint="default" w:ascii="仿宋_GB2312" w:eastAsia="仿宋_GB2312"/>
          <w:szCs w:val="32"/>
          <w:highlight w:val="none"/>
          <w:lang w:val="en-US" w:eastAsia="zh-CN" w:bidi="ar-SA"/>
        </w:rPr>
        <w:t>项目主要生产设备有：剪板机1台、折弯机2台、冲床8台、喷粉机1台、固化炉2个、推台锯4台、压板机6台、修边机1台、喷漆房2个、打磨工位5个等。主要生产工艺流程为：①金属门：原材料(钢材)→开料→冲孔→喷粉→固化→包装；②木门：原材料(木材)→开料→压合→封边→喷漆→打磨→装配。产生的主要大气污染物</w:t>
      </w:r>
      <w:r>
        <w:rPr>
          <w:rFonts w:hint="eastAsia" w:ascii="仿宋_GB2312" w:eastAsia="仿宋_GB2312"/>
          <w:szCs w:val="32"/>
          <w:highlight w:val="none"/>
          <w:lang w:val="en-US" w:eastAsia="zh-CN" w:bidi="ar-SA"/>
        </w:rPr>
        <w:t>包括</w:t>
      </w:r>
      <w:r>
        <w:rPr>
          <w:rFonts w:hint="default" w:ascii="仿宋_GB2312" w:eastAsia="仿宋_GB2312"/>
          <w:szCs w:val="32"/>
          <w:highlight w:val="none"/>
          <w:lang w:val="en-US" w:eastAsia="zh-CN" w:bidi="ar-SA"/>
        </w:rPr>
        <w:t>有机废气</w:t>
      </w:r>
      <w:r>
        <w:rPr>
          <w:rFonts w:hint="eastAsia" w:ascii="仿宋_GB2312" w:eastAsia="仿宋_GB2312"/>
          <w:szCs w:val="32"/>
          <w:highlight w:val="none"/>
          <w:lang w:val="en-US" w:eastAsia="zh-CN" w:bidi="ar-SA"/>
        </w:rPr>
        <w:t>，</w:t>
      </w:r>
      <w:r>
        <w:rPr>
          <w:rFonts w:hint="default" w:ascii="仿宋_GB2312" w:eastAsia="仿宋_GB2312"/>
          <w:szCs w:val="32"/>
          <w:highlight w:val="none"/>
          <w:lang w:val="en-US" w:eastAsia="zh-CN" w:bidi="ar-SA"/>
        </w:rPr>
        <w:t>其中，固化有机废气经“水喷淋+除雾塔+活性炭吸附”设施处理后排放，喷漆有机废气经“水帘柜+水喷淋塔+UV光解+活性炭吸附”设施处理后排放。</w:t>
      </w:r>
    </w:p>
    <w:p>
      <w:pPr>
        <w:keepNext w:val="0"/>
        <w:keepLines w:val="0"/>
        <w:pageBreakBefore w:val="0"/>
        <w:widowControl w:val="0"/>
        <w:kinsoku/>
        <w:wordWrap/>
        <w:overflowPunct/>
        <w:topLinePunct w:val="0"/>
        <w:bidi w:val="0"/>
        <w:adjustRightInd/>
        <w:snapToGrid w:val="0"/>
        <w:spacing w:line="640" w:lineRule="exact"/>
        <w:ind w:firstLine="622"/>
        <w:textAlignment w:val="auto"/>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2021年10月14日，我局执法人员对当事人进行调查时发现，喷漆车间正在生产，产生有机废气，</w:t>
      </w:r>
      <w:r>
        <w:rPr>
          <w:rFonts w:hint="eastAsia" w:ascii="仿宋_GB2312" w:eastAsia="仿宋_GB2312"/>
          <w:szCs w:val="32"/>
          <w:highlight w:val="none"/>
          <w:lang w:val="en-US" w:eastAsia="zh-CN" w:bidi="ar-SA"/>
        </w:rPr>
        <w:t>但</w:t>
      </w:r>
      <w:r>
        <w:rPr>
          <w:rFonts w:hint="default" w:ascii="仿宋_GB2312" w:eastAsia="仿宋_GB2312"/>
          <w:szCs w:val="32"/>
          <w:highlight w:val="none"/>
          <w:lang w:val="en-US" w:eastAsia="zh-CN" w:bidi="ar-SA"/>
        </w:rPr>
        <w:t>配套的废气治理设施中活性炭槽未装填满，且喷淋塔喷淋废水通过集气管道进入UV光解处理箱和活性炭吸附箱内，废气治理设施未规范运行。当事人上述行为属于产生含挥发性有机物废气的生产活动</w:t>
      </w:r>
      <w:r>
        <w:rPr>
          <w:rFonts w:hint="eastAsia" w:ascii="仿宋_GB2312" w:eastAsia="仿宋_GB2312"/>
          <w:szCs w:val="32"/>
          <w:highlight w:val="none"/>
          <w:lang w:val="en-US" w:eastAsia="zh-CN" w:bidi="ar-SA"/>
        </w:rPr>
        <w:t>，</w:t>
      </w:r>
      <w:r>
        <w:rPr>
          <w:rFonts w:hint="default" w:ascii="仿宋_GB2312" w:eastAsia="仿宋_GB2312"/>
          <w:szCs w:val="32"/>
          <w:highlight w:val="none"/>
          <w:lang w:val="en-US" w:eastAsia="zh-CN" w:bidi="ar-SA"/>
        </w:rPr>
        <w:t>未按照规定使用污染防治设施</w:t>
      </w:r>
      <w:r>
        <w:rPr>
          <w:rFonts w:hint="eastAsia" w:ascii="仿宋_GB2312" w:eastAsia="仿宋_GB2312"/>
          <w:szCs w:val="32"/>
          <w:highlight w:val="none"/>
          <w:lang w:val="en-US" w:eastAsia="zh-CN" w:bidi="ar-SA"/>
        </w:rPr>
        <w:t>。</w:t>
      </w:r>
    </w:p>
    <w:p>
      <w:pPr>
        <w:keepNext w:val="0"/>
        <w:keepLines w:val="0"/>
        <w:pageBreakBefore w:val="0"/>
        <w:widowControl w:val="0"/>
        <w:kinsoku/>
        <w:wordWrap/>
        <w:overflowPunct/>
        <w:topLinePunct w:val="0"/>
        <w:bidi w:val="0"/>
        <w:adjustRightInd/>
        <w:snapToGrid w:val="0"/>
        <w:spacing w:line="640" w:lineRule="exact"/>
        <w:ind w:firstLine="622"/>
        <w:textAlignment w:val="auto"/>
        <w:rPr>
          <w:rFonts w:hint="default" w:ascii="仿宋_GB2312" w:eastAsia="仿宋_GB2312"/>
          <w:szCs w:val="32"/>
          <w:highlight w:val="none"/>
          <w:lang w:eastAsia="zh-CN" w:bidi="ar-SA"/>
        </w:rPr>
      </w:pPr>
      <w:r>
        <w:rPr>
          <w:rFonts w:hint="default" w:ascii="仿宋_GB2312" w:eastAsia="仿宋_GB2312"/>
          <w:szCs w:val="32"/>
          <w:highlight w:val="none"/>
          <w:lang w:val="en-US" w:eastAsia="zh-CN" w:bidi="ar-SA"/>
        </w:rPr>
        <w:t>以上事实，有《现场检查（勘察）笔录》、《调查询问笔录》、现场检查照片、营业执照复印件等证据材料予以证实。</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640" w:lineRule="exact"/>
        <w:ind w:left="0" w:leftChars="0" w:right="0" w:firstLine="624" w:firstLineChars="200"/>
        <w:jc w:val="both"/>
        <w:textAlignment w:val="auto"/>
        <w:rPr>
          <w:rFonts w:hint="eastAsia" w:ascii="仿宋_GB2312" w:hAnsi="仿宋_GB2312" w:eastAsia="仿宋_GB2312" w:cs="仿宋_GB2312"/>
          <w:b/>
          <w:bCs/>
          <w:kern w:val="0"/>
          <w:sz w:val="32"/>
          <w:szCs w:val="32"/>
          <w:highlight w:val="none"/>
          <w:lang w:val="en-US"/>
        </w:rPr>
      </w:pPr>
      <w:r>
        <w:rPr>
          <w:rFonts w:hint="eastAsia" w:ascii="仿宋_GB2312" w:hAnsi="仿宋_GB2312" w:eastAsia="仿宋_GB2312" w:cs="仿宋_GB2312"/>
          <w:b/>
          <w:bCs/>
          <w:kern w:val="0"/>
          <w:sz w:val="32"/>
          <w:szCs w:val="32"/>
          <w:highlight w:val="none"/>
          <w:lang w:val="en-US"/>
        </w:rPr>
        <w:t>规范依据、拟处罚告知及意见采纳情况及处罚内容</w:t>
      </w:r>
    </w:p>
    <w:p>
      <w:pPr>
        <w:keepNext w:val="0"/>
        <w:keepLines w:val="0"/>
        <w:pageBreakBefore w:val="0"/>
        <w:widowControl w:val="0"/>
        <w:kinsoku/>
        <w:wordWrap/>
        <w:overflowPunct/>
        <w:topLinePunct w:val="0"/>
        <w:bidi w:val="0"/>
        <w:adjustRightInd/>
        <w:snapToGrid w:val="0"/>
        <w:spacing w:line="640" w:lineRule="exact"/>
        <w:ind w:firstLine="622"/>
        <w:textAlignment w:val="auto"/>
        <w:rPr>
          <w:rFonts w:ascii="仿宋_GB2312" w:eastAsia="仿宋_GB2312"/>
          <w:sz w:val="32"/>
          <w:szCs w:val="32"/>
          <w:highlight w:val="none"/>
          <w:lang w:bidi="ar-SA"/>
        </w:rPr>
      </w:pPr>
      <w:r>
        <w:rPr>
          <w:rFonts w:ascii="仿宋_GB2312" w:eastAsia="仿宋_GB2312"/>
          <w:szCs w:val="32"/>
          <w:highlight w:val="none"/>
          <w:lang w:bidi="ar-SA"/>
        </w:rPr>
        <w:t>当事人上述行为违反了</w:t>
      </w:r>
      <w:r>
        <w:rPr>
          <w:rFonts w:hint="eastAsia" w:ascii="仿宋_GB2312" w:eastAsia="仿宋_GB2312"/>
          <w:szCs w:val="32"/>
          <w:highlight w:val="none"/>
          <w:lang w:val="en-US" w:eastAsia="zh-CN" w:bidi="ar-SA"/>
        </w:rPr>
        <w:t>《中华人民共和国大气污染防治法》第四十五条的规定。我局于</w:t>
      </w:r>
      <w:r>
        <w:rPr>
          <w:rFonts w:hint="eastAsia" w:ascii="仿宋_GB2312" w:eastAsia="仿宋_GB2312"/>
          <w:sz w:val="32"/>
          <w:szCs w:val="32"/>
          <w:highlight w:val="none"/>
          <w:lang w:val="en-US" w:eastAsia="zh-CN" w:bidi="ar-SA"/>
        </w:rPr>
        <w:t>2021年11月12日向当事人送达《行政处罚听证告知书》（南环听告字〔2021〕150号），告知当事人拟作出的处罚内容及事实、理由、依据，并告知了陈述、申辩和要求听证的权利。当事人于同月15日向我局提出听证申请，我局于同年12月2日依法组织召开听证会。当事人提出的主要听证会意见如下：“1、针对有机废气治理设施活性炭槽未装填满的问题：我司有机废气在活性炭箱内的运行轨迹呈倒“S”型流动，设计方案中活性炭箱内的活性炭是呈倒“S”型设计，我司并未恶意未装填满活性炭槽，而是根据设计要求进行活性炭放置。2、针对喷淋塔喷淋废水通过集气管道进入UV光解处理箱和活性炭吸附箱的问题：我司于2021年10月13日当天对设备进行检修，发现水喷淋塔风球出现堵塞，原计划于2021年10月14日进行风球更换，检查当天我司是有计划进行活性炭及风球更换的行为，不是未按照规定使用污染防治设施的行为。”</w:t>
      </w:r>
    </w:p>
    <w:p>
      <w:pPr>
        <w:pStyle w:val="13"/>
        <w:keepNext w:val="0"/>
        <w:keepLines w:val="0"/>
        <w:pageBreakBefore w:val="0"/>
        <w:widowControl w:val="0"/>
        <w:kinsoku/>
        <w:wordWrap/>
        <w:overflowPunct/>
        <w:topLinePunct w:val="0"/>
        <w:bidi w:val="0"/>
        <w:adjustRightInd/>
        <w:snapToGrid w:val="0"/>
        <w:spacing w:line="640" w:lineRule="exact"/>
        <w:ind w:firstLine="622"/>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2022年1月25日，我局现场复查发现，当事人未生产，治理设施未运行，活性炭箱已装填满活性炭。</w:t>
      </w:r>
    </w:p>
    <w:p>
      <w:pPr>
        <w:pStyle w:val="13"/>
        <w:keepNext w:val="0"/>
        <w:keepLines w:val="0"/>
        <w:pageBreakBefore w:val="0"/>
        <w:widowControl w:val="0"/>
        <w:kinsoku/>
        <w:wordWrap/>
        <w:overflowPunct/>
        <w:topLinePunct w:val="0"/>
        <w:bidi w:val="0"/>
        <w:adjustRightInd/>
        <w:snapToGrid w:val="0"/>
        <w:spacing w:line="640" w:lineRule="exact"/>
        <w:ind w:firstLine="622"/>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审查，我局认为，根据当事人提交的废气处理设施设计方案等材料，未能证明污染防治设施中活性炭的装填呈倒“S”型设计，另外，现场检查当日，当事人正在生产但污染防治设施未规范运行，事实清楚。因此，当事人的申辩意见不影响本案定性。</w:t>
      </w:r>
    </w:p>
    <w:p>
      <w:pPr>
        <w:pStyle w:val="13"/>
        <w:keepNext w:val="0"/>
        <w:keepLines w:val="0"/>
        <w:pageBreakBefore w:val="0"/>
        <w:widowControl w:val="0"/>
        <w:kinsoku/>
        <w:wordWrap/>
        <w:overflowPunct/>
        <w:topLinePunct w:val="0"/>
        <w:bidi w:val="0"/>
        <w:adjustRightInd/>
        <w:snapToGrid w:val="0"/>
        <w:spacing w:line="640" w:lineRule="exact"/>
        <w:ind w:firstLine="622"/>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综上所述，当事人确有产生含挥发性有机物废气的生产活动，未按照规定使用污染防治设施的违法行为，应当予以处罚，但考虑到当事人存在整改的情节，经集体审议，我局决定在告知书处罚数额的基础上予以从轻处罚。现本案经我局审查结束。</w:t>
      </w:r>
    </w:p>
    <w:p>
      <w:pPr>
        <w:pStyle w:val="13"/>
        <w:keepNext w:val="0"/>
        <w:keepLines w:val="0"/>
        <w:pageBreakBefore w:val="0"/>
        <w:widowControl w:val="0"/>
        <w:kinsoku/>
        <w:wordWrap/>
        <w:overflowPunct/>
        <w:topLinePunct w:val="0"/>
        <w:bidi w:val="0"/>
        <w:adjustRightInd/>
        <w:snapToGrid w:val="0"/>
        <w:spacing w:line="640" w:lineRule="exact"/>
        <w:ind w:firstLine="622"/>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中华人民共和国大气污染防治法》第一百零八条第一项、《广东省生态环境行政处罚自由裁量权规定》第八条第一款第二项及《广州市规范生态环境行政处罚自由裁量权规定》第十一条第二款第二项的规定，我局现对当事人作出如下决定：</w:t>
      </w:r>
    </w:p>
    <w:p>
      <w:pPr>
        <w:pStyle w:val="13"/>
        <w:keepNext w:val="0"/>
        <w:keepLines w:val="0"/>
        <w:pageBreakBefore w:val="0"/>
        <w:widowControl w:val="0"/>
        <w:numPr>
          <w:ilvl w:val="0"/>
          <w:numId w:val="2"/>
        </w:numPr>
        <w:kinsoku/>
        <w:wordWrap/>
        <w:overflowPunct/>
        <w:topLinePunct w:val="0"/>
        <w:bidi w:val="0"/>
        <w:adjustRightInd/>
        <w:snapToGrid w:val="0"/>
        <w:spacing w:line="640" w:lineRule="exact"/>
        <w:ind w:firstLine="622"/>
        <w:textAlignment w:val="auto"/>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责令改正违法行为；</w:t>
      </w:r>
    </w:p>
    <w:p>
      <w:pPr>
        <w:pStyle w:val="13"/>
        <w:keepNext w:val="0"/>
        <w:keepLines w:val="0"/>
        <w:pageBreakBefore w:val="0"/>
        <w:widowControl w:val="0"/>
        <w:numPr>
          <w:ilvl w:val="0"/>
          <w:numId w:val="2"/>
        </w:numPr>
        <w:kinsoku/>
        <w:wordWrap/>
        <w:overflowPunct/>
        <w:topLinePunct w:val="0"/>
        <w:bidi w:val="0"/>
        <w:adjustRightInd/>
        <w:snapToGrid w:val="0"/>
        <w:spacing w:line="640" w:lineRule="exact"/>
        <w:ind w:firstLine="622"/>
        <w:textAlignment w:val="auto"/>
        <w:rPr>
          <w:rFonts w:hint="default"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处罚款60000元（陆万元整）。</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4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b/>
          <w:bCs/>
          <w:kern w:val="0"/>
          <w:sz w:val="32"/>
          <w:szCs w:val="32"/>
          <w:highlight w:val="none"/>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4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限当事人在收到本处罚决定书之日起15日内，按照《</w:t>
      </w:r>
      <w:r>
        <w:rPr>
          <w:rFonts w:hint="eastAsia" w:ascii="仿宋_GB2312" w:hAnsi="仿宋_GB2312" w:eastAsia="仿宋_GB2312" w:cs="仿宋_GB2312"/>
          <w:kern w:val="0"/>
          <w:sz w:val="32"/>
          <w:szCs w:val="32"/>
          <w:highlight w:val="none"/>
          <w:lang w:val="en-US" w:eastAsia="zh-CN"/>
        </w:rPr>
        <w:t>广州市非税收入罚款通知书</w:t>
      </w:r>
      <w:r>
        <w:rPr>
          <w:rFonts w:hint="eastAsia" w:ascii="仿宋_GB2312" w:hAnsi="仿宋_GB2312" w:eastAsia="仿宋_GB2312" w:cs="仿宋_GB2312"/>
          <w:kern w:val="0"/>
          <w:sz w:val="32"/>
          <w:szCs w:val="32"/>
          <w:highlight w:val="none"/>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highlight w:val="none"/>
          <w:lang w:val="en-US" w:eastAsia="zh-CN"/>
        </w:rPr>
        <w:t>收费</w:t>
      </w:r>
      <w:r>
        <w:rPr>
          <w:rFonts w:hint="eastAsia" w:ascii="仿宋_GB2312" w:hAnsi="仿宋_GB2312" w:eastAsia="仿宋_GB2312" w:cs="仿宋_GB2312"/>
          <w:kern w:val="0"/>
          <w:sz w:val="32"/>
          <w:szCs w:val="32"/>
          <w:highlight w:val="none"/>
          <w:lang w:val="en-US"/>
        </w:rPr>
        <w:t>项目编码：</w:t>
      </w:r>
      <w:r>
        <w:rPr>
          <w:rFonts w:hint="eastAsia" w:ascii="仿宋_GB2312" w:hAnsi="仿宋_GB2312" w:eastAsia="仿宋_GB2312" w:cs="仿宋_GB2312"/>
          <w:kern w:val="0"/>
          <w:sz w:val="32"/>
          <w:szCs w:val="32"/>
          <w:highlight w:val="none"/>
          <w:lang w:val="en-US" w:eastAsia="zh-CN"/>
        </w:rPr>
        <w:t>103050125100</w:t>
      </w:r>
      <w:r>
        <w:rPr>
          <w:rFonts w:hint="eastAsia" w:ascii="仿宋_GB2312" w:hAnsi="仿宋_GB2312" w:eastAsia="仿宋_GB2312" w:cs="仿宋_GB2312"/>
          <w:kern w:val="0"/>
          <w:sz w:val="32"/>
          <w:szCs w:val="32"/>
          <w:highlight w:val="none"/>
          <w:lang w:val="en-US"/>
        </w:rPr>
        <w:t>。</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64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64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kern w:val="0"/>
          <w:sz w:val="32"/>
          <w:szCs w:val="32"/>
          <w:highlight w:val="none"/>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64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64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40" w:lineRule="exact"/>
        <w:ind w:right="964"/>
        <w:jc w:val="right"/>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40" w:lineRule="exact"/>
        <w:ind w:right="964"/>
        <w:jc w:val="center"/>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eastAsia="zh-CN"/>
        </w:rPr>
        <w:t xml:space="preserve">                                    2022</w:t>
      </w:r>
      <w:r>
        <w:rPr>
          <w:rFonts w:hint="eastAsia" w:ascii="仿宋_GB2312" w:hAnsi="仿宋_GB2312" w:eastAsia="仿宋_GB2312" w:cs="仿宋_GB2312"/>
          <w:kern w:val="0"/>
          <w:sz w:val="32"/>
          <w:szCs w:val="32"/>
          <w:highlight w:val="none"/>
          <w:lang w:val="en-US"/>
        </w:rPr>
        <w:t>年</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lang w:val="en-US"/>
        </w:rPr>
        <w:t>月</w:t>
      </w:r>
      <w:r>
        <w:rPr>
          <w:rFonts w:hint="eastAsia" w:ascii="仿宋_GB2312" w:hAnsi="仿宋_GB2312" w:eastAsia="仿宋_GB2312" w:cs="仿宋_GB2312"/>
          <w:kern w:val="0"/>
          <w:sz w:val="32"/>
          <w:szCs w:val="32"/>
          <w:highlight w:val="none"/>
          <w:lang w:val="en-US" w:eastAsia="zh-CN"/>
        </w:rPr>
        <w:t>21</w:t>
      </w:r>
      <w:r>
        <w:rPr>
          <w:rFonts w:hint="eastAsia" w:ascii="仿宋_GB2312" w:hAnsi="仿宋_GB2312" w:eastAsia="仿宋_GB2312" w:cs="仿宋_GB2312"/>
          <w:kern w:val="0"/>
          <w:sz w:val="32"/>
          <w:szCs w:val="32"/>
          <w:highlight w:val="none"/>
          <w:lang w:val="en-US"/>
        </w:rPr>
        <w:t>日</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40" w:lineRule="exact"/>
        <w:ind w:right="964"/>
        <w:jc w:val="center"/>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40" w:lineRule="exact"/>
        <w:ind w:right="964"/>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（联系电话：020-39053008、39053079、39078029）</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center"/>
        <w:textAlignment w:val="auto"/>
        <w:rPr>
          <w:rFonts w:hint="eastAsia" w:ascii="仿宋_GB2312" w:hAnsi="仿宋_GB2312" w:eastAsia="仿宋_GB2312" w:cs="仿宋_GB2312"/>
          <w:kern w:val="0"/>
          <w:sz w:val="32"/>
          <w:szCs w:val="32"/>
          <w:highlight w:val="none"/>
          <w:lang w:val="en-US"/>
        </w:rPr>
      </w:pP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8C2ED8"/>
    <w:multiLevelType w:val="singleLevel"/>
    <w:tmpl w:val="A98C2ED8"/>
    <w:lvl w:ilvl="0" w:tentative="0">
      <w:start w:val="1"/>
      <w:numFmt w:val="decimal"/>
      <w:suff w:val="nothing"/>
      <w:lvlText w:val="%1、"/>
      <w:lvlJc w:val="left"/>
    </w:lvl>
  </w:abstractNum>
  <w:abstractNum w:abstractNumId="1">
    <w:nsid w:val="C5265656"/>
    <w:multiLevelType w:val="singleLevel"/>
    <w:tmpl w:val="C5265656"/>
    <w:lvl w:ilvl="0" w:tentative="0">
      <w:start w:val="1"/>
      <w:numFmt w:val="chineseCounting"/>
      <w:suff w:val="nothing"/>
      <w:lvlText w:val="%1、"/>
      <w:lvlJc w:val="left"/>
      <w:rPr>
        <w:rFonts w:hint="eastAsia" w:cs="Times New Roman"/>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18B5B2B"/>
    <w:rsid w:val="037B165A"/>
    <w:rsid w:val="042E4ABE"/>
    <w:rsid w:val="05B41169"/>
    <w:rsid w:val="060519C4"/>
    <w:rsid w:val="061C17E8"/>
    <w:rsid w:val="06D43381"/>
    <w:rsid w:val="08CE223F"/>
    <w:rsid w:val="09265ED9"/>
    <w:rsid w:val="097E2A01"/>
    <w:rsid w:val="0A2543B0"/>
    <w:rsid w:val="0AEC217D"/>
    <w:rsid w:val="0C0B585A"/>
    <w:rsid w:val="0C812ABC"/>
    <w:rsid w:val="0D8F784B"/>
    <w:rsid w:val="0EE059AD"/>
    <w:rsid w:val="118D7E17"/>
    <w:rsid w:val="13084C8A"/>
    <w:rsid w:val="16423E59"/>
    <w:rsid w:val="175A3225"/>
    <w:rsid w:val="18A95050"/>
    <w:rsid w:val="1A03077F"/>
    <w:rsid w:val="1A642E58"/>
    <w:rsid w:val="1AAD08FA"/>
    <w:rsid w:val="1B522B5E"/>
    <w:rsid w:val="1D94745E"/>
    <w:rsid w:val="1E0F11DA"/>
    <w:rsid w:val="1E641370"/>
    <w:rsid w:val="1F70574E"/>
    <w:rsid w:val="202757FA"/>
    <w:rsid w:val="20623843"/>
    <w:rsid w:val="206F2007"/>
    <w:rsid w:val="21164D6D"/>
    <w:rsid w:val="21B65544"/>
    <w:rsid w:val="21D679DF"/>
    <w:rsid w:val="21F41F0F"/>
    <w:rsid w:val="22ED6528"/>
    <w:rsid w:val="240866C2"/>
    <w:rsid w:val="24303317"/>
    <w:rsid w:val="24882764"/>
    <w:rsid w:val="24997A50"/>
    <w:rsid w:val="24AF387E"/>
    <w:rsid w:val="25184E18"/>
    <w:rsid w:val="26163369"/>
    <w:rsid w:val="27FA42A3"/>
    <w:rsid w:val="28814A83"/>
    <w:rsid w:val="29CF6BA5"/>
    <w:rsid w:val="2A1B2A10"/>
    <w:rsid w:val="2AF9131E"/>
    <w:rsid w:val="2B34606A"/>
    <w:rsid w:val="2BBB56B5"/>
    <w:rsid w:val="2C003E7D"/>
    <w:rsid w:val="2D4113EF"/>
    <w:rsid w:val="2D522E91"/>
    <w:rsid w:val="2D6B6CD8"/>
    <w:rsid w:val="2DC53663"/>
    <w:rsid w:val="2E840E29"/>
    <w:rsid w:val="2EC60F6B"/>
    <w:rsid w:val="3083461B"/>
    <w:rsid w:val="32F86059"/>
    <w:rsid w:val="339A7CD0"/>
    <w:rsid w:val="354B611B"/>
    <w:rsid w:val="3574490A"/>
    <w:rsid w:val="364E7F10"/>
    <w:rsid w:val="36AE0FE2"/>
    <w:rsid w:val="36C870C4"/>
    <w:rsid w:val="37A271E0"/>
    <w:rsid w:val="38787C50"/>
    <w:rsid w:val="38B93634"/>
    <w:rsid w:val="38F42AF1"/>
    <w:rsid w:val="394771CA"/>
    <w:rsid w:val="39C24EFB"/>
    <w:rsid w:val="3B2D4DBE"/>
    <w:rsid w:val="3B7D45F9"/>
    <w:rsid w:val="3BE9328D"/>
    <w:rsid w:val="3C165DE2"/>
    <w:rsid w:val="3C4A1FD5"/>
    <w:rsid w:val="3CA51F94"/>
    <w:rsid w:val="3CD06325"/>
    <w:rsid w:val="3CE77E75"/>
    <w:rsid w:val="3D1D1709"/>
    <w:rsid w:val="3D4F2F4A"/>
    <w:rsid w:val="3F034600"/>
    <w:rsid w:val="3F3E1C89"/>
    <w:rsid w:val="3FB37C1A"/>
    <w:rsid w:val="405C29A5"/>
    <w:rsid w:val="40BC26A4"/>
    <w:rsid w:val="43467F99"/>
    <w:rsid w:val="457C68A6"/>
    <w:rsid w:val="458D3377"/>
    <w:rsid w:val="479802F2"/>
    <w:rsid w:val="47BD27EF"/>
    <w:rsid w:val="4B8C523D"/>
    <w:rsid w:val="4B92472D"/>
    <w:rsid w:val="4C95683A"/>
    <w:rsid w:val="4CD56ED8"/>
    <w:rsid w:val="4D2910C1"/>
    <w:rsid w:val="4F715032"/>
    <w:rsid w:val="4FE5550C"/>
    <w:rsid w:val="50242014"/>
    <w:rsid w:val="50515F4D"/>
    <w:rsid w:val="510460CD"/>
    <w:rsid w:val="51966304"/>
    <w:rsid w:val="533A57BE"/>
    <w:rsid w:val="549332C4"/>
    <w:rsid w:val="54BF230B"/>
    <w:rsid w:val="553B468B"/>
    <w:rsid w:val="569C35B8"/>
    <w:rsid w:val="56DB09D8"/>
    <w:rsid w:val="57FF2E68"/>
    <w:rsid w:val="58A4031C"/>
    <w:rsid w:val="58DF2354"/>
    <w:rsid w:val="59B63CDD"/>
    <w:rsid w:val="5A612936"/>
    <w:rsid w:val="5AD03F4E"/>
    <w:rsid w:val="5B413F46"/>
    <w:rsid w:val="5F9F165E"/>
    <w:rsid w:val="62E4338E"/>
    <w:rsid w:val="63BA4851"/>
    <w:rsid w:val="64582203"/>
    <w:rsid w:val="6530525C"/>
    <w:rsid w:val="66E76AA8"/>
    <w:rsid w:val="68655FB9"/>
    <w:rsid w:val="6A6930F0"/>
    <w:rsid w:val="6BC041CD"/>
    <w:rsid w:val="6E7004A6"/>
    <w:rsid w:val="6F375468"/>
    <w:rsid w:val="6F3F118A"/>
    <w:rsid w:val="705B0CE2"/>
    <w:rsid w:val="705E44AE"/>
    <w:rsid w:val="71397275"/>
    <w:rsid w:val="71F15DA2"/>
    <w:rsid w:val="73EE4748"/>
    <w:rsid w:val="7403572B"/>
    <w:rsid w:val="74C23A26"/>
    <w:rsid w:val="756C1B4E"/>
    <w:rsid w:val="75D8377E"/>
    <w:rsid w:val="76975649"/>
    <w:rsid w:val="77866F8C"/>
    <w:rsid w:val="787F2185"/>
    <w:rsid w:val="791B7F86"/>
    <w:rsid w:val="79AE6349"/>
    <w:rsid w:val="7BE05C65"/>
    <w:rsid w:val="7BEE5DAA"/>
    <w:rsid w:val="7CCE4EED"/>
    <w:rsid w:val="7E924DD4"/>
    <w:rsid w:val="7F52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qFormat/>
    <w:uiPriority w:val="0"/>
    <w:rPr>
      <w:color w:val="0000FF"/>
      <w:u w:val="single"/>
    </w:rPr>
  </w:style>
  <w:style w:type="paragraph" w:customStyle="1" w:styleId="10">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2022-03-25T07:35:35Z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