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74</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当事人：广州毅翚金属加工机械有限公司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w:t>
      </w:r>
      <w:bookmarkStart w:id="0" w:name="_GoBack"/>
      <w:bookmarkEnd w:id="0"/>
      <w:r>
        <w:rPr>
          <w:rFonts w:hint="default" w:ascii="仿宋_GB2312" w:eastAsia="仿宋_GB2312"/>
          <w:szCs w:val="32"/>
          <w:highlight w:val="none"/>
          <w:lang w:val="en-US" w:eastAsia="zh-CN" w:bidi="ar-SA"/>
        </w:rPr>
        <w:t>建成专用设备生产项目，于2017年10月建成并投入生产。项目主要生产设备有：车床2台、数控车床1台、CNC加工中心2台、大立铣1台、铣床2台、摇臂钻床1台、台式钻床1台、切割机1台、线切割3台、剪板机1台、折弯机1台、保护焊2台、等离子切割机1台、锯床2台、攻牙机1台、螺杆式压缩机1台等。主要生产工艺流程为：原材料→开料→折弯→机加工→外发喷涂→装配→装电→成品（焊机）。项目主要产生的废水为生活污水，经自建一体化污水处理设施处理后排放。</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7月28日，我局委托广东省科学院测试分析研究所（中国广州分析测试中心）对当事人废水排放口（水-01）排放的废水进行采样监测，监测结果显示：总磷浓度为1.28mg/L，超过了广东省地方标准《水污染物排放限值》（DB44/26-2001）中规定的第二时段一级标准污染物最高允许排放浓度限值（总磷：0.5mg/L），当事人存在</w:t>
      </w:r>
      <w:r>
        <w:rPr>
          <w:rFonts w:hint="eastAsia" w:ascii="仿宋_GB2312" w:eastAsia="仿宋_GB2312"/>
          <w:szCs w:val="32"/>
          <w:highlight w:val="none"/>
          <w:lang w:val="en-US" w:eastAsia="zh-CN" w:bidi="ar-SA"/>
        </w:rPr>
        <w:t>超标排放水污染物的违法行为。</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以上事实，有《现场检查笔录》、《调查询问笔录》、现场检查照片、营业执照复印件、《监测报告》</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《固定污染源排污登记表》等证据材料予以证实。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ascii="仿宋_GB2312" w:eastAsia="仿宋_GB2312"/>
          <w:sz w:val="32"/>
          <w:szCs w:val="32"/>
          <w:highlight w:val="none"/>
          <w:lang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《中华人民共和国水污染防治法》第十条的规定。我局于</w:t>
      </w:r>
      <w:r>
        <w:rPr>
          <w:rFonts w:hint="eastAsia" w:ascii="仿宋_GB2312" w:eastAsia="仿宋_GB2312"/>
          <w:sz w:val="32"/>
          <w:szCs w:val="32"/>
          <w:highlight w:val="none"/>
          <w:lang w:val="en-US" w:eastAsia="zh-CN" w:bidi="ar-SA"/>
        </w:rPr>
        <w:t>2021年10月27日向当事人送达《行政处罚听证告知书》（南环听告字〔2021〕143号），告知当事人拟作出的处罚内容及事实、理由、依据，并告知了陈述、申辩和要求听证的权利，当事人于同日向我局提交书面陈述、申辩意见，提出的主要申辩意见如下：“我司已于2021年10月23日上午整改完毕（附整改图片）,贵局执法人员在当日下午到我司整改处拍照取证，并提出除磷设备调试合格前不得私自用水,调试合格水质达标后可申请复测,并可申请车间用水。我司从整改后,车间无用水现象,目前处于安装除磷设备施工阶段（附已进厂设备图片）,项目完工后我司将按流程申请水质检测。”</w:t>
      </w:r>
    </w:p>
    <w:p>
      <w:pPr>
        <w:pStyle w:val="13"/>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2021年10月22日，我局现场核查发现，当事人未生产，废水排放口无废水排放，正在对污水处理设施进行整改。2021年12月7日，我局再次核查发现，当事人未生产，已完成对污水处理设施的整改。2021年12月13日，当事人委托第三方公司对外排废水进行检测，监测结果显示，废水达标排放。</w:t>
      </w:r>
    </w:p>
    <w:p>
      <w:pPr>
        <w:pStyle w:val="13"/>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当事人的申辩意见不影响本案定性，当事人确有超标排放水污染物的违法行为，应当予以处罚，但考虑到当事人存在积极配合改正违法行为、现已完成整改的情节，我局决定对当事人作出法定最低罚款额度的处罚。本案事实清楚、法律适用正确，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根据《中华人民共和国水污染防治法》第八十三条第二项及《广州市规范生态环境行政处罚自由裁量权规定》附件第6.1.3.3.4项的规定，我局现对当事人作出如下决定：</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2、处罚款10万元（壹拾万元整）。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广州市非税收入罚款通知书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103050125100 </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31</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E47D1A"/>
    <w:rsid w:val="02F95761"/>
    <w:rsid w:val="037B165A"/>
    <w:rsid w:val="042E4ABE"/>
    <w:rsid w:val="057E0929"/>
    <w:rsid w:val="05C81AD8"/>
    <w:rsid w:val="061C17E8"/>
    <w:rsid w:val="06825418"/>
    <w:rsid w:val="06826B71"/>
    <w:rsid w:val="06D43381"/>
    <w:rsid w:val="07F13FAE"/>
    <w:rsid w:val="08CE223F"/>
    <w:rsid w:val="097E2A01"/>
    <w:rsid w:val="0BC639A4"/>
    <w:rsid w:val="0C812ABC"/>
    <w:rsid w:val="0D4508F8"/>
    <w:rsid w:val="0D8F784B"/>
    <w:rsid w:val="0EE059AD"/>
    <w:rsid w:val="1269692C"/>
    <w:rsid w:val="16423E59"/>
    <w:rsid w:val="175A3225"/>
    <w:rsid w:val="18A95050"/>
    <w:rsid w:val="1A642E58"/>
    <w:rsid w:val="1AAD08FA"/>
    <w:rsid w:val="1D1C1676"/>
    <w:rsid w:val="1E58492F"/>
    <w:rsid w:val="1E641370"/>
    <w:rsid w:val="1FE2130C"/>
    <w:rsid w:val="1FE73205"/>
    <w:rsid w:val="202757FA"/>
    <w:rsid w:val="206F2007"/>
    <w:rsid w:val="21B05C47"/>
    <w:rsid w:val="234B6811"/>
    <w:rsid w:val="23742AB5"/>
    <w:rsid w:val="240866C2"/>
    <w:rsid w:val="24303317"/>
    <w:rsid w:val="24AF387E"/>
    <w:rsid w:val="260814DB"/>
    <w:rsid w:val="27FA42A3"/>
    <w:rsid w:val="28C826B1"/>
    <w:rsid w:val="2A1B2A10"/>
    <w:rsid w:val="2B34606A"/>
    <w:rsid w:val="2BBB56B5"/>
    <w:rsid w:val="2C003E7D"/>
    <w:rsid w:val="2D4113EF"/>
    <w:rsid w:val="2D6B6CD8"/>
    <w:rsid w:val="2D72060D"/>
    <w:rsid w:val="2F251DD2"/>
    <w:rsid w:val="2F966B8C"/>
    <w:rsid w:val="32625925"/>
    <w:rsid w:val="32F86059"/>
    <w:rsid w:val="339A7CD0"/>
    <w:rsid w:val="34B62246"/>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487C50"/>
    <w:rsid w:val="3F8C5D8F"/>
    <w:rsid w:val="3FB37C1A"/>
    <w:rsid w:val="405C29A5"/>
    <w:rsid w:val="479802F2"/>
    <w:rsid w:val="47BD27EF"/>
    <w:rsid w:val="483376F0"/>
    <w:rsid w:val="4AD66A58"/>
    <w:rsid w:val="4B4B11F4"/>
    <w:rsid w:val="4B7047B7"/>
    <w:rsid w:val="4B8C523D"/>
    <w:rsid w:val="4C95683A"/>
    <w:rsid w:val="4CD56ED8"/>
    <w:rsid w:val="4F4563E9"/>
    <w:rsid w:val="4FE5550C"/>
    <w:rsid w:val="50515F4D"/>
    <w:rsid w:val="512E01ED"/>
    <w:rsid w:val="51966304"/>
    <w:rsid w:val="533A57BE"/>
    <w:rsid w:val="53682217"/>
    <w:rsid w:val="5539030F"/>
    <w:rsid w:val="567B117E"/>
    <w:rsid w:val="56DB09D8"/>
    <w:rsid w:val="5820511C"/>
    <w:rsid w:val="582A0D9F"/>
    <w:rsid w:val="58A4031C"/>
    <w:rsid w:val="58DF2354"/>
    <w:rsid w:val="59665310"/>
    <w:rsid w:val="5A612936"/>
    <w:rsid w:val="5AD03F4E"/>
    <w:rsid w:val="5BD3501A"/>
    <w:rsid w:val="5EA507C4"/>
    <w:rsid w:val="6063273E"/>
    <w:rsid w:val="63BA4851"/>
    <w:rsid w:val="643F0D73"/>
    <w:rsid w:val="64582203"/>
    <w:rsid w:val="66E76AA8"/>
    <w:rsid w:val="67395F4D"/>
    <w:rsid w:val="679F2254"/>
    <w:rsid w:val="6A6930F0"/>
    <w:rsid w:val="6BC041CD"/>
    <w:rsid w:val="6F3F118A"/>
    <w:rsid w:val="715776FB"/>
    <w:rsid w:val="7398511A"/>
    <w:rsid w:val="73EE4748"/>
    <w:rsid w:val="74956EB9"/>
    <w:rsid w:val="752E4C17"/>
    <w:rsid w:val="756C1B4E"/>
    <w:rsid w:val="75D8377E"/>
    <w:rsid w:val="76975649"/>
    <w:rsid w:val="787F2185"/>
    <w:rsid w:val="78C80056"/>
    <w:rsid w:val="791B7F86"/>
    <w:rsid w:val="79AE6349"/>
    <w:rsid w:val="7BE05C65"/>
    <w:rsid w:val="7BEE5DAA"/>
    <w:rsid w:val="7CCE4EED"/>
    <w:rsid w:val="7D391866"/>
    <w:rsid w:val="7E3A1113"/>
    <w:rsid w:val="7E6161FA"/>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2022-01-14T02:36:30Z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