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highlight w:val="none"/>
          <w:u w:val="none"/>
        </w:rPr>
        <w:t>南环罚字〔2021〕</w:t>
      </w:r>
      <w:r>
        <w:rPr>
          <w:rFonts w:hint="eastAsia" w:ascii="仿宋_GB2312" w:hAnsi="仿宋_GB2312" w:eastAsia="仿宋_GB2312" w:cs="仿宋_GB2312"/>
          <w:sz w:val="32"/>
          <w:szCs w:val="32"/>
          <w:highlight w:val="none"/>
          <w:u w:val="none"/>
          <w:lang w:val="en-US" w:eastAsia="zh-CN"/>
        </w:rPr>
        <w:t>72</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jc w:val="both"/>
        <w:textAlignment w:val="auto"/>
        <w:rPr>
          <w:rFonts w:hint="default" w:ascii="仿宋_GB2312" w:hAnsi="仿宋_GB2312" w:eastAsia="仿宋_GB2312" w:cs="仿宋_GB2312"/>
          <w:kern w:val="0"/>
          <w:sz w:val="32"/>
          <w:szCs w:val="32"/>
          <w:highlight w:val="none"/>
          <w:lang w:val="en-US" w:eastAsia="zh-CN"/>
        </w:rPr>
      </w:pPr>
      <w:r>
        <w:rPr>
          <w:rFonts w:hint="default" w:ascii="仿宋_GB2312" w:hAnsi="仿宋_GB2312" w:eastAsia="仿宋_GB2312" w:cs="仿宋_GB2312"/>
          <w:kern w:val="0"/>
          <w:sz w:val="32"/>
          <w:szCs w:val="32"/>
          <w:highlight w:val="none"/>
          <w:lang w:val="en-US" w:eastAsia="zh-CN"/>
        </w:rPr>
        <w:t>当事人：广州市南沙区威财河粉厂</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keepNext w:val="0"/>
        <w:keepLines w:val="0"/>
        <w:pageBreakBefore w:val="0"/>
        <w:widowControl w:val="0"/>
        <w:kinsoku/>
        <w:wordWrap/>
        <w:overflowPunct/>
        <w:topLinePunct w:val="0"/>
        <w:bidi w:val="0"/>
        <w:adjustRightInd/>
        <w:snapToGrid w:val="0"/>
        <w:spacing w:line="520" w:lineRule="exact"/>
        <w:ind w:firstLine="622"/>
        <w:textAlignment w:val="auto"/>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当事人建成河粉生产项目，于2011年8月建成并投入生产。主要生产工艺流程为：原料→浸泡→搅拌→蒸煮→成品，主要产生的水污染物为：大米浸泡过程中产生的清洗废水，经自建生化处理设备处理后排入市政污水管网。</w:t>
      </w:r>
    </w:p>
    <w:p>
      <w:pPr>
        <w:keepNext w:val="0"/>
        <w:keepLines w:val="0"/>
        <w:pageBreakBefore w:val="0"/>
        <w:widowControl w:val="0"/>
        <w:kinsoku/>
        <w:wordWrap/>
        <w:overflowPunct/>
        <w:topLinePunct w:val="0"/>
        <w:bidi w:val="0"/>
        <w:adjustRightInd/>
        <w:snapToGrid w:val="0"/>
        <w:spacing w:line="520" w:lineRule="exact"/>
        <w:ind w:firstLine="622"/>
        <w:textAlignment w:val="auto"/>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2021年8月23日，当事人正在生产，污水处理设施正在运行，我局委托广东省科学院测试分析研究所（中国广州分析测试中心）对当事人废水排放口（水-01）排放的废水进行采样监测，监测报告结果显示，化学需氧量浓度为1.33×10</w:t>
      </w:r>
      <w:r>
        <w:rPr>
          <w:rFonts w:hint="default" w:ascii="仿宋_GB2312" w:eastAsia="仿宋_GB2312"/>
          <w:szCs w:val="32"/>
          <w:highlight w:val="none"/>
          <w:vertAlign w:val="superscript"/>
          <w:lang w:val="en-US" w:eastAsia="zh-CN" w:bidi="ar-SA"/>
        </w:rPr>
        <w:t>3</w:t>
      </w:r>
      <w:r>
        <w:rPr>
          <w:rFonts w:hint="default" w:ascii="仿宋_GB2312" w:eastAsia="仿宋_GB2312"/>
          <w:szCs w:val="32"/>
          <w:highlight w:val="none"/>
          <w:lang w:val="en-US" w:eastAsia="zh-CN" w:bidi="ar-SA"/>
        </w:rPr>
        <w:t>mg/L，超出广东省《水污染物排放限值》（DB44/26 -2001）中规定的第二时段三级标准污染物最高允许排放浓度限值（化学需氧量：500mg/L），当事人存在超标排</w:t>
      </w:r>
      <w:bookmarkStart w:id="0" w:name="_GoBack"/>
      <w:bookmarkEnd w:id="0"/>
      <w:r>
        <w:rPr>
          <w:rFonts w:hint="default" w:ascii="仿宋_GB2312" w:eastAsia="仿宋_GB2312"/>
          <w:szCs w:val="32"/>
          <w:highlight w:val="none"/>
          <w:lang w:val="en-US" w:eastAsia="zh-CN" w:bidi="ar-SA"/>
        </w:rPr>
        <w:t>放水污染物的违法行为。</w:t>
      </w:r>
    </w:p>
    <w:p>
      <w:pPr>
        <w:keepNext w:val="0"/>
        <w:keepLines w:val="0"/>
        <w:pageBreakBefore w:val="0"/>
        <w:widowControl w:val="0"/>
        <w:kinsoku/>
        <w:wordWrap/>
        <w:overflowPunct/>
        <w:topLinePunct w:val="0"/>
        <w:bidi w:val="0"/>
        <w:adjustRightInd/>
        <w:snapToGrid w:val="0"/>
        <w:spacing w:line="520" w:lineRule="exact"/>
        <w:ind w:firstLine="622"/>
        <w:textAlignment w:val="auto"/>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以上事实，有《现场检查（勘察）笔录》、《调查询问笔录》、营业执照复印件、《监测报告》、排污许可证（节选）等证据材料予以证实。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hAnsi="仿宋_GB2312" w:eastAsia="仿宋_GB2312" w:cs="仿宋_GB2312"/>
          <w:b/>
          <w:bCs/>
          <w:kern w:val="0"/>
          <w:sz w:val="32"/>
          <w:szCs w:val="32"/>
          <w:highlight w:val="none"/>
          <w:lang w:val="en-US"/>
        </w:rPr>
        <w:t>规范依据、拟处罚告知及意见采纳情况及处罚内容</w:t>
      </w:r>
    </w:p>
    <w:p>
      <w:pPr>
        <w:keepNext w:val="0"/>
        <w:keepLines w:val="0"/>
        <w:pageBreakBefore w:val="0"/>
        <w:widowControl w:val="0"/>
        <w:kinsoku/>
        <w:wordWrap/>
        <w:overflowPunct/>
        <w:topLinePunct w:val="0"/>
        <w:bidi w:val="0"/>
        <w:adjustRightInd/>
        <w:snapToGrid w:val="0"/>
        <w:spacing w:line="520" w:lineRule="exact"/>
        <w:ind w:firstLine="622"/>
        <w:textAlignment w:val="auto"/>
        <w:rPr>
          <w:rFonts w:hint="default" w:ascii="仿宋_GB2312" w:eastAsia="仿宋_GB2312"/>
          <w:sz w:val="32"/>
          <w:szCs w:val="32"/>
          <w:highlight w:val="none"/>
          <w:lang w:val="en-US" w:bidi="ar-SA"/>
        </w:rPr>
      </w:pPr>
      <w:r>
        <w:rPr>
          <w:rFonts w:ascii="仿宋_GB2312" w:eastAsia="仿宋_GB2312"/>
          <w:szCs w:val="32"/>
          <w:highlight w:val="none"/>
          <w:lang w:bidi="ar-SA"/>
        </w:rPr>
        <w:t>当事人上述行为违反了</w:t>
      </w:r>
      <w:r>
        <w:rPr>
          <w:rFonts w:hint="eastAsia" w:ascii="仿宋_GB2312" w:eastAsia="仿宋_GB2312"/>
          <w:szCs w:val="32"/>
          <w:highlight w:val="none"/>
          <w:lang w:val="en-US" w:eastAsia="zh-CN" w:bidi="ar-SA"/>
        </w:rPr>
        <w:t>《中华人民共和国水污染防治法》第十条的规定。我局于</w:t>
      </w:r>
      <w:r>
        <w:rPr>
          <w:rFonts w:hint="eastAsia" w:ascii="仿宋_GB2312" w:eastAsia="仿宋_GB2312"/>
          <w:sz w:val="32"/>
          <w:szCs w:val="32"/>
          <w:highlight w:val="none"/>
          <w:lang w:val="en-US" w:eastAsia="zh-CN" w:bidi="ar-SA"/>
        </w:rPr>
        <w:t>2021年11月11日向当事人送达《行政处罚听证告知书》（南环听告字〔2021〕146号），告知当事人拟作出的处罚内容及事实、理由、依据，并告知了陈述、申辩和要求听证的权利。当事人未在规定期限内向我局提出听证申请或陈述、申辩意见。</w:t>
      </w:r>
    </w:p>
    <w:p>
      <w:pPr>
        <w:pStyle w:val="12"/>
        <w:keepNext w:val="0"/>
        <w:keepLines w:val="0"/>
        <w:pageBreakBefore w:val="0"/>
        <w:widowControl w:val="0"/>
        <w:kinsoku/>
        <w:wordWrap/>
        <w:overflowPunct/>
        <w:topLinePunct w:val="0"/>
        <w:bidi w:val="0"/>
        <w:adjustRightInd/>
        <w:snapToGrid w:val="0"/>
        <w:spacing w:line="520" w:lineRule="exact"/>
        <w:ind w:firstLine="622"/>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经审查，我局认为，当事人确有超标排放水污染物的违法行为，本案事实清楚、法律适用正确，应当予以处罚。现本案经我局审查结束。</w:t>
      </w:r>
    </w:p>
    <w:p>
      <w:pPr>
        <w:pStyle w:val="12"/>
        <w:keepNext w:val="0"/>
        <w:keepLines w:val="0"/>
        <w:pageBreakBefore w:val="0"/>
        <w:widowControl w:val="0"/>
        <w:kinsoku/>
        <w:wordWrap/>
        <w:overflowPunct/>
        <w:topLinePunct w:val="0"/>
        <w:bidi w:val="0"/>
        <w:adjustRightInd/>
        <w:snapToGrid w:val="0"/>
        <w:spacing w:line="520" w:lineRule="exact"/>
        <w:ind w:firstLine="622"/>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根据《中华人民共和国水污染防治法》第八十三条第二项及《广州市规范生态环境行政处罚自由裁量权规定》附件第6.1.2.4.4项的规定，我局现对当事人作出如下决定：</w:t>
      </w:r>
    </w:p>
    <w:p>
      <w:pPr>
        <w:pStyle w:val="12"/>
        <w:keepNext w:val="0"/>
        <w:keepLines w:val="0"/>
        <w:pageBreakBefore w:val="0"/>
        <w:widowControl w:val="0"/>
        <w:kinsoku/>
        <w:wordWrap/>
        <w:overflowPunct/>
        <w:topLinePunct w:val="0"/>
        <w:bidi w:val="0"/>
        <w:adjustRightInd/>
        <w:snapToGrid w:val="0"/>
        <w:spacing w:line="520" w:lineRule="exact"/>
        <w:ind w:firstLine="622"/>
        <w:textAlignment w:val="auto"/>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1、责令改正违法行为；</w:t>
      </w:r>
    </w:p>
    <w:p>
      <w:pPr>
        <w:pStyle w:val="12"/>
        <w:keepNext w:val="0"/>
        <w:keepLines w:val="0"/>
        <w:pageBreakBefore w:val="0"/>
        <w:widowControl w:val="0"/>
        <w:kinsoku/>
        <w:wordWrap/>
        <w:overflowPunct/>
        <w:topLinePunct w:val="0"/>
        <w:bidi w:val="0"/>
        <w:adjustRightInd/>
        <w:snapToGrid w:val="0"/>
        <w:spacing w:line="520" w:lineRule="exact"/>
        <w:ind w:firstLine="622"/>
        <w:textAlignment w:val="auto"/>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2、处罚款20万元（贰拾万元整）。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限当事人在收到本处罚决定书之日起15日内，按照《</w:t>
      </w:r>
      <w:r>
        <w:rPr>
          <w:rFonts w:hint="eastAsia" w:ascii="仿宋_GB2312" w:hAnsi="仿宋_GB2312" w:eastAsia="仿宋_GB2312" w:cs="仿宋_GB2312"/>
          <w:kern w:val="0"/>
          <w:sz w:val="32"/>
          <w:szCs w:val="32"/>
          <w:highlight w:val="none"/>
          <w:lang w:val="en-US" w:eastAsia="zh-CN"/>
        </w:rPr>
        <w:t>南沙区非税收入罚款通知书</w:t>
      </w:r>
      <w:r>
        <w:rPr>
          <w:rFonts w:hint="eastAsia" w:ascii="仿宋_GB2312" w:hAnsi="仿宋_GB2312" w:eastAsia="仿宋_GB2312" w:cs="仿宋_GB2312"/>
          <w:kern w:val="0"/>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highlight w:val="none"/>
          <w:lang w:val="en-US" w:eastAsia="zh-CN"/>
        </w:rPr>
        <w:t>收费</w:t>
      </w:r>
      <w:r>
        <w:rPr>
          <w:rFonts w:hint="eastAsia" w:ascii="仿宋_GB2312" w:hAnsi="仿宋_GB2312" w:eastAsia="仿宋_GB2312" w:cs="仿宋_GB2312"/>
          <w:kern w:val="0"/>
          <w:sz w:val="32"/>
          <w:szCs w:val="32"/>
          <w:highlight w:val="none"/>
          <w:lang w:val="en-US"/>
        </w:rPr>
        <w:t>项目编码：</w:t>
      </w:r>
      <w:r>
        <w:rPr>
          <w:rFonts w:hint="eastAsia" w:ascii="仿宋_GB2312" w:hAnsi="仿宋_GB2312" w:eastAsia="仿宋_GB2312" w:cs="仿宋_GB2312"/>
          <w:kern w:val="0"/>
          <w:sz w:val="32"/>
          <w:szCs w:val="32"/>
          <w:highlight w:val="none"/>
          <w:lang w:val="en-US" w:eastAsia="zh-CN"/>
        </w:rPr>
        <w:t>103050199101</w:t>
      </w:r>
      <w:r>
        <w:rPr>
          <w:rFonts w:hint="eastAsia" w:ascii="仿宋_GB2312" w:hAnsi="仿宋_GB2312" w:eastAsia="仿宋_GB2312" w:cs="仿宋_GB2312"/>
          <w:kern w:val="0"/>
          <w:sz w:val="32"/>
          <w:szCs w:val="32"/>
          <w:highlight w:val="none"/>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 xml:space="preserve">                                  2021</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27</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42E4ABE"/>
    <w:rsid w:val="061C17E8"/>
    <w:rsid w:val="06D43381"/>
    <w:rsid w:val="08CE223F"/>
    <w:rsid w:val="097E2A01"/>
    <w:rsid w:val="0C812ABC"/>
    <w:rsid w:val="0D8F784B"/>
    <w:rsid w:val="0EE059AD"/>
    <w:rsid w:val="16423E59"/>
    <w:rsid w:val="175A3225"/>
    <w:rsid w:val="184F5B4E"/>
    <w:rsid w:val="18A95050"/>
    <w:rsid w:val="1A642E58"/>
    <w:rsid w:val="1AAD08FA"/>
    <w:rsid w:val="1D763A95"/>
    <w:rsid w:val="1E641370"/>
    <w:rsid w:val="202757FA"/>
    <w:rsid w:val="206F2007"/>
    <w:rsid w:val="240866C2"/>
    <w:rsid w:val="24303317"/>
    <w:rsid w:val="24AF387E"/>
    <w:rsid w:val="27FA42A3"/>
    <w:rsid w:val="2A1B2A10"/>
    <w:rsid w:val="2B34606A"/>
    <w:rsid w:val="2BBB56B5"/>
    <w:rsid w:val="2C003E7D"/>
    <w:rsid w:val="2D1D6635"/>
    <w:rsid w:val="2D4113EF"/>
    <w:rsid w:val="2D6B6CD8"/>
    <w:rsid w:val="30E062C6"/>
    <w:rsid w:val="32F86059"/>
    <w:rsid w:val="339A7CD0"/>
    <w:rsid w:val="354B611B"/>
    <w:rsid w:val="3574490A"/>
    <w:rsid w:val="364E7F10"/>
    <w:rsid w:val="36AE0FE2"/>
    <w:rsid w:val="36C870C4"/>
    <w:rsid w:val="37A271E0"/>
    <w:rsid w:val="38B95B73"/>
    <w:rsid w:val="38F42AF1"/>
    <w:rsid w:val="394771CA"/>
    <w:rsid w:val="3AAC2E1A"/>
    <w:rsid w:val="3B2D4DBE"/>
    <w:rsid w:val="3B7D45F9"/>
    <w:rsid w:val="3BE9328D"/>
    <w:rsid w:val="3BF703A8"/>
    <w:rsid w:val="3C165DE2"/>
    <w:rsid w:val="3C4A1FD5"/>
    <w:rsid w:val="3CD06325"/>
    <w:rsid w:val="3CE77E75"/>
    <w:rsid w:val="3D1D1709"/>
    <w:rsid w:val="3DEB7DE6"/>
    <w:rsid w:val="3F034600"/>
    <w:rsid w:val="3FB37C1A"/>
    <w:rsid w:val="40251D40"/>
    <w:rsid w:val="405C29A5"/>
    <w:rsid w:val="479802F2"/>
    <w:rsid w:val="47BD27EF"/>
    <w:rsid w:val="4B8C523D"/>
    <w:rsid w:val="4C95683A"/>
    <w:rsid w:val="4CD56ED8"/>
    <w:rsid w:val="4FE5550C"/>
    <w:rsid w:val="50515F4D"/>
    <w:rsid w:val="51966304"/>
    <w:rsid w:val="533A57BE"/>
    <w:rsid w:val="56DB09D8"/>
    <w:rsid w:val="58A4031C"/>
    <w:rsid w:val="58DF2354"/>
    <w:rsid w:val="5A612936"/>
    <w:rsid w:val="5AD03F4E"/>
    <w:rsid w:val="63BA4851"/>
    <w:rsid w:val="64582203"/>
    <w:rsid w:val="66E76AA8"/>
    <w:rsid w:val="6A6930F0"/>
    <w:rsid w:val="6BC041CD"/>
    <w:rsid w:val="6EB82364"/>
    <w:rsid w:val="6F3F118A"/>
    <w:rsid w:val="73EE4748"/>
    <w:rsid w:val="756C1B4E"/>
    <w:rsid w:val="75D8377E"/>
    <w:rsid w:val="76975649"/>
    <w:rsid w:val="787F2185"/>
    <w:rsid w:val="791B7F86"/>
    <w:rsid w:val="79AE6349"/>
    <w:rsid w:val="7BE05C65"/>
    <w:rsid w:val="7BEE5DAA"/>
    <w:rsid w:val="7CCE4EED"/>
    <w:rsid w:val="7E924DD4"/>
    <w:rsid w:val="7F52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qFormat/>
    <w:uiPriority w:val="0"/>
    <w:rPr>
      <w:color w:val="0000FF"/>
      <w:u w:val="single"/>
    </w:rPr>
  </w:style>
  <w:style w:type="paragraph" w:customStyle="1" w:styleId="9">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2021-12-28T01:44:00Z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