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71</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当事人：广州合胜高新材料有限公司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w:t>
      </w:r>
      <w:bookmarkStart w:id="0" w:name="_GoBack"/>
      <w:bookmarkEnd w:id="0"/>
      <w:r>
        <w:rPr>
          <w:rFonts w:hint="default" w:ascii="仿宋_GB2312" w:eastAsia="仿宋_GB2312"/>
          <w:szCs w:val="32"/>
          <w:highlight w:val="none"/>
          <w:lang w:val="en-US" w:eastAsia="zh-CN" w:bidi="ar-SA"/>
        </w:rPr>
        <w:t>建成化学原料和化学制品生产项目，主要从事紫外光固化油墨生产，于2018年6月建成，2019年5月试生产</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项目主要生产设备有：三辊研磨机9台、高速分散机4台、电热鼓风干燥箱2台。主要生产工艺流程为：称重、投料→搅拌分散→研磨→成品包装。主要使用的含VOCs含量较高的原辅材料为：光引发剂（主要成分及其VOCs含量为：二乙基蒽醌VOCs含量99%）、连结料（主要成分及其VOCs含量为：环氧丙烯酸酯VOCs含量100%、甲基丙烯酸羟乙酯VOCs含量98.5%、三羟甲基丙烷三丙烯酸酯VOCs含量99%），年使用量共175.1吨。主要产品为软板感光防焊阻剂（含挥发性有机物的成分及其占比：环氧树脂49%、酯类化合物9%、光引发剂4.5%）。产生的主要</w:t>
      </w:r>
      <w:r>
        <w:rPr>
          <w:rFonts w:hint="eastAsia" w:ascii="仿宋_GB2312" w:eastAsia="仿宋_GB2312"/>
          <w:szCs w:val="32"/>
          <w:highlight w:val="none"/>
          <w:lang w:val="en-US" w:eastAsia="zh-CN" w:bidi="ar-SA"/>
        </w:rPr>
        <w:t>大气</w:t>
      </w:r>
      <w:r>
        <w:rPr>
          <w:rFonts w:hint="default" w:ascii="仿宋_GB2312" w:eastAsia="仿宋_GB2312"/>
          <w:szCs w:val="32"/>
          <w:highlight w:val="none"/>
          <w:lang w:val="en-US" w:eastAsia="zh-CN" w:bidi="ar-SA"/>
        </w:rPr>
        <w:t>污染物为有机废气</w:t>
      </w:r>
      <w:r>
        <w:rPr>
          <w:rFonts w:hint="eastAsia" w:ascii="仿宋_GB2312" w:eastAsia="仿宋_GB2312"/>
          <w:szCs w:val="32"/>
          <w:highlight w:val="none"/>
          <w:lang w:val="en-US" w:eastAsia="zh-CN" w:bidi="ar-SA"/>
        </w:rPr>
        <w:t>和</w:t>
      </w:r>
      <w:r>
        <w:rPr>
          <w:rFonts w:hint="default" w:ascii="仿宋_GB2312" w:eastAsia="仿宋_GB2312"/>
          <w:szCs w:val="32"/>
          <w:highlight w:val="none"/>
          <w:lang w:val="en-US" w:eastAsia="zh-CN" w:bidi="ar-SA"/>
        </w:rPr>
        <w:t>粉尘，其中，搅拌分散工序产生的有机废气和粉尘配套</w:t>
      </w:r>
      <w:r>
        <w:rPr>
          <w:rFonts w:hint="eastAsia" w:ascii="仿宋_GB2312" w:eastAsia="仿宋_GB2312"/>
          <w:szCs w:val="32"/>
          <w:highlight w:val="none"/>
          <w:lang w:val="en-US" w:eastAsia="zh-CN" w:bidi="ar-SA"/>
        </w:rPr>
        <w:t>“布袋除尘+UV光解+活性炭吸附器”</w:t>
      </w:r>
      <w:r>
        <w:rPr>
          <w:rFonts w:hint="default" w:ascii="仿宋_GB2312" w:eastAsia="仿宋_GB2312"/>
          <w:szCs w:val="32"/>
          <w:highlight w:val="none"/>
          <w:lang w:val="en-US" w:eastAsia="zh-CN" w:bidi="ar-SA"/>
        </w:rPr>
        <w:t>处理，研磨工序产生的有机废气配套</w:t>
      </w:r>
      <w:r>
        <w:rPr>
          <w:rFonts w:hint="eastAsia" w:ascii="仿宋_GB2312" w:eastAsia="仿宋_GB2312"/>
          <w:szCs w:val="32"/>
          <w:highlight w:val="none"/>
          <w:lang w:val="en-US" w:eastAsia="zh-CN" w:bidi="ar-SA"/>
        </w:rPr>
        <w:t>“UV光解+活性炭吸附器”</w:t>
      </w:r>
      <w:r>
        <w:rPr>
          <w:rFonts w:hint="default" w:ascii="仿宋_GB2312" w:eastAsia="仿宋_GB2312"/>
          <w:szCs w:val="32"/>
          <w:highlight w:val="none"/>
          <w:lang w:val="en-US" w:eastAsia="zh-CN" w:bidi="ar-SA"/>
        </w:rPr>
        <w:t>处理</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 xml:space="preserve">                                                                                                                                                                                                                                                                                                                                                                                                    </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2021年9月27日，当事人包装车间正在生产，产生含挥发性有机物废气，但该车间未配套</w:t>
      </w:r>
      <w:r>
        <w:rPr>
          <w:rFonts w:hint="eastAsia" w:ascii="仿宋_GB2312" w:eastAsia="仿宋_GB2312"/>
          <w:szCs w:val="32"/>
          <w:highlight w:val="none"/>
          <w:lang w:val="en-US" w:eastAsia="zh-CN" w:bidi="ar-SA"/>
        </w:rPr>
        <w:t>相应</w:t>
      </w:r>
      <w:r>
        <w:rPr>
          <w:rFonts w:hint="default" w:ascii="仿宋_GB2312" w:eastAsia="仿宋_GB2312"/>
          <w:szCs w:val="32"/>
          <w:highlight w:val="none"/>
          <w:lang w:val="en-US" w:eastAsia="zh-CN" w:bidi="ar-SA"/>
        </w:rPr>
        <w:t>污染防治设施进行处理</w:t>
      </w:r>
      <w:r>
        <w:rPr>
          <w:rFonts w:hint="eastAsia" w:ascii="仿宋_GB2312" w:eastAsia="仿宋_GB2312"/>
          <w:szCs w:val="32"/>
          <w:highlight w:val="none"/>
          <w:lang w:val="en-US" w:eastAsia="zh-CN" w:bidi="ar-SA"/>
        </w:rPr>
        <w:t>。当事人</w:t>
      </w:r>
      <w:r>
        <w:rPr>
          <w:rFonts w:hint="default" w:ascii="仿宋_GB2312" w:eastAsia="仿宋_GB2312"/>
          <w:szCs w:val="32"/>
          <w:highlight w:val="none"/>
          <w:lang w:val="en-US" w:eastAsia="zh-CN" w:bidi="ar-SA"/>
        </w:rPr>
        <w:t>属于产生含挥发性有机物废气的生产活动，未按照规定安装污染防治设施。</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笔录》、《调查询问笔录》、现场检查照片、营业执照复印件、《关于广州合胜高新材料有限公司年产280t紫外光固化油墨建设项目环境影响报告表审批意见的函》（穗南审批环评〔2018〕66号）、物质安全资料表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hint="eastAsia" w:ascii="仿宋_GB2312" w:eastAsia="仿宋_GB2312"/>
          <w:sz w:val="32"/>
          <w:szCs w:val="32"/>
          <w:highlight w:val="none"/>
          <w:lang w:val="en-US" w:eastAsia="zh-CN"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eastAsia="zh-CN" w:bidi="ar-SA"/>
        </w:rPr>
        <w:t>《</w:t>
      </w:r>
      <w:r>
        <w:rPr>
          <w:rFonts w:hint="eastAsia" w:ascii="仿宋_GB2312" w:eastAsia="仿宋_GB2312"/>
          <w:szCs w:val="32"/>
          <w:highlight w:val="none"/>
          <w:lang w:val="en-US" w:bidi="ar-SA"/>
        </w:rPr>
        <w:t>中华人民共和国大气污染防治法》第四十五条的</w:t>
      </w:r>
      <w:r>
        <w:rPr>
          <w:rFonts w:hint="eastAsia" w:ascii="仿宋_GB2312" w:eastAsia="仿宋_GB2312"/>
          <w:szCs w:val="32"/>
          <w:highlight w:val="none"/>
          <w:lang w:val="en-US" w:eastAsia="zh-CN" w:bidi="ar-SA"/>
        </w:rPr>
        <w:t>规定。我局于</w:t>
      </w:r>
      <w:r>
        <w:rPr>
          <w:rFonts w:hint="eastAsia" w:ascii="仿宋_GB2312" w:eastAsia="仿宋_GB2312"/>
          <w:sz w:val="32"/>
          <w:szCs w:val="32"/>
          <w:highlight w:val="none"/>
          <w:lang w:val="en-US" w:eastAsia="zh-CN" w:bidi="ar-SA"/>
        </w:rPr>
        <w:t>2021年10月15日向当事人送达《行政处罚听证告知书》（南环听告字〔2021〕134号），告知当事人拟作出的处罚内容及事实、理由、依据，并告知了陈述、申辩和要求听证的权利。当事人于同月18日向我局提出听证申请，我局于同年11月9日依法组织召开听证会。当事人提出的主要听证会意见如下：“一、根据《挥发性有机物无组织排放控制标准》（GB 37822-2019）《涂料、油墨及胶黏剂工业大气污染物排放标准》（GB 37824-2019）及生态环境部《关于印发〈2020年挥发性有机物治理攻坚方案〉的通知》（环大气〔2020〕33号）的相关规定，VOCs物料是指VOCs质量占比大于等于10%的原辅材料，使用的原辅材料VOCs含量（质量比）均低于10%的工序，可不要求采取无组织排放收集和处理措施。我司委托第三方公司对产品（水性感光线路油墨）的VOCs含量进行检测，检测报告显示该产品VOCs含量为2.3%。因此，我司产品VOCs含量仅为2.3%，属于低VOCs物料，无需采取处理措施。二、我司产品VOCs含量不高，可能是因为原材料的VOCs含量较高而产生此次误会；三、我司对笔录中认定的“年产值3000万”有异议。”</w:t>
      </w:r>
    </w:p>
    <w:p>
      <w:pPr>
        <w:snapToGrid w:val="0"/>
        <w:spacing w:line="560" w:lineRule="atLeast"/>
        <w:ind w:firstLine="622"/>
        <w:rPr>
          <w:rFonts w:hint="eastAsia" w:ascii="仿宋_GB2312" w:eastAsia="仿宋_GB2312"/>
          <w:sz w:val="32"/>
          <w:szCs w:val="32"/>
          <w:highlight w:val="none"/>
          <w:lang w:val="en-US" w:eastAsia="zh-CN" w:bidi="ar-SA"/>
        </w:rPr>
      </w:pPr>
      <w:r>
        <w:rPr>
          <w:rFonts w:hint="eastAsia" w:ascii="仿宋_GB2312" w:eastAsia="仿宋_GB2312"/>
          <w:sz w:val="32"/>
          <w:szCs w:val="32"/>
          <w:highlight w:val="none"/>
          <w:lang w:val="en-US" w:eastAsia="zh-CN" w:bidi="ar-SA"/>
        </w:rPr>
        <w:t>2021年11月26日，我局现场复查发现，当事人包装车间已撤除，包装工序转移至研磨车间内进行，工序产生的有机废气经污染防治设施进行收集、处理。分散车间内的原辅材料已加盖密封贮存，研磨车间内的生产桶已采取密闭措施。</w:t>
      </w:r>
    </w:p>
    <w:p>
      <w:pPr>
        <w:pStyle w:val="12"/>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集体审议，我局认为，当事人提出的申辩意见不影响本案定性，本案事实清楚、法律适用正确，当事人确存在产生含挥发性有机物废气的生产活动，未按照规定安装污染防治设施的违法行为，应当予以处罚，但考虑到当事人存在主动改正违法行为的情形，我局决定在告知书处罚数额的基础上予以从轻处罚。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根据《中华人民共和国大气污染防治法》第一百零八条第一项及《广州市规范生态环境行政处罚自由裁量权规定》总则第十一条第二款第二项及附件第11.11.1项的规定，我局现对当事人作出如下决定：</w:t>
      </w:r>
    </w:p>
    <w:p>
      <w:pPr>
        <w:pStyle w:val="12"/>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12"/>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2、处罚款15万元（壹拾伍万元整）。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24</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3F26FB6"/>
    <w:rsid w:val="042E4ABE"/>
    <w:rsid w:val="044E0E32"/>
    <w:rsid w:val="04F63AD9"/>
    <w:rsid w:val="061C17E8"/>
    <w:rsid w:val="06D43381"/>
    <w:rsid w:val="08CE223F"/>
    <w:rsid w:val="097E2A01"/>
    <w:rsid w:val="0C812ABC"/>
    <w:rsid w:val="0D8F784B"/>
    <w:rsid w:val="0EE059AD"/>
    <w:rsid w:val="121273D8"/>
    <w:rsid w:val="12543AB7"/>
    <w:rsid w:val="12833914"/>
    <w:rsid w:val="13C22CA3"/>
    <w:rsid w:val="13E42C19"/>
    <w:rsid w:val="16423E59"/>
    <w:rsid w:val="175A3225"/>
    <w:rsid w:val="18A95050"/>
    <w:rsid w:val="18C33745"/>
    <w:rsid w:val="1A642E58"/>
    <w:rsid w:val="1AAD08FA"/>
    <w:rsid w:val="1E641370"/>
    <w:rsid w:val="202757FA"/>
    <w:rsid w:val="206F2007"/>
    <w:rsid w:val="240866C2"/>
    <w:rsid w:val="24303317"/>
    <w:rsid w:val="24AF387E"/>
    <w:rsid w:val="255D0A7D"/>
    <w:rsid w:val="26533F22"/>
    <w:rsid w:val="266F2285"/>
    <w:rsid w:val="267C13D7"/>
    <w:rsid w:val="27EC60E8"/>
    <w:rsid w:val="27FA42A3"/>
    <w:rsid w:val="29521CEB"/>
    <w:rsid w:val="29C91FD1"/>
    <w:rsid w:val="2A092F82"/>
    <w:rsid w:val="2A1B2A10"/>
    <w:rsid w:val="2B34606A"/>
    <w:rsid w:val="2BBB56B5"/>
    <w:rsid w:val="2C003E7D"/>
    <w:rsid w:val="2D3E73E6"/>
    <w:rsid w:val="2D4113EF"/>
    <w:rsid w:val="2D6B6CD8"/>
    <w:rsid w:val="2D7921CC"/>
    <w:rsid w:val="2DE7182C"/>
    <w:rsid w:val="2E326E0A"/>
    <w:rsid w:val="32F86059"/>
    <w:rsid w:val="339A7CD0"/>
    <w:rsid w:val="354B611B"/>
    <w:rsid w:val="3574490A"/>
    <w:rsid w:val="35AD5109"/>
    <w:rsid w:val="364E7F10"/>
    <w:rsid w:val="365612FD"/>
    <w:rsid w:val="36AE0FE2"/>
    <w:rsid w:val="36C870C4"/>
    <w:rsid w:val="373F329F"/>
    <w:rsid w:val="37A271E0"/>
    <w:rsid w:val="38F42AF1"/>
    <w:rsid w:val="394771CA"/>
    <w:rsid w:val="3A7E295B"/>
    <w:rsid w:val="3B2D4DBE"/>
    <w:rsid w:val="3B7D45F9"/>
    <w:rsid w:val="3BE9328D"/>
    <w:rsid w:val="3C165DE2"/>
    <w:rsid w:val="3C4A1FD5"/>
    <w:rsid w:val="3CD06325"/>
    <w:rsid w:val="3CE77E75"/>
    <w:rsid w:val="3D1D1709"/>
    <w:rsid w:val="3F034600"/>
    <w:rsid w:val="3FB37C1A"/>
    <w:rsid w:val="405C29A5"/>
    <w:rsid w:val="459E0642"/>
    <w:rsid w:val="45B63B66"/>
    <w:rsid w:val="479802F2"/>
    <w:rsid w:val="47BB36B5"/>
    <w:rsid w:val="47BD27EF"/>
    <w:rsid w:val="48254FD3"/>
    <w:rsid w:val="487620F2"/>
    <w:rsid w:val="495E079C"/>
    <w:rsid w:val="4B8C523D"/>
    <w:rsid w:val="4C95683A"/>
    <w:rsid w:val="4CC53CA2"/>
    <w:rsid w:val="4CD56ED8"/>
    <w:rsid w:val="4FE5550C"/>
    <w:rsid w:val="50515F4D"/>
    <w:rsid w:val="517A013D"/>
    <w:rsid w:val="51966304"/>
    <w:rsid w:val="51FD2B1C"/>
    <w:rsid w:val="533A57BE"/>
    <w:rsid w:val="54AD4386"/>
    <w:rsid w:val="56DB09D8"/>
    <w:rsid w:val="57146034"/>
    <w:rsid w:val="576F0018"/>
    <w:rsid w:val="5818420C"/>
    <w:rsid w:val="58A4031C"/>
    <w:rsid w:val="58DF2354"/>
    <w:rsid w:val="59E02A06"/>
    <w:rsid w:val="5A612936"/>
    <w:rsid w:val="5AD03F4E"/>
    <w:rsid w:val="5BAF2DF0"/>
    <w:rsid w:val="5D423AD9"/>
    <w:rsid w:val="5DE463BF"/>
    <w:rsid w:val="5F2014FD"/>
    <w:rsid w:val="61A134C4"/>
    <w:rsid w:val="63BA4851"/>
    <w:rsid w:val="64542A70"/>
    <w:rsid w:val="64582203"/>
    <w:rsid w:val="65200BA4"/>
    <w:rsid w:val="66E76AA8"/>
    <w:rsid w:val="6A6930F0"/>
    <w:rsid w:val="6BC041CD"/>
    <w:rsid w:val="6E9A268A"/>
    <w:rsid w:val="6F3F118A"/>
    <w:rsid w:val="73EE4748"/>
    <w:rsid w:val="74F6722B"/>
    <w:rsid w:val="756C1B4E"/>
    <w:rsid w:val="75D8377E"/>
    <w:rsid w:val="76975649"/>
    <w:rsid w:val="76E23F0B"/>
    <w:rsid w:val="787F2185"/>
    <w:rsid w:val="78E64164"/>
    <w:rsid w:val="791B7F86"/>
    <w:rsid w:val="79AE6349"/>
    <w:rsid w:val="7BE05C65"/>
    <w:rsid w:val="7BEE5DAA"/>
    <w:rsid w:val="7CCE4EED"/>
    <w:rsid w:val="7D9F5988"/>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2021-12-28T01:43:42Z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