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60</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当事人：广州市南沙区大岗广丰达塑料制品加工厂（经营者：</w:t>
      </w:r>
      <w:r>
        <w:rPr>
          <w:rFonts w:hint="default" w:ascii="仿宋_GB2312" w:hAnsi="仿宋_GB2312" w:eastAsia="仿宋_GB2312" w:cs="仿宋_GB2312"/>
          <w:kern w:val="0"/>
          <w:sz w:val="32"/>
          <w:szCs w:val="32"/>
          <w:highlight w:val="none"/>
          <w:lang w:val="en-US" w:eastAsia="zh-CN"/>
        </w:rPr>
        <w:fldChar w:fldCharType="begin"/>
      </w:r>
      <w:r>
        <w:rPr>
          <w:rFonts w:hint="default" w:ascii="仿宋_GB2312" w:hAnsi="仿宋_GB2312" w:eastAsia="仿宋_GB2312" w:cs="仿宋_GB2312"/>
          <w:kern w:val="0"/>
          <w:sz w:val="32"/>
          <w:szCs w:val="32"/>
          <w:highlight w:val="none"/>
          <w:lang w:val="en-US" w:eastAsia="zh-CN"/>
        </w:rPr>
        <w:instrText xml:space="preserve"> HYPERLINK "https://www.qcc.com/pl/pb335e9a8d8ccdb58e64c149206c695b.html" \t "https://www.qcc.com/firm/_blank" </w:instrText>
      </w:r>
      <w:r>
        <w:rPr>
          <w:rFonts w:hint="default" w:ascii="仿宋_GB2312" w:hAnsi="仿宋_GB2312" w:eastAsia="仿宋_GB2312" w:cs="仿宋_GB2312"/>
          <w:kern w:val="0"/>
          <w:sz w:val="32"/>
          <w:szCs w:val="32"/>
          <w:highlight w:val="none"/>
          <w:lang w:val="en-US" w:eastAsia="zh-CN"/>
        </w:rPr>
        <w:fldChar w:fldCharType="separate"/>
      </w:r>
      <w:r>
        <w:rPr>
          <w:rFonts w:hint="default" w:ascii="仿宋_GB2312" w:hAnsi="仿宋_GB2312" w:eastAsia="仿宋_GB2312" w:cs="仿宋_GB2312"/>
          <w:kern w:val="0"/>
          <w:sz w:val="32"/>
          <w:szCs w:val="32"/>
          <w:highlight w:val="none"/>
          <w:lang w:val="en-US" w:eastAsia="zh-CN"/>
        </w:rPr>
        <w:t>何应绍</w:t>
      </w:r>
      <w:r>
        <w:rPr>
          <w:rFonts w:hint="default" w:ascii="仿宋_GB2312" w:hAnsi="仿宋_GB2312" w:eastAsia="仿宋_GB2312" w:cs="仿宋_GB2312"/>
          <w:kern w:val="0"/>
          <w:sz w:val="32"/>
          <w:szCs w:val="32"/>
          <w:highlight w:val="none"/>
          <w:lang w:val="en-US" w:eastAsia="zh-CN"/>
        </w:rPr>
        <w:fldChar w:fldCharType="end"/>
      </w:r>
      <w:r>
        <w:rPr>
          <w:rFonts w:hint="default" w:ascii="仿宋_GB2312" w:hAnsi="仿宋_GB2312" w:eastAsia="仿宋_GB2312" w:cs="仿宋_GB2312"/>
          <w:kern w:val="0"/>
          <w:sz w:val="32"/>
          <w:szCs w:val="32"/>
          <w:highlight w:val="none"/>
          <w:lang w:val="en-US" w:eastAsia="zh-CN"/>
        </w:rPr>
        <w:t>）</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建成塑料制品业项目，主要从事塑料制品生产加工，于2014年3月20日投入生产，现有员工20人，2020年总营业额约300万元。项目主要生产设备有：真空镀膜机组1套、冷却塔1台、自动喷涂线1条、手动喷涂线2条、往复线1条、UV光固机1台以及生产辅助设备一批等。主要生产工艺流程为:胚件→装配→除尘→喷底漆→真空镀膜→喷涂面漆→UV光固化→包装→出厂。项目主要原辅材料为：油漆、塑料等，产生的主要污染物为：含挥发性有机废气、油烟废气等，有机废气配套</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UV光催化氧化器+活性炭吸附</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设施进行处理，油烟废气配套</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静电油烟处理器+活性炭吸附</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设施进行处理。</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2021年8月19日，我局执法人员对当事人进行调查时发现：当事人自动喷漆线正在生产作业，有机废气配套的</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UV光催化氧化器+活性炭吸附</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治理设施正在运行</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UV光催化氧化器灯箱内共连接8支UV灯管</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其中4支UV灯管处于熄灭状态，该污染防治设施未规范运行。当事人上述行为属于产生含挥发性有机废气的生产活动，未按照规定使用污染防治设施。</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以上事实，有《现场检查笔录》、《调查询问笔录》、现场检查照片、视频资料、营业执照照片、《项目环保备案登记表》（备案编号：NSBA162）、《固定污染源排污登记表》等证据材料予以证实。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58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eastAsia="仿宋_GB2312"/>
          <w:szCs w:val="32"/>
          <w:highlight w:val="none"/>
          <w:lang w:eastAsia="zh-CN" w:bidi="ar-SA"/>
        </w:rPr>
        <w:t>、</w:t>
      </w: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《中华人民共和国大气污染防治法》第四十五条的规定。我局于</w:t>
      </w:r>
      <w:r>
        <w:rPr>
          <w:rFonts w:hint="eastAsia" w:ascii="仿宋_GB2312" w:eastAsia="仿宋_GB2312"/>
          <w:sz w:val="32"/>
          <w:szCs w:val="32"/>
          <w:highlight w:val="none"/>
          <w:lang w:val="en-US" w:eastAsia="zh-CN" w:bidi="ar-SA"/>
        </w:rPr>
        <w:t>2021年9月17日向当事人送达《行政处罚听证告知书》（南环听告字〔2021〕117号），告知当事人拟作出的处罚内容及事实、理由、依据，并告知了陈述、申辩和要求听证的权利。当事人于同月18日向我局提出听证申请，我局于同年10月15日依法组织召开听证会。当事人提出的主要听证会意见如下：“一、我</w:t>
      </w:r>
      <w:bookmarkStart w:id="0" w:name="_GoBack"/>
      <w:bookmarkEnd w:id="0"/>
      <w:r>
        <w:rPr>
          <w:rFonts w:hint="eastAsia" w:ascii="仿宋_GB2312" w:eastAsia="仿宋_GB2312"/>
          <w:sz w:val="32"/>
          <w:szCs w:val="32"/>
          <w:highlight w:val="none"/>
          <w:lang w:val="en-US" w:eastAsia="zh-CN" w:bidi="ar-SA"/>
        </w:rPr>
        <w:t>厂已于2021年8月底完成对废气治理设施的改造。二、因受疫情影响，我厂生产量严重不足，导致疏于对环保治理设施进行管理，我厂并非主观故意，且情节轻微、未造成环境污染，请求减免行政处罚。”</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经审查，我局认为，当事人的申辩意见不影响本案定性。当事人确有产生含挥发性有机废气的生产活动，未按照规定使用污染防治设施的违法行为，应当予以处罚。现本案经我局审查结束。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根据《中华人民共和国大气污染防治法》第一百零八条第一项及《广州市规范生态环境行政处罚自由裁量权规定》附件第11.11.3项的规定，我局现对当事人作出如下决定：</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2、处罚款4万元（肆万元整）。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7BC18C1"/>
    <w:rsid w:val="07E62FDD"/>
    <w:rsid w:val="08CE223F"/>
    <w:rsid w:val="097E2A01"/>
    <w:rsid w:val="0C812ABC"/>
    <w:rsid w:val="0D8F784B"/>
    <w:rsid w:val="0EE059AD"/>
    <w:rsid w:val="16423E59"/>
    <w:rsid w:val="175A3225"/>
    <w:rsid w:val="18A95050"/>
    <w:rsid w:val="1A642E58"/>
    <w:rsid w:val="1AAD08FA"/>
    <w:rsid w:val="1E641370"/>
    <w:rsid w:val="202757FA"/>
    <w:rsid w:val="206F2007"/>
    <w:rsid w:val="236F746C"/>
    <w:rsid w:val="23E92E71"/>
    <w:rsid w:val="240866C2"/>
    <w:rsid w:val="24303317"/>
    <w:rsid w:val="24AF387E"/>
    <w:rsid w:val="27FA42A3"/>
    <w:rsid w:val="2A1B2A10"/>
    <w:rsid w:val="2B34606A"/>
    <w:rsid w:val="2BBB56B5"/>
    <w:rsid w:val="2C003E7D"/>
    <w:rsid w:val="2D2B193A"/>
    <w:rsid w:val="2D4113EF"/>
    <w:rsid w:val="2D6B6CD8"/>
    <w:rsid w:val="30C6098E"/>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B37C1A"/>
    <w:rsid w:val="405C29A5"/>
    <w:rsid w:val="409F6948"/>
    <w:rsid w:val="479802F2"/>
    <w:rsid w:val="47BD27EF"/>
    <w:rsid w:val="4B8C523D"/>
    <w:rsid w:val="4C95683A"/>
    <w:rsid w:val="4CD56ED8"/>
    <w:rsid w:val="4FE5550C"/>
    <w:rsid w:val="50515F4D"/>
    <w:rsid w:val="51966304"/>
    <w:rsid w:val="533A57BE"/>
    <w:rsid w:val="54620497"/>
    <w:rsid w:val="56DB09D8"/>
    <w:rsid w:val="58A4031C"/>
    <w:rsid w:val="58DF2354"/>
    <w:rsid w:val="5A612936"/>
    <w:rsid w:val="5AD03F4E"/>
    <w:rsid w:val="63BA4851"/>
    <w:rsid w:val="64582203"/>
    <w:rsid w:val="66E76AA8"/>
    <w:rsid w:val="6A6930F0"/>
    <w:rsid w:val="6BC041CD"/>
    <w:rsid w:val="6F3F118A"/>
    <w:rsid w:val="73EE4748"/>
    <w:rsid w:val="756C1B4E"/>
    <w:rsid w:val="75D8377E"/>
    <w:rsid w:val="76975649"/>
    <w:rsid w:val="787F2185"/>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