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val="0"/>
        <w:autoSpaceDE/>
        <w:autoSpaceDN/>
        <w:bidi w:val="0"/>
        <w:adjustRightInd/>
        <w:snapToGrid/>
        <w:spacing w:before="0" w:beforeLines="0" w:after="0" w:afterLines="0" w:line="360" w:lineRule="auto"/>
        <w:ind w:left="0" w:leftChars="0" w:right="0" w:rightChars="0" w:firstLine="0" w:firstLineChars="0"/>
        <w:jc w:val="right"/>
        <w:textAlignment w:val="auto"/>
        <w:outlineLvl w:val="9"/>
        <w:rPr>
          <w:rFonts w:hint="eastAsia" w:ascii="仿宋_GB2312" w:hAnsi="仿宋_GB2312" w:eastAsia="仿宋_GB2312" w:cs="仿宋_GB2312"/>
          <w:sz w:val="32"/>
          <w:szCs w:val="32"/>
          <w:u w:val="none"/>
        </w:rPr>
      </w:pP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both"/>
        <w:textAlignment w:val="auto"/>
        <w:outlineLvl w:val="9"/>
        <w:rPr>
          <w:rFonts w:hint="eastAsia" w:ascii="仿宋_GB2312" w:eastAsia="仿宋_GB2312"/>
          <w:sz w:val="32"/>
          <w:szCs w:val="32"/>
          <w:u w:val="none"/>
        </w:rPr>
      </w:pPr>
    </w:p>
    <w:p>
      <w:pPr>
        <w:keepNext w:val="0"/>
        <w:keepLines w:val="0"/>
        <w:pageBreakBefore w:val="0"/>
        <w:widowControl w:val="0"/>
        <w:kinsoku/>
        <w:wordWrap/>
        <w:overflowPunct/>
        <w:topLinePunct w:val="0"/>
        <w:autoSpaceDE/>
        <w:autoSpaceDN/>
        <w:bidi w:val="0"/>
        <w:adjustRightInd/>
        <w:snapToGrid w:val="0"/>
        <w:spacing w:before="50" w:beforeLines="0" w:after="292" w:afterLines="50" w:line="288" w:lineRule="auto"/>
        <w:ind w:left="0" w:leftChars="0" w:right="0" w:rightChars="0" w:firstLine="0" w:firstLineChars="0"/>
        <w:jc w:val="center"/>
        <w:textAlignment w:val="auto"/>
        <w:outlineLvl w:val="9"/>
        <w:rPr>
          <w:rFonts w:hint="default" w:ascii="方正小标宋" w:hAnsi="方正小标宋" w:eastAsia="方正小标宋" w:cs="方正小标宋"/>
          <w:b/>
          <w:bCs/>
          <w:kern w:val="2"/>
          <w:sz w:val="44"/>
          <w:szCs w:val="44"/>
          <w:u w:val="none"/>
          <w:vertAlign w:val="baseline"/>
          <w:lang w:val="en-US" w:eastAsia="zh-CN"/>
        </w:rPr>
      </w:pPr>
      <w:r>
        <w:rPr>
          <w:rFonts w:hint="eastAsia" w:ascii="方正小标宋" w:hAnsi="方正小标宋" w:eastAsia="方正小标宋" w:cs="方正小标宋"/>
          <w:b/>
          <w:bCs/>
          <w:kern w:val="2"/>
          <w:sz w:val="44"/>
          <w:szCs w:val="44"/>
          <w:u w:val="none"/>
          <w:vertAlign w:val="baseline"/>
          <w:lang w:val="en-US" w:eastAsia="zh-CN"/>
        </w:rPr>
        <w:t>行政处罚决定书</w:t>
      </w:r>
    </w:p>
    <w:p>
      <w:pPr>
        <w:keepNext w:val="0"/>
        <w:keepLines w:val="0"/>
        <w:pageBreakBefore w:val="0"/>
        <w:widowControl w:val="0"/>
        <w:kinsoku/>
        <w:wordWrap/>
        <w:overflowPunct/>
        <w:topLinePunct w:val="0"/>
        <w:autoSpaceDE/>
        <w:autoSpaceDN/>
        <w:bidi w:val="0"/>
        <w:adjustRightInd/>
        <w:snapToGrid w:val="0"/>
        <w:spacing w:before="0" w:beforeLines="0" w:after="581" w:afterLines="100" w:line="480" w:lineRule="exact"/>
        <w:ind w:left="0" w:leftChars="0" w:right="0" w:rightChars="0" w:firstLine="0" w:firstLineChars="0"/>
        <w:jc w:val="right"/>
        <w:textAlignment w:val="auto"/>
        <w:outlineLvl w:val="9"/>
        <w:rPr>
          <w:rFonts w:hint="eastAsia" w:ascii="仿宋_GB2312" w:eastAsia="仿宋_GB2312"/>
          <w:sz w:val="32"/>
          <w:szCs w:val="30"/>
          <w:highlight w:val="none"/>
          <w:u w:val="none"/>
        </w:rPr>
      </w:pPr>
      <w:r>
        <w:rPr>
          <w:rFonts w:hint="eastAsia" w:ascii="仿宋_GB2312" w:hAnsi="仿宋_GB2312" w:eastAsia="仿宋_GB2312" w:cs="仿宋_GB2312"/>
          <w:sz w:val="32"/>
          <w:szCs w:val="32"/>
          <w:u w:val="none"/>
        </w:rPr>
        <w:t>南环罚字〔2021〕</w:t>
      </w:r>
      <w:r>
        <w:rPr>
          <w:rFonts w:hint="eastAsia" w:ascii="仿宋_GB2312" w:hAnsi="仿宋_GB2312" w:eastAsia="仿宋_GB2312" w:cs="仿宋_GB2312"/>
          <w:sz w:val="32"/>
          <w:szCs w:val="32"/>
          <w:highlight w:val="none"/>
          <w:u w:val="none"/>
          <w:lang w:val="en-US" w:eastAsia="zh-CN"/>
        </w:rPr>
        <w:t>53</w:t>
      </w:r>
      <w:r>
        <w:rPr>
          <w:rFonts w:hint="eastAsia" w:ascii="仿宋_GB2312" w:hAnsi="仿宋_GB2312" w:eastAsia="仿宋_GB2312" w:cs="仿宋_GB2312"/>
          <w:sz w:val="32"/>
          <w:szCs w:val="32"/>
          <w:highlight w:val="none"/>
          <w:u w:val="none"/>
        </w:rPr>
        <w:t>号</w:t>
      </w: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480" w:lineRule="exact"/>
        <w:ind w:right="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当事人：广州中创产业运营管理有限公司</w:t>
      </w: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480" w:lineRule="exact"/>
        <w:ind w:right="0"/>
        <w:jc w:val="both"/>
        <w:textAlignment w:val="auto"/>
        <w:rPr>
          <w:rFonts w:hint="default" w:ascii="仿宋_GB2312" w:hAnsi="仿宋_GB2312" w:eastAsia="仿宋_GB2312" w:cs="仿宋_GB2312"/>
          <w:kern w:val="0"/>
          <w:sz w:val="32"/>
          <w:szCs w:val="32"/>
          <w:lang w:val="en-US" w:eastAsia="zh-CN"/>
        </w:rPr>
      </w:pP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480" w:lineRule="exact"/>
        <w:ind w:right="0"/>
        <w:jc w:val="both"/>
        <w:textAlignment w:val="auto"/>
        <w:rPr>
          <w:rFonts w:hint="default" w:ascii="仿宋_GB2312" w:hAnsi="仿宋_GB2312" w:eastAsia="仿宋_GB2312" w:cs="仿宋_GB2312"/>
          <w:kern w:val="0"/>
          <w:sz w:val="32"/>
          <w:szCs w:val="32"/>
          <w:lang w:val="en-US" w:eastAsia="zh-CN"/>
        </w:rPr>
      </w:pPr>
    </w:p>
    <w:p>
      <w:pPr>
        <w:pStyle w:val="3"/>
        <w:keepNext w:val="0"/>
        <w:keepLines w:val="0"/>
        <w:pageBreakBefore w:val="0"/>
        <w:widowControl w:val="0"/>
        <w:numPr>
          <w:ilvl w:val="0"/>
          <w:numId w:val="1"/>
        </w:numPr>
        <w:tabs>
          <w:tab w:val="left" w:pos="7382"/>
          <w:tab w:val="left" w:pos="7982"/>
        </w:tabs>
        <w:kinsoku/>
        <w:wordWrap/>
        <w:overflowPunct/>
        <w:topLinePunct w:val="0"/>
        <w:autoSpaceDE w:val="0"/>
        <w:autoSpaceDN w:val="0"/>
        <w:bidi w:val="0"/>
        <w:adjustRightInd/>
        <w:snapToGrid/>
        <w:spacing w:line="520" w:lineRule="exact"/>
        <w:ind w:right="0" w:firstLine="624" w:firstLineChars="200"/>
        <w:jc w:val="both"/>
        <w:textAlignment w:val="auto"/>
        <w:rPr>
          <w:rFonts w:hint="eastAsia" w:ascii="仿宋_GB2312" w:hAnsi="仿宋_GB2312" w:eastAsia="仿宋_GB2312" w:cs="仿宋_GB2312"/>
          <w:kern w:val="0"/>
          <w:sz w:val="32"/>
          <w:szCs w:val="32"/>
          <w:u w:val="single"/>
          <w:lang w:val="en-US"/>
        </w:rPr>
      </w:pPr>
      <w:r>
        <w:rPr>
          <w:rFonts w:hint="eastAsia" w:ascii="仿宋_GB2312" w:hAnsi="仿宋_GB2312" w:eastAsia="仿宋_GB2312" w:cs="仿宋_GB2312"/>
          <w:b/>
          <w:bCs/>
          <w:kern w:val="0"/>
          <w:sz w:val="32"/>
          <w:szCs w:val="32"/>
          <w:lang w:val="en-US"/>
        </w:rPr>
        <w:t>当事人基本情况及违法事实情况</w:t>
      </w:r>
    </w:p>
    <w:p>
      <w:pPr>
        <w:snapToGrid w:val="0"/>
        <w:spacing w:line="560" w:lineRule="atLeast"/>
        <w:ind w:firstLine="622"/>
        <w:rPr>
          <w:rFonts w:hint="default" w:ascii="仿宋_GB2312" w:eastAsia="仿宋_GB2312"/>
          <w:szCs w:val="32"/>
          <w:lang w:val="en-US" w:eastAsia="zh-CN" w:bidi="ar-SA"/>
        </w:rPr>
      </w:pPr>
      <w:r>
        <w:rPr>
          <w:rFonts w:hint="default" w:ascii="仿宋_GB2312" w:eastAsia="仿宋_GB2312"/>
          <w:szCs w:val="32"/>
          <w:lang w:val="en-US" w:eastAsia="zh-CN" w:bidi="ar-SA"/>
        </w:rPr>
        <w:t>当事人</w:t>
      </w:r>
      <w:bookmarkStart w:id="0" w:name="_GoBack"/>
      <w:bookmarkEnd w:id="0"/>
      <w:r>
        <w:rPr>
          <w:rFonts w:hint="default" w:ascii="仿宋_GB2312" w:eastAsia="仿宋_GB2312"/>
          <w:szCs w:val="32"/>
          <w:lang w:val="en-US" w:eastAsia="zh-CN" w:bidi="ar-SA"/>
        </w:rPr>
        <w:t>建成服装加工项目，主要从事布料干法印花生产，于2018年8月27日取得营业执照。2021年8月11日，我局执法人员到达现场时，当事人车间内大批人员离开，存在生产迹象。</w:t>
      </w:r>
    </w:p>
    <w:p>
      <w:pPr>
        <w:snapToGrid w:val="0"/>
        <w:spacing w:line="560" w:lineRule="atLeast"/>
        <w:ind w:firstLine="622"/>
        <w:rPr>
          <w:rFonts w:hint="default" w:ascii="仿宋_GB2312" w:eastAsia="仿宋_GB2312"/>
          <w:szCs w:val="32"/>
          <w:lang w:val="en-US" w:eastAsia="zh-CN" w:bidi="ar-SA"/>
        </w:rPr>
      </w:pPr>
      <w:r>
        <w:rPr>
          <w:rFonts w:hint="default" w:ascii="仿宋_GB2312" w:eastAsia="仿宋_GB2312"/>
          <w:szCs w:val="32"/>
          <w:lang w:val="en-US" w:eastAsia="zh-CN" w:bidi="ar-SA"/>
        </w:rPr>
        <w:t>当事人自2021年6月20日开始接手原广州碧华服装实业有限公司的服装加工项目，现有生产设备及生产工艺流程与原广州碧华服装实业有限公司一致。当事人现有主要生产设备为：手工印花台68条、椭圆自动印花机4台、台面烘干机3台、隧道式烘干机1台、拉网机5台、晒版机5台、平版印花机2台、烫金机3台、数码直喷机4台及辅助生产设备一批等。主要生产工艺流程为：调浆→印花→烘干→成品出货。生产过程中产生的危险废物主要为：生产废水污泥、废活性炭、废油墨桶、废网布、废含油墨抹布、废菲林等，上述危险废物经收集分拣后暂存于危险废物贮存场所内，后交由第三方回收处理。</w:t>
      </w:r>
    </w:p>
    <w:p>
      <w:pPr>
        <w:snapToGrid w:val="0"/>
        <w:spacing w:line="560" w:lineRule="atLeast"/>
        <w:ind w:firstLine="622"/>
        <w:rPr>
          <w:rFonts w:hint="default" w:ascii="仿宋_GB2312" w:eastAsia="仿宋_GB2312"/>
          <w:szCs w:val="32"/>
          <w:lang w:val="en-US" w:eastAsia="zh-CN" w:bidi="ar-SA"/>
        </w:rPr>
      </w:pPr>
      <w:r>
        <w:rPr>
          <w:rFonts w:hint="default" w:ascii="仿宋_GB2312" w:eastAsia="仿宋_GB2312"/>
          <w:szCs w:val="32"/>
          <w:lang w:val="en-US" w:eastAsia="zh-CN" w:bidi="ar-SA"/>
        </w:rPr>
        <w:t>2021年8月11日，我局执法人员对当事人进行调查时发现，当事人存在以下事实情形：当事人东北面围墙边的场所混合贮存废网布、废含油墨废抹布和生活垃圾等，混合物共30袋约600kg。当事人上述行为属于将危险废物混入非危险废物中贮存。</w:t>
      </w:r>
    </w:p>
    <w:p>
      <w:pPr>
        <w:snapToGrid w:val="0"/>
        <w:spacing w:line="560" w:lineRule="atLeast"/>
        <w:ind w:firstLine="622"/>
        <w:rPr>
          <w:rFonts w:hint="default" w:ascii="仿宋_GB2312" w:eastAsia="仿宋_GB2312"/>
          <w:szCs w:val="32"/>
          <w:lang w:val="en-US" w:eastAsia="zh-CN" w:bidi="ar-SA"/>
        </w:rPr>
      </w:pPr>
      <w:r>
        <w:rPr>
          <w:rFonts w:hint="default" w:ascii="仿宋_GB2312" w:eastAsia="仿宋_GB2312"/>
          <w:szCs w:val="32"/>
          <w:lang w:val="en-US" w:eastAsia="zh-CN" w:bidi="ar-SA"/>
        </w:rPr>
        <w:t>以上事实有《现场检查笔录》、《调查询问笔录》、现场检查照片、营业执照复印件等证据为证。</w:t>
      </w:r>
    </w:p>
    <w:p>
      <w:pPr>
        <w:pStyle w:val="3"/>
        <w:keepNext w:val="0"/>
        <w:keepLines w:val="0"/>
        <w:pageBreakBefore w:val="0"/>
        <w:widowControl w:val="0"/>
        <w:numPr>
          <w:ilvl w:val="0"/>
          <w:numId w:val="1"/>
        </w:numPr>
        <w:tabs>
          <w:tab w:val="left" w:pos="7982"/>
        </w:tabs>
        <w:kinsoku/>
        <w:wordWrap/>
        <w:overflowPunct/>
        <w:topLinePunct w:val="0"/>
        <w:autoSpaceDE w:val="0"/>
        <w:autoSpaceDN w:val="0"/>
        <w:bidi w:val="0"/>
        <w:adjustRightInd/>
        <w:snapToGrid/>
        <w:spacing w:line="520" w:lineRule="exact"/>
        <w:ind w:left="0" w:leftChars="0" w:right="0" w:firstLine="624" w:firstLineChars="200"/>
        <w:jc w:val="both"/>
        <w:textAlignment w:val="auto"/>
        <w:rPr>
          <w:rFonts w:hint="eastAsia" w:ascii="仿宋_GB2312" w:hAnsi="仿宋_GB2312" w:eastAsia="仿宋_GB2312" w:cs="仿宋_GB2312"/>
          <w:b/>
          <w:bCs/>
          <w:kern w:val="0"/>
          <w:sz w:val="32"/>
          <w:szCs w:val="32"/>
          <w:lang w:val="en-US"/>
        </w:rPr>
      </w:pPr>
      <w:r>
        <w:rPr>
          <w:rFonts w:hint="eastAsia" w:ascii="仿宋_GB2312" w:hAnsi="仿宋_GB2312" w:eastAsia="仿宋_GB2312" w:cs="仿宋_GB2312"/>
          <w:b/>
          <w:bCs/>
          <w:kern w:val="0"/>
          <w:sz w:val="32"/>
          <w:szCs w:val="32"/>
          <w:lang w:val="en-US"/>
        </w:rPr>
        <w:t>规范依据、拟处罚告知及意见采纳情况及处罚内容</w:t>
      </w:r>
    </w:p>
    <w:p>
      <w:pPr>
        <w:snapToGrid w:val="0"/>
        <w:spacing w:line="560" w:lineRule="atLeast"/>
        <w:ind w:firstLine="622"/>
        <w:rPr>
          <w:rFonts w:ascii="仿宋_GB2312" w:eastAsia="仿宋_GB2312"/>
          <w:sz w:val="32"/>
          <w:szCs w:val="32"/>
          <w:lang w:bidi="ar-SA"/>
        </w:rPr>
      </w:pPr>
      <w:r>
        <w:rPr>
          <w:rFonts w:ascii="仿宋_GB2312" w:eastAsia="仿宋_GB2312"/>
          <w:szCs w:val="32"/>
          <w:lang w:bidi="ar-SA"/>
        </w:rPr>
        <w:t>当事人上述行为违反了</w:t>
      </w:r>
      <w:r>
        <w:rPr>
          <w:rFonts w:hint="eastAsia" w:ascii="仿宋_GB2312" w:eastAsia="仿宋_GB2312"/>
          <w:szCs w:val="32"/>
          <w:highlight w:val="none"/>
          <w:lang w:val="en-US" w:eastAsia="zh-CN" w:bidi="ar-SA"/>
        </w:rPr>
        <w:t>《中华人民共和国固体废物污染环境防治法》第八十一条第二款的规定。我局于</w:t>
      </w:r>
      <w:r>
        <w:rPr>
          <w:rFonts w:hint="eastAsia" w:ascii="仿宋_GB2312" w:eastAsia="仿宋_GB2312"/>
          <w:sz w:val="32"/>
          <w:szCs w:val="32"/>
          <w:lang w:val="en-US" w:eastAsia="zh-CN" w:bidi="ar-SA"/>
        </w:rPr>
        <w:t>2021年9月7日向当事人送达《行政处罚听证告知书》（南环听告字〔2021〕92号），告知当事人拟作出的处罚内容及事实、理由、依据，并告知了陈述、申辩</w:t>
      </w:r>
      <w:r>
        <w:rPr>
          <w:rFonts w:hint="eastAsia" w:ascii="仿宋_GB2312" w:eastAsia="仿宋_GB2312"/>
          <w:sz w:val="32"/>
          <w:szCs w:val="32"/>
          <w:highlight w:val="none"/>
          <w:lang w:val="en-US" w:eastAsia="zh-CN" w:bidi="ar-SA"/>
        </w:rPr>
        <w:t>和要求听证的权利</w:t>
      </w:r>
      <w:r>
        <w:rPr>
          <w:rFonts w:hint="eastAsia" w:ascii="仿宋_GB2312" w:eastAsia="仿宋_GB2312"/>
          <w:sz w:val="32"/>
          <w:szCs w:val="32"/>
          <w:lang w:val="en-US" w:eastAsia="zh-CN" w:bidi="ar-SA"/>
        </w:rPr>
        <w:t>。当事人于同月16日向我局提出书面陈述、申辩意见，提出的主要申辩意见如下：“我司东北面围墙边堆放的是一般工业固体废物，一般是没有沾染浆料、油墨等危险废物的工业废弃物，主要是废纺织物、废包装物、废胶纸等。另外，该堆放点可能会有极少数饮料瓶或纸箱之类的，当成一般工业垃圾处理也不会对环境造成污染。”</w:t>
      </w:r>
    </w:p>
    <w:p>
      <w:pPr>
        <w:pStyle w:val="13"/>
        <w:snapToGrid w:val="0"/>
        <w:spacing w:line="560" w:lineRule="atLeast"/>
        <w:ind w:firstLine="622"/>
        <w:rPr>
          <w:rFonts w:hint="default" w:ascii="仿宋_GB2312" w:eastAsia="仿宋_GB2312"/>
          <w:sz w:val="32"/>
          <w:szCs w:val="32"/>
          <w:highlight w:val="none"/>
          <w:lang w:val="en-US" w:eastAsia="zh-CN"/>
        </w:rPr>
      </w:pPr>
      <w:r>
        <w:rPr>
          <w:rFonts w:hint="default" w:ascii="仿宋_GB2312" w:eastAsia="仿宋_GB2312"/>
          <w:sz w:val="32"/>
          <w:szCs w:val="32"/>
          <w:highlight w:val="none"/>
          <w:lang w:val="en-US" w:eastAsia="zh-CN"/>
        </w:rPr>
        <w:t>经审查，我局认为，当事人的申辩意见不影响本案定性，</w:t>
      </w:r>
      <w:r>
        <w:rPr>
          <w:rFonts w:hint="eastAsia" w:ascii="仿宋_GB2312" w:eastAsia="仿宋_GB2312"/>
          <w:sz w:val="32"/>
          <w:szCs w:val="32"/>
          <w:highlight w:val="none"/>
          <w:lang w:val="en-US" w:eastAsia="zh-CN"/>
        </w:rPr>
        <w:t>本案事实清楚、适用法律正确</w:t>
      </w:r>
      <w:r>
        <w:rPr>
          <w:rFonts w:hint="default" w:ascii="仿宋_GB2312" w:eastAsia="仿宋_GB2312"/>
          <w:sz w:val="32"/>
          <w:szCs w:val="32"/>
          <w:highlight w:val="none"/>
          <w:lang w:val="en-US" w:eastAsia="zh-CN"/>
        </w:rPr>
        <w:t>。当事人确有将危险废物混入非危险废物中贮存</w:t>
      </w:r>
      <w:r>
        <w:rPr>
          <w:rFonts w:hint="eastAsia" w:ascii="仿宋_GB2312" w:eastAsia="仿宋_GB2312"/>
          <w:sz w:val="32"/>
          <w:szCs w:val="32"/>
          <w:highlight w:val="none"/>
          <w:lang w:val="en-US" w:eastAsia="zh-CN"/>
        </w:rPr>
        <w:t>的违法</w:t>
      </w:r>
      <w:r>
        <w:rPr>
          <w:rFonts w:hint="default" w:ascii="仿宋_GB2312" w:eastAsia="仿宋_GB2312"/>
          <w:sz w:val="32"/>
          <w:szCs w:val="32"/>
          <w:highlight w:val="none"/>
          <w:lang w:val="en-US" w:eastAsia="zh-CN"/>
        </w:rPr>
        <w:t>行为，应当予以处罚。现本案经我局审查结束。</w:t>
      </w:r>
    </w:p>
    <w:p>
      <w:pPr>
        <w:pStyle w:val="13"/>
        <w:snapToGrid w:val="0"/>
        <w:spacing w:line="560" w:lineRule="atLeast"/>
        <w:ind w:firstLine="622"/>
        <w:rPr>
          <w:rFonts w:hint="default"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根据</w:t>
      </w:r>
      <w:r>
        <w:rPr>
          <w:rFonts w:hint="default" w:ascii="仿宋_GB2312" w:eastAsia="仿宋_GB2312"/>
          <w:sz w:val="32"/>
          <w:szCs w:val="32"/>
          <w:highlight w:val="none"/>
          <w:lang w:val="en-US" w:eastAsia="zh-CN"/>
        </w:rPr>
        <w:t>《中华人民共和国固体废物污染环境防治法》第一百一十二条第一款第六项、第二款的规定，我局现对当事人作出如下决定：</w:t>
      </w:r>
    </w:p>
    <w:p>
      <w:pPr>
        <w:pStyle w:val="13"/>
        <w:snapToGrid w:val="0"/>
        <w:spacing w:line="560" w:lineRule="atLeast"/>
        <w:ind w:firstLine="622"/>
        <w:rPr>
          <w:rFonts w:hint="default" w:ascii="仿宋_GB2312" w:eastAsia="仿宋_GB2312"/>
          <w:sz w:val="32"/>
          <w:szCs w:val="32"/>
          <w:highlight w:val="none"/>
          <w:lang w:val="en-US" w:eastAsia="zh-CN"/>
        </w:rPr>
      </w:pPr>
      <w:r>
        <w:rPr>
          <w:rFonts w:hint="default" w:ascii="仿宋_GB2312" w:eastAsia="仿宋_GB2312"/>
          <w:sz w:val="32"/>
          <w:szCs w:val="32"/>
          <w:highlight w:val="none"/>
          <w:lang w:val="en-US" w:eastAsia="zh-CN"/>
        </w:rPr>
        <w:t>1、责令改正违法行为；</w:t>
      </w:r>
    </w:p>
    <w:p>
      <w:pPr>
        <w:pStyle w:val="13"/>
        <w:snapToGrid w:val="0"/>
        <w:spacing w:line="560" w:lineRule="atLeast"/>
        <w:ind w:firstLine="622"/>
        <w:rPr>
          <w:rFonts w:hint="default" w:ascii="仿宋_GB2312" w:eastAsia="仿宋_GB2312"/>
          <w:sz w:val="32"/>
          <w:szCs w:val="32"/>
          <w:highlight w:val="none"/>
          <w:lang w:val="en-US" w:eastAsia="zh-CN"/>
        </w:rPr>
      </w:pPr>
      <w:r>
        <w:rPr>
          <w:rFonts w:hint="default" w:ascii="仿宋_GB2312" w:eastAsia="仿宋_GB2312"/>
          <w:sz w:val="32"/>
          <w:szCs w:val="32"/>
          <w:highlight w:val="none"/>
          <w:lang w:val="en-US" w:eastAsia="zh-CN"/>
        </w:rPr>
        <w:t>2、处罚款100000元（壹拾万元整）。</w:t>
      </w: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20" w:lineRule="exact"/>
        <w:ind w:right="0" w:firstLine="624" w:firstLineChars="200"/>
        <w:jc w:val="both"/>
        <w:textAlignment w:val="auto"/>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b/>
          <w:bCs/>
          <w:kern w:val="0"/>
          <w:sz w:val="32"/>
          <w:szCs w:val="32"/>
          <w:lang w:val="en-US"/>
        </w:rPr>
        <w:t>三、处罚内容的履行要求和当事人的救济权利</w:t>
      </w: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20" w:lineRule="exact"/>
        <w:ind w:right="0" w:firstLine="624" w:firstLineChars="200"/>
        <w:jc w:val="both"/>
        <w:textAlignment w:val="auto"/>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kern w:val="0"/>
          <w:sz w:val="32"/>
          <w:szCs w:val="32"/>
          <w:lang w:val="en-US"/>
        </w:rPr>
        <w:t>限当事人在收到本处罚决定书之日起15日内，按照《</w:t>
      </w:r>
      <w:r>
        <w:rPr>
          <w:rFonts w:hint="eastAsia" w:ascii="仿宋_GB2312" w:hAnsi="仿宋_GB2312" w:eastAsia="仿宋_GB2312" w:cs="仿宋_GB2312"/>
          <w:kern w:val="0"/>
          <w:sz w:val="32"/>
          <w:szCs w:val="32"/>
          <w:lang w:val="en-US" w:eastAsia="zh-CN"/>
        </w:rPr>
        <w:t>南沙区非税收入罚款通知书</w:t>
      </w:r>
      <w:r>
        <w:rPr>
          <w:rFonts w:hint="eastAsia" w:ascii="仿宋_GB2312" w:hAnsi="仿宋_GB2312" w:eastAsia="仿宋_GB2312" w:cs="仿宋_GB2312"/>
          <w:kern w:val="0"/>
          <w:sz w:val="32"/>
          <w:szCs w:val="32"/>
          <w:lang w:val="en-US"/>
        </w:rPr>
        <w:t>》的要求，将上述罚款缴到非税收入代收银行（工商银行、建设银行、广州银行、广州农村商业银行、中国银行、农业银行、邮政储蓄银行、交通银行、光大银行、中信银行、广发银行、华夏银行、招商银行、民生银行、兴业银行、平安银行、广东华兴银行、创兴银行、珠海华润银行、东莞银行、广东南粤银行），</w:t>
      </w:r>
      <w:r>
        <w:rPr>
          <w:rFonts w:hint="eastAsia" w:ascii="仿宋_GB2312" w:hAnsi="仿宋_GB2312" w:eastAsia="仿宋_GB2312" w:cs="仿宋_GB2312"/>
          <w:kern w:val="0"/>
          <w:sz w:val="32"/>
          <w:szCs w:val="32"/>
          <w:lang w:val="en-US" w:eastAsia="zh-CN"/>
        </w:rPr>
        <w:t>收费</w:t>
      </w:r>
      <w:r>
        <w:rPr>
          <w:rFonts w:hint="eastAsia" w:ascii="仿宋_GB2312" w:hAnsi="仿宋_GB2312" w:eastAsia="仿宋_GB2312" w:cs="仿宋_GB2312"/>
          <w:kern w:val="0"/>
          <w:sz w:val="32"/>
          <w:szCs w:val="32"/>
          <w:lang w:val="en-US"/>
        </w:rPr>
        <w:t>项目编码：</w:t>
      </w:r>
      <w:r>
        <w:rPr>
          <w:rFonts w:hint="eastAsia" w:ascii="仿宋_GB2312" w:hAnsi="仿宋_GB2312" w:eastAsia="仿宋_GB2312" w:cs="仿宋_GB2312"/>
          <w:kern w:val="0"/>
          <w:sz w:val="32"/>
          <w:szCs w:val="32"/>
          <w:lang w:val="en-US" w:eastAsia="zh-CN"/>
        </w:rPr>
        <w:t>103050199101</w:t>
      </w:r>
      <w:r>
        <w:rPr>
          <w:rFonts w:hint="eastAsia" w:ascii="仿宋_GB2312" w:hAnsi="仿宋_GB2312" w:eastAsia="仿宋_GB2312" w:cs="仿宋_GB2312"/>
          <w:kern w:val="0"/>
          <w:sz w:val="32"/>
          <w:szCs w:val="32"/>
          <w:lang w:val="en-US"/>
        </w:rPr>
        <w:t>。</w:t>
      </w:r>
    </w:p>
    <w:p>
      <w:pPr>
        <w:pStyle w:val="3"/>
        <w:keepNext w:val="0"/>
        <w:keepLines w:val="0"/>
        <w:pageBreakBefore w:val="0"/>
        <w:widowControl w:val="0"/>
        <w:tabs>
          <w:tab w:val="left" w:pos="7982"/>
          <w:tab w:val="left" w:pos="8222"/>
        </w:tabs>
        <w:kinsoku/>
        <w:wordWrap/>
        <w:overflowPunct/>
        <w:topLinePunct w:val="0"/>
        <w:autoSpaceDE w:val="0"/>
        <w:autoSpaceDN w:val="0"/>
        <w:bidi w:val="0"/>
        <w:adjustRightInd/>
        <w:snapToGrid/>
        <w:spacing w:line="520" w:lineRule="exact"/>
        <w:ind w:right="0" w:firstLine="624" w:firstLineChars="200"/>
        <w:jc w:val="both"/>
        <w:textAlignment w:val="auto"/>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kern w:val="0"/>
          <w:sz w:val="32"/>
          <w:szCs w:val="32"/>
          <w:lang w:val="en-US"/>
        </w:rPr>
        <w:t>如不服上述行政处罚决定，可在收到文书之日起60日内向广州市人民政府（地址：广州市越秀区小北路183号金和大厦2楼市政府行政复议办公室，电话：020-83555988），也可向广东省生态环境厅（地址：天河区龙口西路213号，电话：020-87533928、87531656）申请行政复议；或者在收到文书之日起6个月内直接向广州铁路运输法院提起行政诉讼。根据《广东省人民政府关于县级以上人民政府统一行使行政复议职责有关事项的通告》（粤府函〔2021〕99号）的规定，自2021年6月1日起县级以上人民政府统一行使行政复议职责，建议您向广州市人民政府提出行政复议申请。申请行政复议或提起行政诉讼的，不停止本决定的执行。</w:t>
      </w:r>
    </w:p>
    <w:p>
      <w:pPr>
        <w:pStyle w:val="3"/>
        <w:keepNext w:val="0"/>
        <w:keepLines w:val="0"/>
        <w:pageBreakBefore w:val="0"/>
        <w:widowControl w:val="0"/>
        <w:tabs>
          <w:tab w:val="left" w:pos="7982"/>
          <w:tab w:val="left" w:pos="8222"/>
        </w:tabs>
        <w:kinsoku/>
        <w:wordWrap/>
        <w:overflowPunct/>
        <w:topLinePunct w:val="0"/>
        <w:autoSpaceDE w:val="0"/>
        <w:autoSpaceDN w:val="0"/>
        <w:bidi w:val="0"/>
        <w:adjustRightInd/>
        <w:snapToGrid/>
        <w:spacing w:line="520" w:lineRule="exact"/>
        <w:ind w:right="0" w:firstLine="624" w:firstLineChars="200"/>
        <w:jc w:val="both"/>
        <w:textAlignment w:val="auto"/>
        <w:rPr>
          <w:rFonts w:hint="eastAsia" w:ascii="仿宋_GB2312" w:hAnsi="仿宋_GB2312" w:eastAsia="仿宋_GB2312" w:cs="仿宋_GB2312"/>
          <w:kern w:val="0"/>
          <w:sz w:val="32"/>
          <w:szCs w:val="32"/>
          <w:u w:val="single"/>
          <w:lang w:val="en-US"/>
        </w:rPr>
      </w:pPr>
      <w:r>
        <w:rPr>
          <w:rFonts w:hint="eastAsia" w:ascii="仿宋_GB2312" w:hAnsi="仿宋_GB2312" w:eastAsia="仿宋_GB2312" w:cs="仿宋_GB2312"/>
          <w:kern w:val="0"/>
          <w:sz w:val="32"/>
          <w:szCs w:val="32"/>
          <w:lang w:val="en-US"/>
        </w:rPr>
        <w:t>根据《中华人民共和国行政处罚法》第七十二条规定，当事人逾期不履行本处罚决定的，我局将每日按罚款额的百分之三加处罚款，并依照《中华人民共和国行政强制法》的规定申请人民法院强制执行。</w:t>
      </w:r>
    </w:p>
    <w:p>
      <w:pPr>
        <w:pStyle w:val="3"/>
        <w:keepNext w:val="0"/>
        <w:keepLines w:val="0"/>
        <w:pageBreakBefore w:val="0"/>
        <w:widowControl w:val="0"/>
        <w:numPr>
          <w:ilvl w:val="0"/>
          <w:numId w:val="0"/>
        </w:numPr>
        <w:tabs>
          <w:tab w:val="left" w:pos="7982"/>
        </w:tabs>
        <w:kinsoku/>
        <w:wordWrap/>
        <w:overflowPunct/>
        <w:topLinePunct w:val="0"/>
        <w:autoSpaceDE w:val="0"/>
        <w:autoSpaceDN w:val="0"/>
        <w:bidi w:val="0"/>
        <w:adjustRightInd/>
        <w:snapToGrid/>
        <w:spacing w:line="520" w:lineRule="exact"/>
        <w:ind w:leftChars="0" w:right="0" w:rightChars="0"/>
        <w:jc w:val="both"/>
        <w:textAlignment w:val="auto"/>
        <w:rPr>
          <w:rFonts w:hint="eastAsia" w:ascii="仿宋_GB2312" w:hAnsi="仿宋_GB2312" w:eastAsia="仿宋_GB2312" w:cs="仿宋_GB2312"/>
          <w:kern w:val="0"/>
          <w:sz w:val="32"/>
          <w:szCs w:val="32"/>
          <w:lang w:val="en-US" w:eastAsia="zh-CN"/>
        </w:rPr>
      </w:pPr>
    </w:p>
    <w:p>
      <w:pPr>
        <w:pStyle w:val="3"/>
        <w:keepNext w:val="0"/>
        <w:keepLines w:val="0"/>
        <w:pageBreakBefore w:val="0"/>
        <w:widowControl w:val="0"/>
        <w:numPr>
          <w:ilvl w:val="0"/>
          <w:numId w:val="0"/>
        </w:numPr>
        <w:tabs>
          <w:tab w:val="left" w:pos="7982"/>
        </w:tabs>
        <w:kinsoku/>
        <w:wordWrap/>
        <w:overflowPunct/>
        <w:topLinePunct w:val="0"/>
        <w:autoSpaceDE w:val="0"/>
        <w:autoSpaceDN w:val="0"/>
        <w:bidi w:val="0"/>
        <w:adjustRightInd/>
        <w:snapToGrid/>
        <w:spacing w:line="520" w:lineRule="exact"/>
        <w:ind w:leftChars="0" w:right="0" w:rightChars="0"/>
        <w:jc w:val="both"/>
        <w:textAlignment w:val="auto"/>
        <w:rPr>
          <w:rFonts w:hint="eastAsia" w:ascii="仿宋_GB2312" w:hAnsi="仿宋_GB2312" w:eastAsia="仿宋_GB2312" w:cs="仿宋_GB2312"/>
          <w:kern w:val="0"/>
          <w:sz w:val="32"/>
          <w:szCs w:val="32"/>
          <w:lang w:val="en-US" w:eastAsia="zh-CN"/>
        </w:rPr>
      </w:pP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20" w:lineRule="exact"/>
        <w:ind w:right="964"/>
        <w:jc w:val="right"/>
        <w:textAlignment w:val="auto"/>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kern w:val="0"/>
          <w:sz w:val="32"/>
          <w:szCs w:val="32"/>
          <w:lang w:val="en-US"/>
        </w:rPr>
        <w:t>广州市生态环境局</w:t>
      </w: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20" w:lineRule="exact"/>
        <w:ind w:right="964"/>
        <w:jc w:val="center"/>
        <w:textAlignment w:val="auto"/>
        <w:rPr>
          <w:rFonts w:hint="eastAsia" w:ascii="仿宋_GB2312" w:hAnsi="仿宋_GB2312" w:eastAsia="仿宋_GB2312" w:cs="仿宋_GB2312"/>
          <w:kern w:val="0"/>
          <w:sz w:val="32"/>
          <w:szCs w:val="32"/>
          <w:highlight w:val="none"/>
          <w:lang w:val="en-US"/>
        </w:rPr>
      </w:pPr>
      <w:r>
        <w:rPr>
          <w:rFonts w:hint="eastAsia" w:ascii="仿宋_GB2312" w:hAnsi="仿宋_GB2312" w:eastAsia="仿宋_GB2312" w:cs="仿宋_GB2312"/>
          <w:kern w:val="0"/>
          <w:sz w:val="32"/>
          <w:szCs w:val="32"/>
          <w:lang w:val="en-US" w:eastAsia="zh-CN"/>
        </w:rPr>
        <w:t xml:space="preserve">                                  2021</w:t>
      </w:r>
      <w:r>
        <w:rPr>
          <w:rFonts w:hint="eastAsia" w:ascii="仿宋_GB2312" w:hAnsi="仿宋_GB2312" w:eastAsia="仿宋_GB2312" w:cs="仿宋_GB2312"/>
          <w:kern w:val="0"/>
          <w:sz w:val="32"/>
          <w:szCs w:val="32"/>
          <w:lang w:val="en-US"/>
        </w:rPr>
        <w:t>年</w:t>
      </w:r>
      <w:r>
        <w:rPr>
          <w:rFonts w:hint="eastAsia" w:ascii="仿宋_GB2312" w:hAnsi="仿宋_GB2312" w:eastAsia="仿宋_GB2312" w:cs="仿宋_GB2312"/>
          <w:kern w:val="0"/>
          <w:sz w:val="32"/>
          <w:szCs w:val="32"/>
          <w:lang w:val="en-US" w:eastAsia="zh-CN"/>
        </w:rPr>
        <w:t>11</w:t>
      </w:r>
      <w:r>
        <w:rPr>
          <w:rFonts w:hint="eastAsia" w:ascii="仿宋_GB2312" w:hAnsi="仿宋_GB2312" w:eastAsia="仿宋_GB2312" w:cs="仿宋_GB2312"/>
          <w:kern w:val="0"/>
          <w:sz w:val="32"/>
          <w:szCs w:val="32"/>
          <w:highlight w:val="none"/>
          <w:lang w:val="en-US"/>
        </w:rPr>
        <w:t>月</w:t>
      </w:r>
      <w:r>
        <w:rPr>
          <w:rFonts w:hint="eastAsia" w:ascii="仿宋_GB2312" w:hAnsi="仿宋_GB2312" w:eastAsia="仿宋_GB2312" w:cs="仿宋_GB2312"/>
          <w:kern w:val="0"/>
          <w:sz w:val="32"/>
          <w:szCs w:val="32"/>
          <w:highlight w:val="none"/>
          <w:lang w:val="en-US" w:eastAsia="zh-CN"/>
        </w:rPr>
        <w:t>15</w:t>
      </w:r>
      <w:r>
        <w:rPr>
          <w:rFonts w:hint="eastAsia" w:ascii="仿宋_GB2312" w:hAnsi="仿宋_GB2312" w:eastAsia="仿宋_GB2312" w:cs="仿宋_GB2312"/>
          <w:kern w:val="0"/>
          <w:sz w:val="32"/>
          <w:szCs w:val="32"/>
          <w:highlight w:val="none"/>
          <w:lang w:val="en-US"/>
        </w:rPr>
        <w:t>日</w:t>
      </w: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20" w:lineRule="exact"/>
        <w:ind w:right="964"/>
        <w:jc w:val="both"/>
        <w:textAlignment w:val="auto"/>
        <w:rPr>
          <w:rFonts w:hint="eastAsia" w:ascii="仿宋_GB2312" w:hAnsi="仿宋_GB2312" w:eastAsia="仿宋_GB2312" w:cs="仿宋_GB2312"/>
          <w:kern w:val="0"/>
          <w:sz w:val="32"/>
          <w:szCs w:val="32"/>
          <w:lang w:val="en-US" w:eastAsia="zh-CN"/>
        </w:rPr>
      </w:pP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20" w:lineRule="exact"/>
        <w:ind w:right="964"/>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（联系电话：020-39053008、39053079、39078029）</w:t>
      </w: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20" w:lineRule="exact"/>
        <w:ind w:right="964"/>
        <w:jc w:val="center"/>
        <w:textAlignment w:val="auto"/>
        <w:rPr>
          <w:rFonts w:hint="eastAsia" w:ascii="仿宋_GB2312" w:hAnsi="仿宋_GB2312" w:eastAsia="仿宋_GB2312" w:cs="仿宋_GB2312"/>
          <w:kern w:val="0"/>
          <w:sz w:val="32"/>
          <w:szCs w:val="32"/>
          <w:lang w:val="en-US"/>
        </w:rPr>
      </w:pPr>
    </w:p>
    <w:sectPr>
      <w:footerReference r:id="rId4" w:type="first"/>
      <w:footerReference r:id="rId3" w:type="default"/>
      <w:pgSz w:w="11906" w:h="16838"/>
      <w:pgMar w:top="2098" w:right="1474" w:bottom="1587" w:left="1587" w:header="851" w:footer="1474" w:gutter="0"/>
      <w:pgBorders>
        <w:top w:val="none" w:sz="0" w:space="0"/>
        <w:left w:val="none" w:sz="0" w:space="0"/>
        <w:bottom w:val="none" w:sz="0" w:space="0"/>
        <w:right w:val="none" w:sz="0" w:space="0"/>
      </w:pgBorders>
      <w:pgNumType w:fmt="decimal" w:start="1"/>
      <w:cols w:space="0" w:num="1"/>
      <w:titlePg/>
      <w:rtlGutter w:val="0"/>
      <w:docGrid w:type="linesAndChars" w:linePitch="579" w:charSpace="-18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CE">
    <w:altName w:val="Courier New"/>
    <w:panose1 w:val="00000000000000000000"/>
    <w:charset w:val="EE"/>
    <w:family w:val="swiss"/>
    <w:pitch w:val="default"/>
    <w:sig w:usb0="00000000" w:usb1="00000000" w:usb2="00000000" w:usb3="00000000" w:csb0="00000002" w:csb1="00000000"/>
  </w:font>
  <w:font w:name="方正小标宋简体">
    <w:altName w:val="仿宋_GB2312"/>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
    <w:altName w:val="宋体"/>
    <w:panose1 w:val="00000000000000000000"/>
    <w:charset w:val="00"/>
    <w:family w:val="auto"/>
    <w:pitch w:val="default"/>
    <w:sig w:usb0="00000000" w:usb1="00000000" w:usb2="00000000" w:usb3="00000000" w:csb0="00040001" w:csb1="00000000"/>
  </w:font>
  <w:font w:name="Courier New">
    <w:panose1 w:val="02070309020205020404"/>
    <w:charset w:val="EE"/>
    <w:family w:val="swiss"/>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4"/>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265656"/>
    <w:multiLevelType w:val="singleLevel"/>
    <w:tmpl w:val="C5265656"/>
    <w:lvl w:ilvl="0" w:tentative="0">
      <w:start w:val="1"/>
      <w:numFmt w:val="chineseCounting"/>
      <w:suff w:val="nothing"/>
      <w:lvlText w:val="%1、"/>
      <w:lvlJc w:val="left"/>
      <w:rPr>
        <w:rFonts w:hint="eastAsia" w:cs="Times New Roman"/>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0866C2"/>
    <w:rsid w:val="025B7E44"/>
    <w:rsid w:val="02624152"/>
    <w:rsid w:val="02D74B40"/>
    <w:rsid w:val="037B165A"/>
    <w:rsid w:val="04253689"/>
    <w:rsid w:val="042E4ABE"/>
    <w:rsid w:val="04B35139"/>
    <w:rsid w:val="05143E2A"/>
    <w:rsid w:val="061C17E8"/>
    <w:rsid w:val="06D43381"/>
    <w:rsid w:val="08CE223F"/>
    <w:rsid w:val="097E2A01"/>
    <w:rsid w:val="0A5C5230"/>
    <w:rsid w:val="0A656ED5"/>
    <w:rsid w:val="0B4B60CB"/>
    <w:rsid w:val="0B5331D2"/>
    <w:rsid w:val="0C812ABC"/>
    <w:rsid w:val="0D8F784B"/>
    <w:rsid w:val="0EE059AD"/>
    <w:rsid w:val="0F76123D"/>
    <w:rsid w:val="0FA55CDC"/>
    <w:rsid w:val="141A488D"/>
    <w:rsid w:val="158A3C94"/>
    <w:rsid w:val="16423E59"/>
    <w:rsid w:val="17516817"/>
    <w:rsid w:val="17584131"/>
    <w:rsid w:val="175A3225"/>
    <w:rsid w:val="188A6659"/>
    <w:rsid w:val="18A95050"/>
    <w:rsid w:val="18DE7186"/>
    <w:rsid w:val="1A077661"/>
    <w:rsid w:val="1A642E58"/>
    <w:rsid w:val="1AAD08FA"/>
    <w:rsid w:val="1E641370"/>
    <w:rsid w:val="202757FA"/>
    <w:rsid w:val="206F2007"/>
    <w:rsid w:val="240866C2"/>
    <w:rsid w:val="24303317"/>
    <w:rsid w:val="24AF387E"/>
    <w:rsid w:val="250749B9"/>
    <w:rsid w:val="267918E7"/>
    <w:rsid w:val="26D21889"/>
    <w:rsid w:val="277F117F"/>
    <w:rsid w:val="27E275F6"/>
    <w:rsid w:val="27EE00B2"/>
    <w:rsid w:val="27FA42A3"/>
    <w:rsid w:val="28537F15"/>
    <w:rsid w:val="29962816"/>
    <w:rsid w:val="2A1B2A10"/>
    <w:rsid w:val="2B34606A"/>
    <w:rsid w:val="2BBB56B5"/>
    <w:rsid w:val="2C003E7D"/>
    <w:rsid w:val="2C9D5C03"/>
    <w:rsid w:val="2D4113EF"/>
    <w:rsid w:val="2D6B6CD8"/>
    <w:rsid w:val="32F86059"/>
    <w:rsid w:val="339A7CD0"/>
    <w:rsid w:val="354B611B"/>
    <w:rsid w:val="3574490A"/>
    <w:rsid w:val="364E7F10"/>
    <w:rsid w:val="365D6B2F"/>
    <w:rsid w:val="36AE0FE2"/>
    <w:rsid w:val="36C870C4"/>
    <w:rsid w:val="37887BDC"/>
    <w:rsid w:val="37A271E0"/>
    <w:rsid w:val="38F42AF1"/>
    <w:rsid w:val="394771CA"/>
    <w:rsid w:val="3B2D4DBE"/>
    <w:rsid w:val="3B7D45F9"/>
    <w:rsid w:val="3BE9328D"/>
    <w:rsid w:val="3C165DE2"/>
    <w:rsid w:val="3C4A1FD5"/>
    <w:rsid w:val="3C526A0A"/>
    <w:rsid w:val="3CD06325"/>
    <w:rsid w:val="3CE77E75"/>
    <w:rsid w:val="3D1D1709"/>
    <w:rsid w:val="3F034600"/>
    <w:rsid w:val="3F0B4C4E"/>
    <w:rsid w:val="3FB37C1A"/>
    <w:rsid w:val="405C29A5"/>
    <w:rsid w:val="44FF7003"/>
    <w:rsid w:val="472D42FC"/>
    <w:rsid w:val="473867FC"/>
    <w:rsid w:val="479802F2"/>
    <w:rsid w:val="47BD27EF"/>
    <w:rsid w:val="4B8C523D"/>
    <w:rsid w:val="4C95683A"/>
    <w:rsid w:val="4CBB7CB4"/>
    <w:rsid w:val="4CD56ED8"/>
    <w:rsid w:val="4FE5550C"/>
    <w:rsid w:val="50515F4D"/>
    <w:rsid w:val="51966304"/>
    <w:rsid w:val="533A57BE"/>
    <w:rsid w:val="56D227CA"/>
    <w:rsid w:val="56DB09D8"/>
    <w:rsid w:val="58A4031C"/>
    <w:rsid w:val="58DF2354"/>
    <w:rsid w:val="58F72073"/>
    <w:rsid w:val="59903AD1"/>
    <w:rsid w:val="5A612936"/>
    <w:rsid w:val="5AD03F4E"/>
    <w:rsid w:val="5AF2343A"/>
    <w:rsid w:val="5C270EC2"/>
    <w:rsid w:val="5C8956D8"/>
    <w:rsid w:val="5FB7255D"/>
    <w:rsid w:val="60CC7F2F"/>
    <w:rsid w:val="63BA4851"/>
    <w:rsid w:val="64582203"/>
    <w:rsid w:val="64E262CE"/>
    <w:rsid w:val="66E76AA8"/>
    <w:rsid w:val="67B339DC"/>
    <w:rsid w:val="696C085C"/>
    <w:rsid w:val="6A6930F0"/>
    <w:rsid w:val="6BC041CD"/>
    <w:rsid w:val="6E5024FA"/>
    <w:rsid w:val="6EEF1D13"/>
    <w:rsid w:val="6F3F118A"/>
    <w:rsid w:val="70260F3A"/>
    <w:rsid w:val="71A110BA"/>
    <w:rsid w:val="71DB2ED4"/>
    <w:rsid w:val="72233A82"/>
    <w:rsid w:val="72312642"/>
    <w:rsid w:val="72E43211"/>
    <w:rsid w:val="73A155A6"/>
    <w:rsid w:val="73EE4748"/>
    <w:rsid w:val="756C1B4E"/>
    <w:rsid w:val="75D8377E"/>
    <w:rsid w:val="76975649"/>
    <w:rsid w:val="76FF686B"/>
    <w:rsid w:val="787F2185"/>
    <w:rsid w:val="791B7F86"/>
    <w:rsid w:val="79AE6349"/>
    <w:rsid w:val="7BE05C65"/>
    <w:rsid w:val="7BEE5DAA"/>
    <w:rsid w:val="7CCE4EED"/>
    <w:rsid w:val="7DF12C86"/>
    <w:rsid w:val="7E631DD5"/>
    <w:rsid w:val="7E714618"/>
    <w:rsid w:val="7E924DD4"/>
    <w:rsid w:val="7ED33841"/>
    <w:rsid w:val="7F5267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eastAsia" w:ascii="Times New Roman" w:hAnsi="Times New Roman" w:eastAsia="Calibri CE" w:cs="Times New Roman"/>
      <w:kern w:val="2"/>
      <w:sz w:val="32"/>
      <w:lang w:val="en-US" w:eastAsia="zh-CN"/>
    </w:rPr>
  </w:style>
  <w:style w:type="paragraph" w:styleId="2">
    <w:name w:val="heading 1"/>
    <w:basedOn w:val="1"/>
    <w:next w:val="1"/>
    <w:qFormat/>
    <w:uiPriority w:val="0"/>
    <w:pPr>
      <w:keepNext/>
      <w:keepLines/>
      <w:spacing w:before="50" w:beforeLines="0" w:beforeAutospacing="0" w:afterLines="0" w:afterAutospacing="0" w:line="240" w:lineRule="auto"/>
      <w:ind w:firstLine="0" w:firstLineChars="0"/>
      <w:jc w:val="center"/>
      <w:outlineLvl w:val="0"/>
    </w:pPr>
    <w:rPr>
      <w:rFonts w:eastAsia="方正小标宋简体"/>
      <w:kern w:val="44"/>
      <w:sz w:val="32"/>
    </w:rPr>
  </w:style>
  <w:style w:type="character" w:default="1" w:styleId="8">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Body Text"/>
    <w:qFormat/>
    <w:uiPriority w:val="0"/>
    <w:pPr>
      <w:widowControl w:val="0"/>
      <w:autoSpaceDE w:val="0"/>
      <w:autoSpaceDN w:val="0"/>
    </w:pPr>
    <w:rPr>
      <w:rFonts w:ascii="宋体" w:hAnsi="宋体" w:eastAsia="宋体" w:cs="宋体"/>
      <w:sz w:val="30"/>
      <w:szCs w:val="30"/>
      <w:lang w:val="zh-CN"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table" w:styleId="7">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9">
    <w:name w:val="Hyperlink"/>
    <w:basedOn w:val="8"/>
    <w:qFormat/>
    <w:uiPriority w:val="0"/>
    <w:rPr>
      <w:color w:val="0000FF"/>
      <w:u w:val="single"/>
    </w:rPr>
  </w:style>
  <w:style w:type="paragraph" w:customStyle="1" w:styleId="10">
    <w:name w:val="Normal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hint="eastAsia" w:ascii="Times New Roman" w:hAnsi="Times New Roman" w:eastAsia="宋体" w:cs="Times New Roman"/>
      <w:kern w:val="2"/>
      <w:sz w:val="21"/>
      <w:lang w:val="en-US" w:eastAsia="zh-CN"/>
    </w:rPr>
  </w:style>
  <w:style w:type="paragraph" w:customStyle="1" w:styleId="1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15"/>
      <w:szCs w:val="24"/>
      <w:lang w:val="en-US" w:eastAsia="zh-CN" w:bidi="ar-SA"/>
    </w:rPr>
  </w:style>
  <w:style w:type="paragraph" w:customStyle="1" w:styleId="12">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
    <w:name w:val="正文 New New New New New New New New New New New New New New New New New New New New New New New New New New New New New New New New New New New New New New New New New New New New New New New New New New New New New New New New New New New New New New Ne1"/>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2021-05-13T02:27:00Z</dcterms:created>
  <dc:creator>刘倩</dc:creator>
  <cp:lastModifiedBy>HP</cp:lastModifiedBy>
  <dcterms:modified xsi:type="dcterms:W3CDTF">2021-11-23T02:00:18Z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967105BA297E4BC38847A6B5559FE551</vt:lpwstr>
  </property>
</Properties>
</file>