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yellow"/>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51</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当事人：广州中滔绿由环保科技有限公司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经营危险废物项目，主要从事危险废物的收集、贮存、利用、处置业务，已取得《危险废物经营许可证》，现有员工400人，2020年营业收入为3.18亿元。</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8月26日、9月2日，我局执法人员对当事人进行调查时发现，当事人存在以下事实情形：2020年9月至2021年7月期间，当事人从产废单位（检验检测机构、工业企业实验室等）收集实验室危险废物，并贮存于仓储部-试剂仓车间内，收集、贮存的主要实验室危险废物包括：废玻璃瓶、废包装瓶、废试剂瓶、实验室废液等，总重量超过200吨，均属于《国家危险废物名录》（2021年版）HW49类中的900-047-49。当事人另收集67.7788吨VOCs治理过程产生的废活性炭（HW49类中的900-039-49）、99.153吨含有或沾染毒性、感染性危险废物的过滤吸附介质（HW49类中的900-041-49），总重量为166.9318吨，均配套危险废物焚烧炉进行处置。</w:t>
      </w:r>
      <w:r>
        <w:rPr>
          <w:rFonts w:hint="default" w:ascii="仿宋_GB2312" w:eastAsia="仿宋_GB2312"/>
          <w:szCs w:val="32"/>
          <w:highlight w:val="none"/>
          <w:lang w:val="en-US" w:eastAsia="zh-CN" w:bidi="ar-SA"/>
        </w:rPr>
        <w:t>上述实验室危险废物、废活性炭、过滤吸附介质的总重量超过366.9吨，</w:t>
      </w:r>
      <w:r>
        <w:rPr>
          <w:rFonts w:hint="default" w:ascii="仿宋_GB2312" w:eastAsia="仿宋_GB2312"/>
          <w:szCs w:val="32"/>
          <w:lang w:val="en-US" w:eastAsia="zh-CN" w:bidi="ar-SA"/>
        </w:rPr>
        <w:t>月均处理量超过33吨。当事人未能提供上述危险废物经营情况档案，未记录收集、贮存、处置上述危险废物的种类、来源、去向、成分和有无发生突发环境事件等事项，当事人属于未按照规定建立和保存危险废物经营情况档案。</w:t>
      </w:r>
    </w:p>
    <w:p>
      <w:pPr>
        <w:snapToGrid w:val="0"/>
        <w:spacing w:line="560" w:lineRule="atLeast"/>
        <w:ind w:firstLine="622"/>
        <w:rPr>
          <w:rFonts w:hint="default" w:ascii="仿宋_GB2312" w:eastAsia="仿宋_GB2312"/>
          <w:szCs w:val="32"/>
          <w:lang w:eastAsia="zh-CN" w:bidi="ar-SA"/>
        </w:rPr>
      </w:pPr>
      <w:r>
        <w:rPr>
          <w:rFonts w:hint="default" w:ascii="仿宋_GB2312" w:eastAsia="仿宋_GB2312"/>
          <w:szCs w:val="32"/>
          <w:lang w:val="en-US" w:eastAsia="zh-CN" w:bidi="ar-SA"/>
        </w:rPr>
        <w:t>以上事实，有《现场检查笔录》、《调查询问笔录》、现场检查照片、《营业执照》复印件、《危险废物经营许可证》复印件、《收集的废活性炭和过滤吸附介质统计表》等证据材料予以证实。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《广东省固体废物污染环境防治条例》第三十六条第一款的规定。我局于</w:t>
      </w:r>
      <w:r>
        <w:rPr>
          <w:rFonts w:hint="eastAsia" w:ascii="仿宋_GB2312" w:eastAsia="仿宋_GB2312"/>
          <w:sz w:val="32"/>
          <w:szCs w:val="32"/>
          <w:lang w:val="en-US" w:eastAsia="zh-CN" w:bidi="ar-SA"/>
        </w:rPr>
        <w:t>2021年9月27日向当事人送达《行政处罚事先告知书》（南环罚告字〔2021〕23号），告知当事人拟作出的处罚内容及事实、理由、依据，并告知了陈述、申辩的权利。当事人于同月27日向我局提出书面陈述、申辩意见，当事人提出的主要申辩意见如下：“我司按规范化管理条例将所有接收、分流、处置的台账储存到相关档案室，故贵局现场检查时，未能在现场发现相关台账。”</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经审查，我局认为：我局现场检查时，执法人员要求当事人提供案涉危险废物的相关台账，但当事人现场无法提供且在笔录中确认了并未建立相关台账，因此，我局对当事人的申辩意见不予采纳。</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综上所述，当事人确有未按照规定建立和保存危险废物经营情况档案的违法行为，应当予以处罚，当事人提出的申辩意见不影响本案定性，我局对当事人的申辩意见不予采纳。现本案经我局审查结束。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根据《广东省固体废物污染环境防治条例》第五十条第四项及《广州市规范生态环境行政处罚自由裁量权规定》附件第15.17.1项的规定，我局现对当事人作出如下决定：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1、责令1个月内改正违法行为；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2、处罚款5万元（伍万元整）。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15</w:t>
      </w:r>
      <w:r>
        <w:rPr>
          <w:rFonts w:hint="eastAsia" w:ascii="仿宋_GB2312" w:hAnsi="仿宋_GB2312" w:eastAsia="仿宋_GB2312" w:cs="仿宋_GB2312"/>
          <w:kern w:val="0"/>
          <w:sz w:val="32"/>
          <w:szCs w:val="32"/>
          <w:highlight w:val="none"/>
          <w:lang w:val="en-US"/>
        </w:rPr>
        <w:t>日</w:t>
      </w:r>
    </w:p>
    <w:p>
      <w:pPr>
        <w:keepNext w:val="0"/>
        <w:keepLines w:val="0"/>
        <w:pageBreakBefore w:val="0"/>
        <w:widowControl w:val="0"/>
        <w:tabs>
          <w:tab w:val="left" w:pos="0"/>
        </w:tabs>
        <w:kinsoku/>
        <w:wordWrap/>
        <w:overflowPunct/>
        <w:topLinePunct w:val="0"/>
        <w:autoSpaceDE/>
        <w:autoSpaceDN/>
        <w:bidi w:val="0"/>
        <w:adjustRightInd/>
        <w:snapToGrid w:val="0"/>
        <w:spacing w:line="520" w:lineRule="atLeast"/>
        <w:ind w:right="0" w:rightChars="0"/>
        <w:jc w:val="both"/>
        <w:textAlignment w:val="auto"/>
        <w:rPr>
          <w:rFonts w:hint="default" w:ascii="仿宋_GB2312" w:eastAsia="仿宋_GB2312"/>
          <w:kern w:val="2"/>
          <w:sz w:val="32"/>
          <w:szCs w:val="32"/>
          <w:highlight w:val="none"/>
          <w:lang w:val="en-US" w:eastAsia="zh-CN" w:bidi="ar-SA"/>
        </w:rPr>
      </w:pPr>
      <w:r>
        <w:rPr>
          <w:rFonts w:ascii="仿宋_GB2312" w:eastAsia="仿宋_GB2312"/>
          <w:szCs w:val="32"/>
          <w:highlight w:val="none"/>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39C61E1"/>
    <w:rsid w:val="042E4ABE"/>
    <w:rsid w:val="061C17E8"/>
    <w:rsid w:val="06D43381"/>
    <w:rsid w:val="08CE223F"/>
    <w:rsid w:val="097E2A01"/>
    <w:rsid w:val="0C084594"/>
    <w:rsid w:val="0C812ABC"/>
    <w:rsid w:val="0D326D24"/>
    <w:rsid w:val="0D8F784B"/>
    <w:rsid w:val="0EE059AD"/>
    <w:rsid w:val="16423E59"/>
    <w:rsid w:val="16C603D8"/>
    <w:rsid w:val="188174BC"/>
    <w:rsid w:val="18A95050"/>
    <w:rsid w:val="1A642E58"/>
    <w:rsid w:val="1AAD08FA"/>
    <w:rsid w:val="202757FA"/>
    <w:rsid w:val="206F2007"/>
    <w:rsid w:val="238B20A3"/>
    <w:rsid w:val="240866C2"/>
    <w:rsid w:val="24303317"/>
    <w:rsid w:val="24AF387E"/>
    <w:rsid w:val="27781396"/>
    <w:rsid w:val="27FA42A3"/>
    <w:rsid w:val="2B34606A"/>
    <w:rsid w:val="2BBB56B5"/>
    <w:rsid w:val="2C003E7D"/>
    <w:rsid w:val="2D4113EF"/>
    <w:rsid w:val="2D6B6CD8"/>
    <w:rsid w:val="2FF16346"/>
    <w:rsid w:val="32F86059"/>
    <w:rsid w:val="339A7CD0"/>
    <w:rsid w:val="33E25397"/>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5C29A5"/>
    <w:rsid w:val="479802F2"/>
    <w:rsid w:val="47BD27EF"/>
    <w:rsid w:val="499670FD"/>
    <w:rsid w:val="4B8C523D"/>
    <w:rsid w:val="4CD56ED8"/>
    <w:rsid w:val="4FE5550C"/>
    <w:rsid w:val="5074612C"/>
    <w:rsid w:val="51966304"/>
    <w:rsid w:val="533A57BE"/>
    <w:rsid w:val="56DB09D8"/>
    <w:rsid w:val="58A4031C"/>
    <w:rsid w:val="58DF2354"/>
    <w:rsid w:val="5A612936"/>
    <w:rsid w:val="5AD03F4E"/>
    <w:rsid w:val="5CB70633"/>
    <w:rsid w:val="60C15319"/>
    <w:rsid w:val="63BA4851"/>
    <w:rsid w:val="64582203"/>
    <w:rsid w:val="66E76AA8"/>
    <w:rsid w:val="6A6930F0"/>
    <w:rsid w:val="6BC041CD"/>
    <w:rsid w:val="6D1F34E0"/>
    <w:rsid w:val="6F3F118A"/>
    <w:rsid w:val="70994C1A"/>
    <w:rsid w:val="73EE4748"/>
    <w:rsid w:val="756C1B4E"/>
    <w:rsid w:val="75D8377E"/>
    <w:rsid w:val="76975649"/>
    <w:rsid w:val="774855B0"/>
    <w:rsid w:val="787F2185"/>
    <w:rsid w:val="789B326A"/>
    <w:rsid w:val="791B7F86"/>
    <w:rsid w:val="79AE6349"/>
    <w:rsid w:val="7BE05C65"/>
    <w:rsid w:val="7BEE5DAA"/>
    <w:rsid w:val="7C4D7AEC"/>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