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360" w:lineRule="auto"/>
        <w:rPr>
          <w:rFonts w:hint="default" w:ascii="仿宋_GB2312" w:eastAsia="仿宋_GB2312"/>
          <w:szCs w:val="32"/>
        </w:rPr>
      </w:pPr>
    </w:p>
    <w:p>
      <w:pPr>
        <w:snapToGrid w:val="0"/>
        <w:spacing w:before="50" w:after="289" w:afterLines="50" w:line="288" w:lineRule="auto"/>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行政处罚决定书</w:t>
      </w:r>
    </w:p>
    <w:p>
      <w:pPr>
        <w:snapToGrid w:val="0"/>
        <w:spacing w:after="579" w:afterLines="100" w:line="480" w:lineRule="exact"/>
        <w:jc w:val="right"/>
        <w:rPr>
          <w:rFonts w:hint="default" w:ascii="仿宋_GB2312" w:eastAsia="仿宋_GB2312"/>
          <w:szCs w:val="30"/>
          <w:highlight w:val="none"/>
        </w:rPr>
      </w:pPr>
      <w:r>
        <w:rPr>
          <w:rFonts w:ascii="仿宋_GB2312" w:hAnsi="仿宋_GB2312" w:eastAsia="仿宋_GB2312" w:cs="仿宋_GB2312"/>
          <w:szCs w:val="32"/>
        </w:rPr>
        <w:t>南环罚字〔</w:t>
      </w:r>
      <w:r>
        <w:rPr>
          <w:rFonts w:ascii="仿宋_GB2312" w:hAnsi="仿宋_GB2312" w:eastAsia="仿宋_GB2312" w:cs="仿宋_GB2312"/>
          <w:szCs w:val="32"/>
          <w:highlight w:val="none"/>
        </w:rPr>
        <w:t>2021〕</w:t>
      </w:r>
      <w:r>
        <w:rPr>
          <w:rFonts w:hint="eastAsia" w:ascii="仿宋_GB2312" w:hAnsi="仿宋_GB2312" w:eastAsia="仿宋_GB2312" w:cs="仿宋_GB2312"/>
          <w:szCs w:val="32"/>
          <w:highlight w:val="none"/>
          <w:lang w:val="en-US" w:eastAsia="zh-CN"/>
        </w:rPr>
        <w:t>49</w:t>
      </w:r>
      <w:r>
        <w:rPr>
          <w:rFonts w:ascii="仿宋_GB2312" w:hAnsi="仿宋_GB2312" w:eastAsia="仿宋_GB2312" w:cs="仿宋_GB2312"/>
          <w:szCs w:val="32"/>
          <w:highlight w:val="none"/>
        </w:rPr>
        <w:t>号</w:t>
      </w:r>
    </w:p>
    <w:p>
      <w:pPr>
        <w:pStyle w:val="3"/>
        <w:tabs>
          <w:tab w:val="left" w:pos="7382"/>
          <w:tab w:val="left" w:pos="7982"/>
        </w:tabs>
        <w:spacing w:line="480" w:lineRule="exact"/>
        <w:jc w:val="both"/>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当事人：广州市八沙元艺电镀有限公司</w:t>
      </w: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numPr>
          <w:ilvl w:val="0"/>
          <w:numId w:val="1"/>
        </w:numPr>
        <w:tabs>
          <w:tab w:val="left" w:pos="7382"/>
          <w:tab w:val="left" w:pos="798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b/>
          <w:bCs/>
          <w:sz w:val="32"/>
          <w:szCs w:val="32"/>
          <w:lang w:val="en-US"/>
        </w:rPr>
        <w:t>当事人基本情况及违法事实情况</w:t>
      </w:r>
    </w:p>
    <w:p>
      <w:pPr>
        <w:snapToGrid w:val="0"/>
        <w:spacing w:line="560" w:lineRule="atLeast"/>
        <w:ind w:firstLine="622"/>
        <w:rPr>
          <w:rFonts w:hint="default" w:ascii="仿宋_GB2312" w:eastAsia="仿宋_GB2312"/>
          <w:szCs w:val="32"/>
        </w:rPr>
      </w:pPr>
      <w:r>
        <w:rPr>
          <w:rFonts w:hint="default" w:ascii="仿宋_GB2312" w:eastAsia="仿宋_GB2312"/>
          <w:szCs w:val="32"/>
        </w:rPr>
        <w:t>当事人</w:t>
      </w:r>
      <w:bookmarkStart w:id="0" w:name="_GoBack"/>
      <w:bookmarkEnd w:id="0"/>
      <w:r>
        <w:rPr>
          <w:rFonts w:hint="default" w:ascii="仿宋_GB2312" w:eastAsia="仿宋_GB2312"/>
          <w:szCs w:val="32"/>
        </w:rPr>
        <w:t>建成首饰加工生产项目，主要从事金银首饰加工生产，现有员工40人，2020年营业额为1356万元。项目在生产过程中使用丙酮及天那水作为清洗剂，主要生产工艺流程为：原材料（金、银）→酸洗→电镀→烘干→成品包装，生产过程中产生含丙酮和天那水废液、废丙酮包装铁桶、废天那水包装铁桶。根据《国家危险废物名录》，含丙酮和天那水废液（废物类别为HW06 废有机溶剂与含有机溶剂废物，废物代码为 900-402-06），废丙酮包装铁桶、废天那水包装铁桶（废物类别为HW49其他废物，废物代码为900-041-49），均属于危险废物。</w:t>
      </w:r>
    </w:p>
    <w:p>
      <w:pPr>
        <w:snapToGrid w:val="0"/>
        <w:spacing w:line="560" w:lineRule="atLeast"/>
        <w:ind w:firstLine="622"/>
        <w:rPr>
          <w:rFonts w:hint="default" w:ascii="仿宋_GB2312" w:eastAsia="仿宋_GB2312"/>
          <w:szCs w:val="32"/>
        </w:rPr>
      </w:pPr>
      <w:r>
        <w:rPr>
          <w:rFonts w:hint="default" w:ascii="仿宋_GB2312" w:eastAsia="仿宋_GB2312"/>
          <w:szCs w:val="32"/>
        </w:rPr>
        <w:t>我局执法人员对当事人进行调查时发现，当事人存在以下事实情形：当事人于2020年1月9日办理2019年度危险废物申报登记时，未申报登记0.6吨含丙酮和天那水废液、0.288吨废丙酮包装铁桶和废天那水包装铁桶，未申报登记危险废物的数量共0.888吨。当事人于2021年1月7日办理2020年度危险废物申报登记时，未申报登记0.6吨含丙酮和天那水废液、0.352吨废丙酮包装铁桶和废天那水包装铁桶，未申报登记危险废物的数量共0.952，月产生量约为0.079吨。当事人上述行为属于未按照国家</w:t>
      </w:r>
      <w:r>
        <w:rPr>
          <w:rFonts w:ascii="仿宋_GB2312" w:eastAsia="仿宋_GB2312"/>
          <w:szCs w:val="32"/>
        </w:rPr>
        <w:t>有关</w:t>
      </w:r>
      <w:r>
        <w:rPr>
          <w:rFonts w:hint="default" w:ascii="仿宋_GB2312" w:eastAsia="仿宋_GB2312"/>
          <w:szCs w:val="32"/>
        </w:rPr>
        <w:t>规定申报危险废物有关资料。</w:t>
      </w:r>
    </w:p>
    <w:p>
      <w:pPr>
        <w:snapToGrid w:val="0"/>
        <w:spacing w:line="560" w:lineRule="atLeast"/>
        <w:ind w:firstLine="622"/>
        <w:rPr>
          <w:rFonts w:hint="default" w:ascii="仿宋_GB2312" w:eastAsia="仿宋_GB2312"/>
          <w:szCs w:val="32"/>
        </w:rPr>
      </w:pPr>
      <w:r>
        <w:rPr>
          <w:rFonts w:hint="default" w:ascii="仿宋_GB2312" w:eastAsia="仿宋_GB2312"/>
          <w:szCs w:val="32"/>
        </w:rPr>
        <w:t>以上事实，有《现场检查笔录》、《调查询问笔录》、现场检查照片、营业执照复印件、《广州市八沙元艺电镀厂2019年1月至12月丙酮及天那水使用情况说明》、《广州市八沙元艺电镀厂2020年1月至12月丙酮及天那水使用情况说明》、《广东省固体废物申报登记业务数据存档表单》等证据材料予以证实。</w:t>
      </w:r>
    </w:p>
    <w:p>
      <w:pPr>
        <w:pStyle w:val="3"/>
        <w:numPr>
          <w:ilvl w:val="0"/>
          <w:numId w:val="1"/>
        </w:numPr>
        <w:tabs>
          <w:tab w:val="left" w:pos="7982"/>
        </w:tabs>
        <w:spacing w:line="520" w:lineRule="exact"/>
        <w:ind w:firstLine="624"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规范依据、拟处罚告知及意见采纳情况及处罚内容</w:t>
      </w:r>
    </w:p>
    <w:p>
      <w:pPr>
        <w:snapToGrid w:val="0"/>
        <w:spacing w:line="560" w:lineRule="atLeast"/>
        <w:ind w:firstLine="622"/>
        <w:rPr>
          <w:rFonts w:hint="default" w:ascii="仿宋_GB2312" w:eastAsia="仿宋_GB2312"/>
          <w:szCs w:val="32"/>
        </w:rPr>
      </w:pPr>
      <w:r>
        <w:rPr>
          <w:rFonts w:ascii="仿宋_GB2312" w:eastAsia="仿宋_GB2312"/>
          <w:szCs w:val="32"/>
        </w:rPr>
        <w:t>当事人上述行为违反了《中华人民共和国固体废物污染环境防治法》（2016修正）第五十三条第一款、《中华人民共和国固体废物污染环境防治法》（2020修订）第七十八条第一款的规定。我局于2021年8月20日向当事人送达《行政处罚听证告知书》（南环听告字〔2021〕85号），告知当事人拟作出的处罚内容及事实、理由、依据，并告知了陈述、申辩和要求听证的权利。当事人未提出陈述申辩意见。经审查，我局认为，本案违法事实清楚、适用法律正确。</w:t>
      </w:r>
    </w:p>
    <w:p>
      <w:pPr>
        <w:snapToGrid w:val="0"/>
        <w:spacing w:line="560" w:lineRule="atLeast"/>
        <w:ind w:firstLine="622"/>
        <w:rPr>
          <w:rFonts w:hint="default" w:ascii="仿宋_GB2312" w:eastAsia="仿宋_GB2312"/>
          <w:szCs w:val="32"/>
        </w:rPr>
      </w:pPr>
      <w:r>
        <w:rPr>
          <w:rFonts w:ascii="仿宋_GB2312" w:eastAsia="仿宋_GB2312"/>
          <w:szCs w:val="32"/>
        </w:rPr>
        <w:t>综上所述，当事人确有未按照国家有关规定申报危险废物有关资料的违法行为，应当予以处罚。现本案经我局审查结束。</w:t>
      </w:r>
    </w:p>
    <w:p>
      <w:pPr>
        <w:pStyle w:val="14"/>
        <w:snapToGrid w:val="0"/>
        <w:spacing w:line="560" w:lineRule="atLeast"/>
        <w:ind w:firstLine="622"/>
        <w:rPr>
          <w:rFonts w:ascii="仿宋_GB2312" w:eastAsia="仿宋_GB2312"/>
          <w:sz w:val="32"/>
          <w:szCs w:val="32"/>
          <w:highlight w:val="none"/>
        </w:rPr>
      </w:pPr>
      <w:r>
        <w:rPr>
          <w:rFonts w:hint="eastAsia" w:ascii="仿宋_GB2312" w:eastAsia="仿宋_GB2312"/>
          <w:sz w:val="32"/>
          <w:szCs w:val="32"/>
        </w:rPr>
        <w:t>针对当事人2020年未按规定申报2019年危险废物的违法行为，根据《中华人民共和国固体废物污染环境防治法》（2016修正）第七十五条第一款第二项、第二款的规定，</w:t>
      </w:r>
      <w:r>
        <w:rPr>
          <w:rFonts w:hint="eastAsia" w:ascii="仿宋_GB2312" w:eastAsia="仿宋_GB2312"/>
          <w:sz w:val="32"/>
          <w:szCs w:val="32"/>
          <w:highlight w:val="none"/>
        </w:rPr>
        <w:t>我局决定责令当事人改正违法行为，并处罚款30000元（叁万元整）。</w:t>
      </w:r>
    </w:p>
    <w:p>
      <w:pPr>
        <w:pStyle w:val="14"/>
        <w:snapToGrid w:val="0"/>
        <w:spacing w:line="560" w:lineRule="atLeast"/>
        <w:ind w:firstLine="622"/>
        <w:rPr>
          <w:rFonts w:hint="eastAsia" w:ascii="仿宋_GB2312" w:eastAsia="仿宋_GB2312"/>
          <w:sz w:val="32"/>
          <w:szCs w:val="32"/>
          <w:highlight w:val="none"/>
          <w:lang w:eastAsia="zh-CN"/>
        </w:rPr>
      </w:pPr>
      <w:r>
        <w:rPr>
          <w:rFonts w:hint="eastAsia" w:ascii="仿宋_GB2312" w:eastAsia="仿宋_GB2312"/>
          <w:sz w:val="32"/>
          <w:szCs w:val="32"/>
          <w:highlight w:val="none"/>
        </w:rPr>
        <w:t>针对当事人2021年未按规定申报2020年危险废物的违法行为，根据《中华人民共和国固体废物污染环境防治法》（2020修订）第一百一十二条第一款第二项、第二款的规定，我局决定责令当事人改正违法行为，并处罚款150000元（壹拾伍万元整）</w:t>
      </w:r>
      <w:r>
        <w:rPr>
          <w:rFonts w:hint="eastAsia" w:ascii="仿宋_GB2312" w:eastAsia="仿宋_GB2312"/>
          <w:sz w:val="32"/>
          <w:szCs w:val="32"/>
          <w:highlight w:val="none"/>
          <w:lang w:eastAsia="zh-CN"/>
        </w:rPr>
        <w:t>。</w:t>
      </w:r>
    </w:p>
    <w:p>
      <w:pPr>
        <w:pStyle w:val="14"/>
        <w:snapToGrid w:val="0"/>
        <w:spacing w:line="560" w:lineRule="atLeast"/>
        <w:ind w:firstLine="622"/>
        <w:rPr>
          <w:rFonts w:ascii="仿宋_GB2312" w:eastAsia="仿宋_GB2312"/>
          <w:sz w:val="32"/>
          <w:szCs w:val="32"/>
        </w:rPr>
      </w:pPr>
      <w:r>
        <w:rPr>
          <w:rFonts w:hint="eastAsia" w:ascii="仿宋_GB2312" w:eastAsia="仿宋_GB2312"/>
          <w:sz w:val="32"/>
          <w:szCs w:val="32"/>
        </w:rPr>
        <w:t>综上，我局现对当事人作出如下决定：</w:t>
      </w:r>
    </w:p>
    <w:p>
      <w:pPr>
        <w:pStyle w:val="14"/>
        <w:snapToGrid w:val="0"/>
        <w:spacing w:line="560" w:lineRule="atLeast"/>
        <w:ind w:firstLine="622"/>
        <w:rPr>
          <w:rFonts w:ascii="仿宋_GB2312" w:eastAsia="仿宋_GB2312"/>
          <w:sz w:val="32"/>
          <w:szCs w:val="32"/>
        </w:rPr>
      </w:pPr>
      <w:r>
        <w:rPr>
          <w:rFonts w:hint="eastAsia" w:ascii="仿宋_GB2312" w:eastAsia="仿宋_GB2312"/>
          <w:sz w:val="32"/>
          <w:szCs w:val="32"/>
        </w:rPr>
        <w:t>1、责令改正违法行为；</w:t>
      </w:r>
    </w:p>
    <w:p>
      <w:pPr>
        <w:pStyle w:val="14"/>
        <w:snapToGrid w:val="0"/>
        <w:spacing w:line="560" w:lineRule="atLeast"/>
        <w:ind w:firstLine="622"/>
        <w:rPr>
          <w:rFonts w:ascii="仿宋_GB2312" w:eastAsia="仿宋_GB2312"/>
          <w:sz w:val="32"/>
          <w:szCs w:val="32"/>
        </w:rPr>
      </w:pPr>
      <w:r>
        <w:rPr>
          <w:rFonts w:hint="eastAsia" w:ascii="仿宋_GB2312" w:eastAsia="仿宋_GB2312"/>
          <w:sz w:val="32"/>
          <w:szCs w:val="32"/>
        </w:rPr>
        <w:t>2、处罚款180000元（壹拾捌万元整）。</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三、处罚内容的履行要求和当事人的救济权利</w:t>
      </w:r>
    </w:p>
    <w:p>
      <w:pPr>
        <w:pStyle w:val="3"/>
        <w:tabs>
          <w:tab w:val="left" w:pos="7382"/>
          <w:tab w:val="left" w:pos="7982"/>
        </w:tabs>
        <w:spacing w:line="520" w:lineRule="exact"/>
        <w:ind w:firstLine="62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限当事人在收到本处罚决定书之日起15日内，按照《</w:t>
      </w:r>
      <w:r>
        <w:rPr>
          <w:rFonts w:hint="eastAsia" w:ascii="仿宋_GB2312" w:hAnsi="仿宋_GB2312" w:eastAsia="仿宋_GB2312" w:cs="仿宋_GB2312"/>
          <w:sz w:val="32"/>
          <w:szCs w:val="32"/>
          <w:lang w:val="en-US" w:eastAsia="zh-CN"/>
        </w:rPr>
        <w:t>南沙区非税收入罚款通知书</w:t>
      </w:r>
      <w:r>
        <w:rPr>
          <w:rFonts w:hint="eastAsia" w:ascii="仿宋_GB2312" w:hAnsi="仿宋_GB2312" w:eastAsia="仿宋_GB2312" w:cs="仿宋_GB2312"/>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lang w:val="en-US"/>
        </w:rPr>
        <w:t>项目编码：</w:t>
      </w:r>
      <w:r>
        <w:rPr>
          <w:rFonts w:hint="eastAsia" w:ascii="仿宋_GB2312" w:hAnsi="仿宋_GB2312" w:eastAsia="仿宋_GB2312" w:cs="仿宋_GB2312"/>
          <w:sz w:val="32"/>
          <w:szCs w:val="32"/>
          <w:lang w:val="en-US" w:eastAsia="zh-CN"/>
        </w:rPr>
        <w:t>103050199101</w:t>
      </w:r>
      <w:r>
        <w:rPr>
          <w:rFonts w:hint="eastAsia" w:ascii="仿宋_GB2312" w:hAnsi="仿宋_GB2312" w:eastAsia="仿宋_GB2312" w:cs="仿宋_GB2312"/>
          <w:sz w:val="32"/>
          <w:szCs w:val="32"/>
          <w:lang w:val="en-US"/>
        </w:rPr>
        <w:t>。</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382"/>
          <w:tab w:val="left" w:pos="7982"/>
        </w:tabs>
        <w:spacing w:line="520" w:lineRule="exact"/>
        <w:ind w:right="964"/>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广州市生态环境局</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rPr>
        <w:t xml:space="preserve">                                  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highlight w:val="none"/>
          <w:lang w:val="en-US"/>
        </w:rPr>
        <w:t>日</w:t>
      </w:r>
    </w:p>
    <w:p>
      <w:pPr>
        <w:keepNext w:val="0"/>
        <w:keepLines w:val="0"/>
        <w:pageBreakBefore w:val="0"/>
        <w:widowControl w:val="0"/>
        <w:tabs>
          <w:tab w:val="left" w:pos="0"/>
        </w:tabs>
        <w:kinsoku/>
        <w:wordWrap/>
        <w:overflowPunct/>
        <w:topLinePunct w:val="0"/>
        <w:autoSpaceDE/>
        <w:autoSpaceDN/>
        <w:bidi w:val="0"/>
        <w:adjustRightInd/>
        <w:snapToGrid w:val="0"/>
        <w:spacing w:line="520" w:lineRule="atLeast"/>
        <w:ind w:right="0" w:rightChars="0"/>
        <w:jc w:val="both"/>
        <w:textAlignment w:val="auto"/>
        <w:rPr>
          <w:rFonts w:hint="default" w:ascii="仿宋_GB2312" w:eastAsia="仿宋_GB2312"/>
          <w:kern w:val="2"/>
          <w:sz w:val="32"/>
          <w:szCs w:val="32"/>
          <w:highlight w:val="none"/>
          <w:lang w:val="en-US" w:eastAsia="zh-CN" w:bidi="ar-SA"/>
        </w:rPr>
      </w:pPr>
      <w:r>
        <w:rPr>
          <w:rFonts w:ascii="仿宋_GB2312" w:eastAsia="仿宋_GB2312"/>
          <w:szCs w:val="32"/>
          <w:highlight w:val="none"/>
        </w:rPr>
        <w:t>（联系电话：020-39053008、39053079、39078029）</w:t>
      </w:r>
    </w:p>
    <w:p>
      <w:pPr>
        <w:pStyle w:val="3"/>
        <w:tabs>
          <w:tab w:val="left" w:pos="7382"/>
          <w:tab w:val="left" w:pos="7982"/>
        </w:tabs>
        <w:spacing w:line="520" w:lineRule="exact"/>
        <w:ind w:right="964"/>
        <w:jc w:val="center"/>
        <w:rPr>
          <w:rFonts w:hint="eastAsia" w:ascii="仿宋_GB2312" w:hAnsi="仿宋_GB2312" w:eastAsia="仿宋_GB2312" w:cs="仿宋_GB2312"/>
          <w:sz w:val="32"/>
          <w:szCs w:val="32"/>
          <w:highlight w:val="none"/>
          <w:lang w:val="en-US"/>
        </w:rPr>
      </w:pPr>
    </w:p>
    <w:sectPr>
      <w:footerReference r:id="rId4" w:type="first"/>
      <w:footerReference r:id="rId3" w:type="default"/>
      <w:pgSz w:w="11906" w:h="16838"/>
      <w:pgMar w:top="2098" w:right="1474" w:bottom="1587" w:left="1587" w:header="851" w:footer="1474" w:gutter="0"/>
      <w:pgNumType w:start="1"/>
      <w:cols w:space="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Heiti SC Light">
    <w:altName w:val="Microsoft YaHei UI Light"/>
    <w:panose1 w:val="02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p>
    <w:pPr>
      <w:pStyle w:val="5"/>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4</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xzL48xQCAAAFBAAADgAAAGRycy9lMm9Eb2MueG1srVPNjtMwEL4j&#10;8Q6W7zRtd1stVdNV2VURUsWuVBBn13GaSP6T7TYpDwBvwInL3nmuPgefnaaLgBPiMpnMjGf8ffN5&#10;ftsqSQ7C+dronI4GQ0qE5qao9S6nHz+sXt1Q4gPTBZNGi5wehae3i5cv5o2dibGpjCyEI2ii/ayx&#10;Oa1CsLMs87wSivmBsUIjWRqnWMCv22WFYw26K5mNh8Np1hhXWGe48B7R+y5JF6l/WQoeHsrSi0Bk&#10;TnG3kKxLdhtttpiz2c4xW9X8fA32D7dQrNYYeml1zwIje1f/0UrV3BlvyjDgRmWmLGsuEgagGQ1/&#10;Q7OpmBUJC8jx9kKT/39t+fvDoyN1kdNrSjRTWNHp29fT9x+npy/kOtLTWD9D1caiLrRvTIs193GP&#10;YETdlk7FL/AQ5EH08UKuaAPhCE7Hr8c3E0o4UuOr6c1kErtkz4et8+GtMIpEJ6cOu0uUssPah660&#10;L4mztFnVUqb9SU0aDLiaDNOBSwbNpcaMCKG7avRCu23PuLamOAKWM50uvOWrGsPXzIdH5iAEIIG4&#10;wwNMKQ2GmLNHSWXc57/FYz32gywlDYSVUw3lUyLfaewtarB3XO9se0fv1Z2BUkd4NJYnFwdckL1b&#10;OqM+QfHLOAMppjkm5TT07l3oxI0Xw8VymYqgNMvCWm8sj60jed4u9wEEJl4jKR0TZ66gtbSZ87uI&#10;Yv71P1U9v9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M/k3SAAAAAwEAAA8AAAAAAAAAAQAg&#10;AAAAIgAAAGRycy9kb3ducmV2LnhtbFBLAQIUABQAAAAIAIdO4kDHMvjzFAIAAAUEAAAOAAAAAAAA&#10;AAEAIAAAACEBAABkcnMvZTJvRG9jLnhtbFBLBQYAAAAABgAGAFkBAACn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4</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outside;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ubnORICAAAFBAAADgAAAGRycy9lMm9Eb2MueG1srVPLbhMxFN0j&#10;8Q+W92SSVGlLlEkVWgUhVbRSQKwdj50ZyS/ZTmbCB8AfsGLTPd+V7+DYyaQIWCE2nju+z3Pu8eym&#10;04rshA+NNSUdDYaUCMNt1ZhNST9+WL66piREZiqmrBEl3YtAb+YvX8xaNxVjW1tVCU9QxIRp60pa&#10;x+imRRF4LTQLA+uEgVNar1nEr98UlWctqmtVjIfDy6K1vnLechECbu+OTjrP9aUUPD5IGUQkqqSY&#10;LebT53OdzmI+Y9ONZ65u+GkM9g9TaNYYND2XumORka1v/iilG+5tsDIOuNWFlbLhImMAmtHwNzSr&#10;mjmRsYCc4M40hf9Xlr/fPXrSVCWdUGKYxooO374evv84PH0hk0RP68IUUSuHuNi9sR3W3N8HXCbU&#10;nfQ6fYGHwA+i92dyRRcJT0nj0fgaTThco4urq9e5evGc7HyIb4XVJBkl9dhdppTt7kPEIAjtQ1Iv&#10;Y5eNUnl/ypC2pJcXk2FOOHuQoQwSE4TjqMmK3bo74Vrbag9Y3h51ERxfNmh+z0J8ZB5CABKIOz7g&#10;kMqiiT1ZlNTWf/7bfYrHfuClpIWwSmqgfErUO4O9JQ32hu+NdW+Yrb61UOoIj8bxbCLBR9Wb0lv9&#10;CYpfpB5wMcPRqaSxN2/jUdx4MVwsFjkISnMs3puV46l0Ii+4xTaCwMxrIuXIxIkraC3TfXoXScy/&#10;/ueo59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rMR0gAAAAMBAAAPAAAAAAAAAAEAIAAA&#10;ACIAAABkcnMvZG93bnJldi54bWxQSwECFAAUAAAACACHTuJAWubnORICAAAFBAAADgAAAAAAAAAB&#10;ACAAAAAhAQAAZHJzL2Uyb0RvYy54bWxQSwUGAAAAAAYABgBZAQAApQUAAAAA&#10;">
              <v:fill on="f" focussize="0,0"/>
              <v:stroke on="f" weight="0.5pt"/>
              <v:imagedata o:title=""/>
              <o:lock v:ext="edit" aspectratio="f"/>
              <v:textbox inset="0mm,0mm,0mm,0mm" style="mso-fit-shape-to-text:t;">
                <w:txbxContent>
                  <w:p>
                    <w:pPr>
                      <w:pStyle w:val="5"/>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3C2051"/>
    <w:rsid w:val="00F46C45"/>
    <w:rsid w:val="015C623B"/>
    <w:rsid w:val="02BB1143"/>
    <w:rsid w:val="037B165A"/>
    <w:rsid w:val="042E4ABE"/>
    <w:rsid w:val="061C17E8"/>
    <w:rsid w:val="06D43381"/>
    <w:rsid w:val="08CE223F"/>
    <w:rsid w:val="097E2A01"/>
    <w:rsid w:val="0B28192C"/>
    <w:rsid w:val="0C812ABC"/>
    <w:rsid w:val="0D607FC2"/>
    <w:rsid w:val="0D8F784B"/>
    <w:rsid w:val="0EE059AD"/>
    <w:rsid w:val="135440AB"/>
    <w:rsid w:val="16423E59"/>
    <w:rsid w:val="18A95050"/>
    <w:rsid w:val="19523F8D"/>
    <w:rsid w:val="1A642E58"/>
    <w:rsid w:val="1AAD08FA"/>
    <w:rsid w:val="202757FA"/>
    <w:rsid w:val="206F2007"/>
    <w:rsid w:val="240866C2"/>
    <w:rsid w:val="24303317"/>
    <w:rsid w:val="24AF387E"/>
    <w:rsid w:val="272724C8"/>
    <w:rsid w:val="27FA42A3"/>
    <w:rsid w:val="2ADB1E1A"/>
    <w:rsid w:val="2B34606A"/>
    <w:rsid w:val="2BBB56B5"/>
    <w:rsid w:val="2C003E7D"/>
    <w:rsid w:val="2D4113EF"/>
    <w:rsid w:val="2D6B6CD8"/>
    <w:rsid w:val="2D7773A7"/>
    <w:rsid w:val="2F46383B"/>
    <w:rsid w:val="32F86059"/>
    <w:rsid w:val="339A7CD0"/>
    <w:rsid w:val="33A02519"/>
    <w:rsid w:val="354B611B"/>
    <w:rsid w:val="3574490A"/>
    <w:rsid w:val="364E7F10"/>
    <w:rsid w:val="36AE0FE2"/>
    <w:rsid w:val="36C870C4"/>
    <w:rsid w:val="37A271E0"/>
    <w:rsid w:val="383E79E4"/>
    <w:rsid w:val="38AD7DBF"/>
    <w:rsid w:val="38F42AF1"/>
    <w:rsid w:val="39174F2C"/>
    <w:rsid w:val="394771CA"/>
    <w:rsid w:val="3B2D4DBE"/>
    <w:rsid w:val="3B7D45F9"/>
    <w:rsid w:val="3BE9328D"/>
    <w:rsid w:val="3C165DE2"/>
    <w:rsid w:val="3C4A1FD5"/>
    <w:rsid w:val="3CD06325"/>
    <w:rsid w:val="3CE77E75"/>
    <w:rsid w:val="3D1D1709"/>
    <w:rsid w:val="3F034600"/>
    <w:rsid w:val="3FB37C1A"/>
    <w:rsid w:val="405C29A5"/>
    <w:rsid w:val="422D35C3"/>
    <w:rsid w:val="42DD56A5"/>
    <w:rsid w:val="479802F2"/>
    <w:rsid w:val="47BD27EF"/>
    <w:rsid w:val="48BA3232"/>
    <w:rsid w:val="4B6257DB"/>
    <w:rsid w:val="4B8C523D"/>
    <w:rsid w:val="4BCF0260"/>
    <w:rsid w:val="4C9F6696"/>
    <w:rsid w:val="4CD56ED8"/>
    <w:rsid w:val="4FE5550C"/>
    <w:rsid w:val="51966304"/>
    <w:rsid w:val="533A57BE"/>
    <w:rsid w:val="56DB09D8"/>
    <w:rsid w:val="57A4003A"/>
    <w:rsid w:val="58A4031C"/>
    <w:rsid w:val="58DF2354"/>
    <w:rsid w:val="5A612936"/>
    <w:rsid w:val="5AD03F4E"/>
    <w:rsid w:val="5EB969B1"/>
    <w:rsid w:val="5ED95012"/>
    <w:rsid w:val="62994E36"/>
    <w:rsid w:val="63BA4851"/>
    <w:rsid w:val="64582203"/>
    <w:rsid w:val="65CC4CA0"/>
    <w:rsid w:val="66E76AA8"/>
    <w:rsid w:val="6A6930F0"/>
    <w:rsid w:val="6B810BA1"/>
    <w:rsid w:val="6BC041CD"/>
    <w:rsid w:val="6F3F118A"/>
    <w:rsid w:val="730D6EB5"/>
    <w:rsid w:val="73EE4748"/>
    <w:rsid w:val="756C1B4E"/>
    <w:rsid w:val="75D8377E"/>
    <w:rsid w:val="76975649"/>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bidi="ar-SA"/>
    </w:rPr>
  </w:style>
  <w:style w:type="paragraph" w:styleId="2">
    <w:name w:val="heading 1"/>
    <w:basedOn w:val="1"/>
    <w:next w:val="1"/>
    <w:qFormat/>
    <w:uiPriority w:val="0"/>
    <w:pPr>
      <w:keepNext/>
      <w:keepLines/>
      <w:spacing w:before="50"/>
      <w:jc w:val="center"/>
      <w:outlineLvl w:val="0"/>
    </w:pPr>
    <w:rPr>
      <w:rFonts w:eastAsia="方正小标宋简体"/>
      <w:kern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Balloon Text"/>
    <w:basedOn w:val="1"/>
    <w:link w:val="15"/>
    <w:qFormat/>
    <w:uiPriority w:val="0"/>
    <w:rPr>
      <w:rFonts w:ascii="Heiti SC Light" w:eastAsia="Heiti SC Light"/>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Hyperlink"/>
    <w:basedOn w:val="9"/>
    <w:qFormat/>
    <w:uiPriority w:val="0"/>
    <w:rPr>
      <w:color w:val="0000FF"/>
      <w:u w:val="single"/>
    </w:rPr>
  </w:style>
  <w:style w:type="paragraph" w:customStyle="1" w:styleId="11">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字符"/>
    <w:basedOn w:val="9"/>
    <w:link w:val="4"/>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326</Words>
  <Characters>1862</Characters>
  <Lines>15</Lines>
  <Paragraphs>4</Paragraphs>
  <TotalTime>0</TotalTime>
  <ScaleCrop>false</ScaleCrop>
  <LinksUpToDate>false</LinksUpToDate>
  <CharactersWithSpaces>2184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