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360" w:lineRule="auto"/>
        <w:rPr>
          <w:rFonts w:hint="default" w:ascii="仿宋_GB2312" w:eastAsia="仿宋_GB2312"/>
          <w:szCs w:val="32"/>
        </w:rPr>
      </w:pPr>
    </w:p>
    <w:p>
      <w:pPr>
        <w:snapToGrid w:val="0"/>
        <w:spacing w:before="50" w:after="289" w:afterLines="50" w:line="288" w:lineRule="auto"/>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行政处罚决定书</w:t>
      </w:r>
    </w:p>
    <w:p>
      <w:pPr>
        <w:snapToGrid w:val="0"/>
        <w:spacing w:after="579" w:afterLines="100" w:line="480" w:lineRule="exact"/>
        <w:jc w:val="right"/>
        <w:rPr>
          <w:rFonts w:hint="default" w:ascii="仿宋_GB2312" w:eastAsia="仿宋_GB2312"/>
          <w:szCs w:val="30"/>
          <w:highlight w:val="none"/>
        </w:rPr>
      </w:pPr>
      <w:r>
        <w:rPr>
          <w:rFonts w:ascii="仿宋_GB2312" w:hAnsi="仿宋_GB2312" w:eastAsia="仿宋_GB2312" w:cs="仿宋_GB2312"/>
          <w:szCs w:val="32"/>
        </w:rPr>
        <w:t>南环罚字〔2021</w:t>
      </w:r>
      <w:r>
        <w:rPr>
          <w:rFonts w:ascii="仿宋_GB2312" w:hAnsi="仿宋_GB2312" w:eastAsia="仿宋_GB2312" w:cs="仿宋_GB2312"/>
          <w:szCs w:val="32"/>
          <w:highlight w:val="none"/>
        </w:rPr>
        <w:t>〕</w:t>
      </w:r>
      <w:r>
        <w:rPr>
          <w:rFonts w:hint="eastAsia" w:ascii="仿宋_GB2312" w:hAnsi="仿宋_GB2312" w:eastAsia="仿宋_GB2312" w:cs="仿宋_GB2312"/>
          <w:szCs w:val="32"/>
          <w:highlight w:val="none"/>
          <w:lang w:val="en-US" w:eastAsia="zh-CN"/>
        </w:rPr>
        <w:t>48</w:t>
      </w:r>
      <w:r>
        <w:rPr>
          <w:rFonts w:ascii="仿宋_GB2312" w:hAnsi="仿宋_GB2312" w:eastAsia="仿宋_GB2312" w:cs="仿宋_GB2312"/>
          <w:szCs w:val="32"/>
          <w:highlight w:val="none"/>
        </w:rPr>
        <w:t>号</w:t>
      </w:r>
    </w:p>
    <w:p>
      <w:pPr>
        <w:pStyle w:val="3"/>
        <w:tabs>
          <w:tab w:val="left" w:pos="7382"/>
          <w:tab w:val="left" w:pos="7982"/>
        </w:tabs>
        <w:spacing w:line="480" w:lineRule="exact"/>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当事人：广州嘉泽科技有限公司</w:t>
      </w:r>
    </w:p>
    <w:p>
      <w:pPr>
        <w:pStyle w:val="3"/>
        <w:tabs>
          <w:tab w:val="left" w:pos="7382"/>
          <w:tab w:val="left" w:pos="7982"/>
        </w:tabs>
        <w:spacing w:line="480" w:lineRule="exact"/>
        <w:jc w:val="both"/>
        <w:rPr>
          <w:rFonts w:ascii="仿宋_GB2312" w:hAnsi="仿宋_GB2312" w:eastAsia="仿宋_GB2312" w:cs="仿宋_GB2312"/>
          <w:sz w:val="32"/>
          <w:szCs w:val="32"/>
          <w:lang w:val="en-US"/>
        </w:rPr>
      </w:pPr>
    </w:p>
    <w:p>
      <w:pPr>
        <w:pStyle w:val="3"/>
        <w:tabs>
          <w:tab w:val="left" w:pos="7382"/>
          <w:tab w:val="left" w:pos="7982"/>
        </w:tabs>
        <w:spacing w:line="480" w:lineRule="exact"/>
        <w:jc w:val="both"/>
        <w:rPr>
          <w:rFonts w:ascii="仿宋_GB2312" w:hAnsi="仿宋_GB2312" w:eastAsia="仿宋_GB2312" w:cs="仿宋_GB2312"/>
          <w:sz w:val="32"/>
          <w:szCs w:val="32"/>
          <w:lang w:val="en-US"/>
        </w:rPr>
      </w:pPr>
    </w:p>
    <w:p>
      <w:pPr>
        <w:pStyle w:val="3"/>
        <w:numPr>
          <w:ilvl w:val="0"/>
          <w:numId w:val="1"/>
        </w:numPr>
        <w:tabs>
          <w:tab w:val="left" w:pos="7382"/>
          <w:tab w:val="left" w:pos="7982"/>
        </w:tabs>
        <w:spacing w:line="520" w:lineRule="exact"/>
        <w:ind w:firstLine="624" w:firstLineChars="200"/>
        <w:jc w:val="both"/>
        <w:rPr>
          <w:rFonts w:ascii="仿宋_GB2312" w:hAnsi="仿宋_GB2312" w:eastAsia="仿宋_GB2312" w:cs="仿宋_GB2312"/>
          <w:sz w:val="32"/>
          <w:szCs w:val="32"/>
          <w:u w:val="single"/>
          <w:lang w:val="en-US"/>
        </w:rPr>
      </w:pPr>
      <w:r>
        <w:rPr>
          <w:rFonts w:hint="eastAsia" w:ascii="仿宋_GB2312" w:hAnsi="仿宋_GB2312" w:eastAsia="仿宋_GB2312" w:cs="仿宋_GB2312"/>
          <w:b/>
          <w:bCs/>
          <w:sz w:val="32"/>
          <w:szCs w:val="32"/>
          <w:lang w:val="en-US"/>
        </w:rPr>
        <w:t>当事人基本情况及违法事实情况</w:t>
      </w:r>
    </w:p>
    <w:p>
      <w:pPr>
        <w:snapToGrid w:val="0"/>
        <w:spacing w:line="560" w:lineRule="atLeast"/>
        <w:ind w:firstLine="622"/>
        <w:rPr>
          <w:rFonts w:hint="default" w:ascii="仿宋_GB2312" w:hAnsi="仿宋_GB2312" w:eastAsia="仿宋_GB2312" w:cs="仿宋_GB2312"/>
          <w:kern w:val="0"/>
          <w:szCs w:val="32"/>
        </w:rPr>
      </w:pPr>
      <w:r>
        <w:rPr>
          <w:rFonts w:ascii="仿宋_GB2312" w:hAnsi="仿宋_GB2312" w:eastAsia="仿宋_GB2312" w:cs="仿宋_GB2312"/>
          <w:kern w:val="0"/>
          <w:szCs w:val="32"/>
        </w:rPr>
        <w:t>当事人</w:t>
      </w:r>
      <w:bookmarkStart w:id="0" w:name="_GoBack"/>
      <w:bookmarkEnd w:id="0"/>
      <w:r>
        <w:rPr>
          <w:rFonts w:ascii="仿宋_GB2312" w:hAnsi="仿宋_GB2312" w:eastAsia="仿宋_GB2312" w:cs="仿宋_GB2312"/>
          <w:kern w:val="0"/>
          <w:szCs w:val="32"/>
        </w:rPr>
        <w:t>建成PCB半成品生产项目，主要从事PCB半成品（单面、双面线路板和多层线路板）生产，于2018年12月建成并投入生产。项目主要生产设备有：开料机(XY-1500)2台、丝印台(合荣手动)5台、开料机 (Q11-31300MM)2台、脚踏剪板机(Q11-1X)2台、数控钻孔6台、洗板机(立讯)1 台、锣板机(标特福)7台等。主要生产工艺流程为：（1）单面、双面线路板:基板制作→基板沉铜(委外)→线路制作→蚀刻(委外)→线路板电镀(委外)→阻碍印刷→表面处理工序(委外)→外层加工→成品;（2）多层线路板:基板制作→线路制作(内层)→蚀刻(委外)→线路板电镀(委外)→层压(委外)→沉铜加厚（委外）→线路制作(外层)→蚀刻(委外)→线路板电镀(委外)→阻碍印刷→表面处理工序(委外)→外层加工→成品。产生的主要污染物为：粉尘、有机废气、机械噪声等, 上述污染物均已配套相应污染防治设施进行处理。</w:t>
      </w:r>
    </w:p>
    <w:p>
      <w:pPr>
        <w:snapToGrid w:val="0"/>
        <w:spacing w:line="560" w:lineRule="atLeast"/>
        <w:ind w:firstLine="622"/>
        <w:rPr>
          <w:rFonts w:hint="default" w:ascii="仿宋_GB2312" w:hAnsi="仿宋_GB2312" w:eastAsia="仿宋_GB2312" w:cs="仿宋_GB2312"/>
          <w:kern w:val="0"/>
          <w:szCs w:val="32"/>
        </w:rPr>
      </w:pPr>
      <w:r>
        <w:rPr>
          <w:rFonts w:ascii="仿宋_GB2312" w:hAnsi="仿宋_GB2312" w:eastAsia="仿宋_GB2312" w:cs="仿宋_GB2312"/>
          <w:kern w:val="0"/>
          <w:szCs w:val="32"/>
        </w:rPr>
        <w:t>2021年9月4日，我局执法人员对当事人进行调查时发现，当事人存在以下事实情形：当事人丝印车间一号工位正在生产，该工位生产过程中产生的有机废气已配套“喷淋塔＋光催化氧化＋活性炭”设施进行处理，但该废气治理设施的吸气孔阀门呈关闭状态，无法对有机废气进行收集、处理。当事人上述行为属于产生含挥发性有机物废气的生产活动，未按照规定使用污染防治设施。</w:t>
      </w:r>
    </w:p>
    <w:p>
      <w:pPr>
        <w:snapToGrid w:val="0"/>
        <w:spacing w:line="560" w:lineRule="atLeast"/>
        <w:ind w:firstLine="622"/>
        <w:rPr>
          <w:rFonts w:hint="default" w:ascii="仿宋_GB2312" w:hAnsi="仿宋_GB2312" w:eastAsia="仿宋_GB2312" w:cs="仿宋_GB2312"/>
          <w:kern w:val="0"/>
          <w:szCs w:val="32"/>
        </w:rPr>
      </w:pPr>
      <w:r>
        <w:rPr>
          <w:rFonts w:ascii="仿宋_GB2312" w:hAnsi="仿宋_GB2312" w:eastAsia="仿宋_GB2312" w:cs="仿宋_GB2312"/>
          <w:kern w:val="0"/>
          <w:szCs w:val="32"/>
        </w:rPr>
        <w:t>以上事实，有《现场检查笔录》、《调查询问笔录》、现场检查照片、视频资料、营业执照复印件、《关于广州嘉泽科技有限公司PCB半成品生产建设项目环境影响报告书审批意见的函》（穗南审批环评〔2018〕113号）等证据材料予以证实。</w:t>
      </w:r>
    </w:p>
    <w:p>
      <w:pPr>
        <w:pStyle w:val="3"/>
        <w:numPr>
          <w:ilvl w:val="0"/>
          <w:numId w:val="1"/>
        </w:numPr>
        <w:tabs>
          <w:tab w:val="left" w:pos="7982"/>
        </w:tabs>
        <w:spacing w:line="520" w:lineRule="exact"/>
        <w:ind w:firstLine="624" w:firstLineChars="200"/>
        <w:jc w:val="both"/>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规范依据、拟处罚告知及意见采纳情况及处罚内容</w:t>
      </w:r>
    </w:p>
    <w:p>
      <w:pPr>
        <w:snapToGrid w:val="0"/>
        <w:spacing w:line="560" w:lineRule="atLeast"/>
        <w:ind w:firstLine="622"/>
        <w:rPr>
          <w:rFonts w:hint="default" w:ascii="仿宋_GB2312" w:eastAsia="仿宋_GB2312"/>
          <w:szCs w:val="32"/>
        </w:rPr>
      </w:pPr>
      <w:r>
        <w:rPr>
          <w:rFonts w:ascii="仿宋_GB2312" w:eastAsia="仿宋_GB2312"/>
          <w:szCs w:val="32"/>
        </w:rPr>
        <w:t>当事人上述行为违反了《中华人民共和国大气污染防治法》第四十五条的规定。我局于2021年10月9日向当事人送达《行政处罚事先告知书》（南环罚告字〔2021〕26号），告知当事人拟作出的处罚内容及事实、理由、依据，并告知了陈述、申辩的权利。当事人于同月11日向我局提出书面陈述、申辩意见。当事人提出的主要申辩意见如下：“一、我司因疏忽未打开丝印车间一号工位的废气治理设施吸气孔阀门；二、我司车间配有多个吸气孔阀门，一个阀门未打开，不会影响废气收集；三、我司曾于2019年、2021年自行委托第三方进行废气检测，两次监测结果均合格。四、我司经营困难，恳请免于处罚。”</w:t>
      </w:r>
    </w:p>
    <w:p>
      <w:pPr>
        <w:pStyle w:val="13"/>
        <w:snapToGrid w:val="0"/>
        <w:spacing w:line="560" w:lineRule="atLeast"/>
        <w:ind w:firstLine="622"/>
        <w:rPr>
          <w:rFonts w:ascii="仿宋_GB2312" w:eastAsia="仿宋_GB2312"/>
          <w:sz w:val="32"/>
          <w:szCs w:val="32"/>
        </w:rPr>
      </w:pPr>
      <w:r>
        <w:rPr>
          <w:rFonts w:hint="eastAsia" w:ascii="仿宋_GB2312" w:eastAsia="仿宋_GB2312"/>
          <w:sz w:val="32"/>
          <w:szCs w:val="32"/>
        </w:rPr>
        <w:t>经审查，当事人的陈述申辩意见不影响本案定性，当事人确有产生含挥发性有机物废气的生产活动，未按照规定使用污染防治设施的违法行为，应当予以处罚。现本案经我局审查结束。</w:t>
      </w:r>
    </w:p>
    <w:p>
      <w:pPr>
        <w:pStyle w:val="13"/>
        <w:snapToGrid w:val="0"/>
        <w:spacing w:line="560" w:lineRule="atLeast"/>
        <w:ind w:firstLine="622"/>
        <w:rPr>
          <w:rFonts w:ascii="仿宋_GB2312" w:eastAsia="仿宋_GB2312"/>
          <w:sz w:val="32"/>
          <w:szCs w:val="32"/>
        </w:rPr>
      </w:pPr>
      <w:r>
        <w:rPr>
          <w:rFonts w:hint="eastAsia" w:ascii="仿宋_GB2312" w:eastAsia="仿宋_GB2312"/>
          <w:sz w:val="32"/>
          <w:szCs w:val="32"/>
        </w:rPr>
        <w:t>根据《中华人民共和国大气污染防治法》第一百零八条第一项及《广州市规范生态环境行政处罚自由裁量权规定》附件第11.11.3项的规定，我局现对当事人作出如下决定：</w:t>
      </w:r>
    </w:p>
    <w:p>
      <w:pPr>
        <w:pStyle w:val="13"/>
        <w:snapToGrid w:val="0"/>
        <w:spacing w:line="560" w:lineRule="atLeast"/>
        <w:ind w:firstLine="622"/>
        <w:rPr>
          <w:rFonts w:ascii="仿宋_GB2312" w:eastAsia="仿宋_GB2312"/>
          <w:sz w:val="32"/>
          <w:szCs w:val="32"/>
        </w:rPr>
      </w:pPr>
      <w:r>
        <w:rPr>
          <w:rFonts w:hint="eastAsia" w:ascii="仿宋_GB2312" w:eastAsia="仿宋_GB2312"/>
          <w:sz w:val="32"/>
          <w:szCs w:val="32"/>
        </w:rPr>
        <w:t>1、责令改正违法行为；</w:t>
      </w:r>
    </w:p>
    <w:p>
      <w:pPr>
        <w:pStyle w:val="13"/>
        <w:snapToGrid w:val="0"/>
        <w:spacing w:line="560" w:lineRule="atLeast"/>
        <w:ind w:firstLine="622"/>
        <w:rPr>
          <w:rFonts w:ascii="仿宋_GB2312" w:eastAsia="仿宋_GB2312"/>
          <w:sz w:val="32"/>
          <w:szCs w:val="32"/>
        </w:rPr>
      </w:pPr>
      <w:r>
        <w:rPr>
          <w:rFonts w:hint="eastAsia" w:ascii="仿宋_GB2312" w:eastAsia="仿宋_GB2312"/>
          <w:sz w:val="32"/>
          <w:szCs w:val="32"/>
        </w:rPr>
        <w:t>2、处罚款4万元（肆万元</w:t>
      </w:r>
      <w:r>
        <w:rPr>
          <w:rFonts w:hint="eastAsia" w:ascii="仿宋_GB2312" w:eastAsia="仿宋_GB2312"/>
          <w:sz w:val="32"/>
          <w:szCs w:val="32"/>
          <w:lang w:val="en-US" w:eastAsia="zh-CN"/>
        </w:rPr>
        <w:t>整</w:t>
      </w:r>
      <w:r>
        <w:rPr>
          <w:rFonts w:hint="eastAsia" w:ascii="仿宋_GB2312" w:eastAsia="仿宋_GB2312"/>
          <w:sz w:val="32"/>
          <w:szCs w:val="32"/>
        </w:rPr>
        <w:t>）。</w:t>
      </w:r>
    </w:p>
    <w:p>
      <w:pPr>
        <w:pStyle w:val="3"/>
        <w:tabs>
          <w:tab w:val="left" w:pos="7382"/>
          <w:tab w:val="left" w:pos="7982"/>
        </w:tabs>
        <w:spacing w:line="520" w:lineRule="exact"/>
        <w:ind w:firstLine="624"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三、处罚内容的履行要求和当事人的救济权利</w:t>
      </w:r>
    </w:p>
    <w:p>
      <w:pPr>
        <w:pStyle w:val="3"/>
        <w:tabs>
          <w:tab w:val="left" w:pos="7382"/>
          <w:tab w:val="left" w:pos="7982"/>
        </w:tabs>
        <w:spacing w:line="520" w:lineRule="exact"/>
        <w:ind w:firstLine="624"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限当事人在收到本处罚决定书之日起15日内，按照《</w:t>
      </w:r>
      <w:r>
        <w:rPr>
          <w:rFonts w:hint="eastAsia" w:ascii="仿宋_GB2312" w:hAnsi="仿宋_GB2312" w:eastAsia="仿宋_GB2312" w:cs="仿宋_GB2312"/>
          <w:sz w:val="32"/>
          <w:szCs w:val="32"/>
          <w:lang w:val="en-US" w:eastAsia="zh-CN"/>
        </w:rPr>
        <w:t>南沙区非税收入罚款通知书</w:t>
      </w:r>
      <w:r>
        <w:rPr>
          <w:rFonts w:hint="eastAsia" w:ascii="仿宋_GB2312" w:hAnsi="仿宋_GB2312" w:eastAsia="仿宋_GB2312" w:cs="仿宋_GB2312"/>
          <w:sz w:val="32"/>
          <w:szCs w:val="32"/>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sz w:val="32"/>
          <w:szCs w:val="32"/>
          <w:lang w:val="en-US" w:eastAsia="zh-CN"/>
        </w:rPr>
        <w:t>收费</w:t>
      </w:r>
      <w:r>
        <w:rPr>
          <w:rFonts w:hint="eastAsia" w:ascii="仿宋_GB2312" w:hAnsi="仿宋_GB2312" w:eastAsia="仿宋_GB2312" w:cs="仿宋_GB2312"/>
          <w:sz w:val="32"/>
          <w:szCs w:val="32"/>
          <w:lang w:val="en-US"/>
        </w:rPr>
        <w:t>项目编码：</w:t>
      </w:r>
      <w:r>
        <w:rPr>
          <w:rFonts w:hint="eastAsia" w:ascii="仿宋_GB2312" w:hAnsi="仿宋_GB2312" w:eastAsia="仿宋_GB2312" w:cs="仿宋_GB2312"/>
          <w:sz w:val="32"/>
          <w:szCs w:val="32"/>
          <w:lang w:val="en-US" w:eastAsia="zh-CN"/>
        </w:rPr>
        <w:t>103050199101</w:t>
      </w:r>
      <w:r>
        <w:rPr>
          <w:rFonts w:hint="eastAsia" w:ascii="仿宋_GB2312" w:hAnsi="仿宋_GB2312" w:eastAsia="仿宋_GB2312" w:cs="仿宋_GB2312"/>
          <w:sz w:val="32"/>
          <w:szCs w:val="32"/>
          <w:lang w:val="en-US"/>
        </w:rPr>
        <w:t>。</w:t>
      </w:r>
    </w:p>
    <w:p>
      <w:pPr>
        <w:pStyle w:val="3"/>
        <w:tabs>
          <w:tab w:val="left" w:pos="7982"/>
          <w:tab w:val="left" w:pos="8222"/>
        </w:tabs>
        <w:spacing w:line="520" w:lineRule="exact"/>
        <w:ind w:firstLine="624"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tabs>
          <w:tab w:val="left" w:pos="7982"/>
          <w:tab w:val="left" w:pos="8222"/>
        </w:tabs>
        <w:spacing w:line="520" w:lineRule="exact"/>
        <w:ind w:firstLine="624" w:firstLineChars="200"/>
        <w:jc w:val="both"/>
        <w:rPr>
          <w:rFonts w:ascii="仿宋_GB2312" w:hAnsi="仿宋_GB2312" w:eastAsia="仿宋_GB2312" w:cs="仿宋_GB2312"/>
          <w:sz w:val="32"/>
          <w:szCs w:val="32"/>
          <w:u w:val="single"/>
          <w:lang w:val="en-US"/>
        </w:rPr>
      </w:pPr>
      <w:r>
        <w:rPr>
          <w:rFonts w:hint="eastAsia" w:ascii="仿宋_GB2312" w:hAnsi="仿宋_GB2312" w:eastAsia="仿宋_GB2312" w:cs="仿宋_GB2312"/>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tabs>
          <w:tab w:val="left" w:pos="7982"/>
        </w:tabs>
        <w:spacing w:line="520" w:lineRule="exact"/>
        <w:jc w:val="both"/>
        <w:rPr>
          <w:rFonts w:ascii="仿宋_GB2312" w:hAnsi="仿宋_GB2312" w:eastAsia="仿宋_GB2312" w:cs="仿宋_GB2312"/>
          <w:sz w:val="32"/>
          <w:szCs w:val="32"/>
          <w:lang w:val="en-US"/>
        </w:rPr>
      </w:pPr>
    </w:p>
    <w:p>
      <w:pPr>
        <w:pStyle w:val="3"/>
        <w:tabs>
          <w:tab w:val="left" w:pos="7982"/>
        </w:tabs>
        <w:spacing w:line="520" w:lineRule="exact"/>
        <w:jc w:val="both"/>
        <w:rPr>
          <w:rFonts w:ascii="仿宋_GB2312" w:hAnsi="仿宋_GB2312" w:eastAsia="仿宋_GB2312" w:cs="仿宋_GB2312"/>
          <w:sz w:val="32"/>
          <w:szCs w:val="32"/>
          <w:lang w:val="en-US"/>
        </w:rPr>
      </w:pPr>
    </w:p>
    <w:p>
      <w:pPr>
        <w:pStyle w:val="3"/>
        <w:tabs>
          <w:tab w:val="left" w:pos="7382"/>
          <w:tab w:val="left" w:pos="7982"/>
        </w:tabs>
        <w:spacing w:line="520" w:lineRule="exact"/>
        <w:ind w:right="964"/>
        <w:jc w:val="right"/>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广州市生态环境局</w:t>
      </w:r>
    </w:p>
    <w:p>
      <w:pPr>
        <w:pStyle w:val="3"/>
        <w:tabs>
          <w:tab w:val="left" w:pos="7382"/>
          <w:tab w:val="left" w:pos="7982"/>
        </w:tabs>
        <w:spacing w:line="520" w:lineRule="exact"/>
        <w:ind w:right="964"/>
        <w:jc w:val="center"/>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lang w:val="en-US"/>
        </w:rPr>
        <w:t xml:space="preserve">                                   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highlight w:val="none"/>
          <w:lang w:val="en-US"/>
        </w:rPr>
        <w:t>日</w:t>
      </w:r>
    </w:p>
    <w:p>
      <w:pPr>
        <w:keepNext w:val="0"/>
        <w:keepLines w:val="0"/>
        <w:pageBreakBefore w:val="0"/>
        <w:widowControl w:val="0"/>
        <w:tabs>
          <w:tab w:val="left" w:pos="0"/>
        </w:tabs>
        <w:kinsoku/>
        <w:wordWrap/>
        <w:overflowPunct/>
        <w:topLinePunct w:val="0"/>
        <w:autoSpaceDE/>
        <w:autoSpaceDN/>
        <w:bidi w:val="0"/>
        <w:adjustRightInd/>
        <w:snapToGrid w:val="0"/>
        <w:spacing w:line="520" w:lineRule="atLeast"/>
        <w:ind w:right="0" w:rightChars="0"/>
        <w:jc w:val="both"/>
        <w:textAlignment w:val="auto"/>
        <w:rPr>
          <w:rFonts w:hint="default" w:ascii="仿宋_GB2312" w:eastAsia="仿宋_GB2312"/>
          <w:kern w:val="2"/>
          <w:sz w:val="32"/>
          <w:szCs w:val="32"/>
          <w:highlight w:val="none"/>
          <w:lang w:val="en-US" w:eastAsia="zh-CN" w:bidi="ar-SA"/>
        </w:rPr>
      </w:pPr>
      <w:r>
        <w:rPr>
          <w:rFonts w:ascii="仿宋_GB2312" w:eastAsia="仿宋_GB2312"/>
          <w:szCs w:val="32"/>
          <w:highlight w:val="none"/>
        </w:rPr>
        <w:t>（联系电话：020-39053008、39053079、39078029）</w:t>
      </w:r>
    </w:p>
    <w:p>
      <w:pPr>
        <w:pStyle w:val="3"/>
        <w:tabs>
          <w:tab w:val="left" w:pos="7382"/>
          <w:tab w:val="left" w:pos="7982"/>
        </w:tabs>
        <w:spacing w:line="520" w:lineRule="exact"/>
        <w:ind w:right="964"/>
        <w:jc w:val="center"/>
        <w:rPr>
          <w:rFonts w:hint="eastAsia" w:ascii="仿宋_GB2312" w:hAnsi="仿宋_GB2312" w:eastAsia="仿宋_GB2312" w:cs="仿宋_GB2312"/>
          <w:sz w:val="32"/>
          <w:szCs w:val="32"/>
          <w:highlight w:val="none"/>
          <w:lang w:val="en-US"/>
        </w:rPr>
      </w:pPr>
    </w:p>
    <w:sectPr>
      <w:footerReference r:id="rId4" w:type="first"/>
      <w:footerReference r:id="rId3" w:type="default"/>
      <w:pgSz w:w="11906" w:h="16838"/>
      <w:pgMar w:top="2098" w:right="1474" w:bottom="1587" w:left="1587" w:header="851" w:footer="1474" w:gutter="0"/>
      <w:pgNumType w:start="1"/>
      <w:cols w:space="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p>
    <w:pPr>
      <w:pStyle w:val="4"/>
      <w:rPr>
        <w:rFonts w:hint="default"/>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9285" cy="2368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92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49.55pt;mso-position-horizontal:outside;mso-position-horizontal-relative:margin;mso-wrap-style:none;z-index:251659264;mso-width-relative:page;mso-height-relative:page;" filled="f" stroked="f" coordsize="21600,21600" o:gfxdata="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XM/k3SAAAAAwEAAA8AAAAAAAAAAQAg&#10;AAAAIgAAAGRycy9kb3ducmV2LnhtbFBLAQIUABQAAAAIAIdO4kDHMvjzFAIAAAUEAAAOAAAAAAAA&#10;AAEAIAAAACEBAABkcnMvZTJvRG9jLnhtbFBLBQYAAAAABgAGAFkBAACnBQAAAAA=&#10;">
              <v:fill on="f" focussize="0,0"/>
              <v:stroke on="f" weight="0.5pt"/>
              <v:imagedata o:title=""/>
              <o:lock v:ext="edit" aspectratio="f"/>
              <v:textbox inset="0mm,0mm,0mm,0mm" style="mso-fit-shape-to-text:t;">
                <w:txbxContent>
                  <w:p>
                    <w:pPr>
                      <w:pStyle w:val="4"/>
                      <w:rPr>
                        <w:rFonts w:hint="default"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1285" cy="1377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outside;mso-position-horizontal-relative:margin;mso-wrap-style:none;z-index:251660288;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rMR0gAAAAMBAAAPAAAAAAAAAAEAIAAA&#10;ACIAAABkcnMvZG93bnJldi54bWxQSwECFAAUAAAACACHTuJAWubnORICAAAFBAAADgAAAAAAAAAB&#10;ACAAAAAhAQAAZHJzL2Uyb0RvYy54bWxQSwUGAAAAAAYABgBZAQAApQUAAAAA&#10;">
              <v:fill on="f" focussize="0,0"/>
              <v:stroke on="f" weight="0.5pt"/>
              <v:imagedata o:title=""/>
              <o:lock v:ext="edit" aspectratio="f"/>
              <v:textbox inset="0mm,0mm,0mm,0mm" style="mso-fit-shape-to-text:t;">
                <w:txbxContent>
                  <w:p>
                    <w:pPr>
                      <w:pStyle w:val="4"/>
                      <w:rPr>
                        <w:rFonts w:hint="default"/>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0046A38"/>
    <w:rsid w:val="00ED1E45"/>
    <w:rsid w:val="01CA735B"/>
    <w:rsid w:val="027D4AE9"/>
    <w:rsid w:val="037B165A"/>
    <w:rsid w:val="042E4ABE"/>
    <w:rsid w:val="05275168"/>
    <w:rsid w:val="05E717EC"/>
    <w:rsid w:val="061C17E8"/>
    <w:rsid w:val="06D43381"/>
    <w:rsid w:val="07C0330F"/>
    <w:rsid w:val="08CE223F"/>
    <w:rsid w:val="097E2A01"/>
    <w:rsid w:val="0AA032E0"/>
    <w:rsid w:val="0C812ABC"/>
    <w:rsid w:val="0D8F784B"/>
    <w:rsid w:val="0E9C02B0"/>
    <w:rsid w:val="0EA37E17"/>
    <w:rsid w:val="0ECD5769"/>
    <w:rsid w:val="0EE059AD"/>
    <w:rsid w:val="1453624A"/>
    <w:rsid w:val="16423E59"/>
    <w:rsid w:val="18A95050"/>
    <w:rsid w:val="1A642E58"/>
    <w:rsid w:val="1AAD08FA"/>
    <w:rsid w:val="1B427CC7"/>
    <w:rsid w:val="1CAC6AAA"/>
    <w:rsid w:val="1D8D4187"/>
    <w:rsid w:val="20182202"/>
    <w:rsid w:val="202757FA"/>
    <w:rsid w:val="206F2007"/>
    <w:rsid w:val="240866C2"/>
    <w:rsid w:val="24303317"/>
    <w:rsid w:val="24AF387E"/>
    <w:rsid w:val="24C75872"/>
    <w:rsid w:val="25585D89"/>
    <w:rsid w:val="27FA42A3"/>
    <w:rsid w:val="29AC2632"/>
    <w:rsid w:val="2A064FA4"/>
    <w:rsid w:val="2B34606A"/>
    <w:rsid w:val="2BBB56B5"/>
    <w:rsid w:val="2C003E7D"/>
    <w:rsid w:val="2D4113EF"/>
    <w:rsid w:val="2D6B6CD8"/>
    <w:rsid w:val="2F0B3AA3"/>
    <w:rsid w:val="2F4761AB"/>
    <w:rsid w:val="30380137"/>
    <w:rsid w:val="32F86059"/>
    <w:rsid w:val="33010ED8"/>
    <w:rsid w:val="33235F13"/>
    <w:rsid w:val="339A7CD0"/>
    <w:rsid w:val="354B611B"/>
    <w:rsid w:val="3574490A"/>
    <w:rsid w:val="364E7F10"/>
    <w:rsid w:val="36AE0FE2"/>
    <w:rsid w:val="36C870C4"/>
    <w:rsid w:val="370C7E8F"/>
    <w:rsid w:val="37A271E0"/>
    <w:rsid w:val="38F42AF1"/>
    <w:rsid w:val="38F7771A"/>
    <w:rsid w:val="394771CA"/>
    <w:rsid w:val="396D2C4F"/>
    <w:rsid w:val="3A693408"/>
    <w:rsid w:val="3B2D4DBE"/>
    <w:rsid w:val="3B7D45F9"/>
    <w:rsid w:val="3BE9328D"/>
    <w:rsid w:val="3C165DE2"/>
    <w:rsid w:val="3C4A1FD5"/>
    <w:rsid w:val="3CD06325"/>
    <w:rsid w:val="3CE77E75"/>
    <w:rsid w:val="3D1D1709"/>
    <w:rsid w:val="3D4B71C7"/>
    <w:rsid w:val="3F034600"/>
    <w:rsid w:val="3FB37C1A"/>
    <w:rsid w:val="405C29A5"/>
    <w:rsid w:val="40A51CCC"/>
    <w:rsid w:val="40F03CC9"/>
    <w:rsid w:val="420A7C77"/>
    <w:rsid w:val="424614F6"/>
    <w:rsid w:val="46A36B62"/>
    <w:rsid w:val="470730B8"/>
    <w:rsid w:val="474C3552"/>
    <w:rsid w:val="479802F2"/>
    <w:rsid w:val="47BD27EF"/>
    <w:rsid w:val="48F10DD3"/>
    <w:rsid w:val="4B8C523D"/>
    <w:rsid w:val="4CD56ED8"/>
    <w:rsid w:val="4D2F07B0"/>
    <w:rsid w:val="4D3E3050"/>
    <w:rsid w:val="4FE5550C"/>
    <w:rsid w:val="51966304"/>
    <w:rsid w:val="52700277"/>
    <w:rsid w:val="533A57BE"/>
    <w:rsid w:val="53745399"/>
    <w:rsid w:val="55B94E04"/>
    <w:rsid w:val="5658034F"/>
    <w:rsid w:val="56DB09D8"/>
    <w:rsid w:val="5865418E"/>
    <w:rsid w:val="58A4031C"/>
    <w:rsid w:val="58DF2354"/>
    <w:rsid w:val="5A552F24"/>
    <w:rsid w:val="5A612936"/>
    <w:rsid w:val="5AD03F4E"/>
    <w:rsid w:val="5D9F6771"/>
    <w:rsid w:val="5E214122"/>
    <w:rsid w:val="5E5D632B"/>
    <w:rsid w:val="5F09046B"/>
    <w:rsid w:val="61BB4B0B"/>
    <w:rsid w:val="63BA4851"/>
    <w:rsid w:val="64582203"/>
    <w:rsid w:val="66E76AA8"/>
    <w:rsid w:val="68513DB0"/>
    <w:rsid w:val="69CE0E4C"/>
    <w:rsid w:val="6A6930F0"/>
    <w:rsid w:val="6BC041CD"/>
    <w:rsid w:val="6CEF5453"/>
    <w:rsid w:val="6F3F118A"/>
    <w:rsid w:val="73EE4748"/>
    <w:rsid w:val="74456671"/>
    <w:rsid w:val="756C1B4E"/>
    <w:rsid w:val="75D8377E"/>
    <w:rsid w:val="76975649"/>
    <w:rsid w:val="787F2185"/>
    <w:rsid w:val="791B7F86"/>
    <w:rsid w:val="794C0DA5"/>
    <w:rsid w:val="79AE6349"/>
    <w:rsid w:val="79E40F01"/>
    <w:rsid w:val="7A0D5CE6"/>
    <w:rsid w:val="7BE05C65"/>
    <w:rsid w:val="7BEE5DAA"/>
    <w:rsid w:val="7CCE4EED"/>
    <w:rsid w:val="7CE75FCD"/>
    <w:rsid w:val="7E924DD4"/>
    <w:rsid w:val="7EA14E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bidi="ar-SA"/>
    </w:rPr>
  </w:style>
  <w:style w:type="paragraph" w:styleId="2">
    <w:name w:val="heading 1"/>
    <w:basedOn w:val="1"/>
    <w:next w:val="1"/>
    <w:qFormat/>
    <w:uiPriority w:val="0"/>
    <w:pPr>
      <w:keepNext/>
      <w:keepLines/>
      <w:spacing w:before="50"/>
      <w:jc w:val="center"/>
      <w:outlineLvl w:val="0"/>
    </w:pPr>
    <w:rPr>
      <w:rFonts w:eastAsia="方正小标宋简体"/>
      <w:kern w:val="44"/>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317</Words>
  <Characters>1809</Characters>
  <Lines>15</Lines>
  <Paragraphs>4</Paragraphs>
  <TotalTime>0</TotalTime>
  <ScaleCrop>false</ScaleCrop>
  <LinksUpToDate>false</LinksUpToDate>
  <CharactersWithSpaces>2122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2021-11-23T01:59:03Z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