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360" w:lineRule="auto"/>
        <w:rPr>
          <w:rFonts w:hint="default" w:ascii="仿宋_GB2312" w:eastAsia="仿宋_GB2312"/>
          <w:szCs w:val="32"/>
        </w:rPr>
      </w:pPr>
    </w:p>
    <w:p>
      <w:pPr>
        <w:snapToGrid w:val="0"/>
        <w:spacing w:before="50" w:after="289" w:afterLines="50" w:line="288" w:lineRule="auto"/>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行政处罚决定书</w:t>
      </w:r>
    </w:p>
    <w:p>
      <w:pPr>
        <w:snapToGrid w:val="0"/>
        <w:spacing w:after="579" w:afterLines="100" w:line="480" w:lineRule="exact"/>
        <w:jc w:val="right"/>
        <w:rPr>
          <w:rFonts w:hint="default" w:ascii="仿宋_GB2312" w:eastAsia="仿宋_GB2312"/>
          <w:szCs w:val="30"/>
          <w:highlight w:val="none"/>
        </w:rPr>
      </w:pPr>
      <w:r>
        <w:rPr>
          <w:rFonts w:ascii="仿宋_GB2312" w:hAnsi="仿宋_GB2312" w:eastAsia="仿宋_GB2312" w:cs="仿宋_GB2312"/>
          <w:szCs w:val="32"/>
        </w:rPr>
        <w:t>南环罚字〔2021〕</w:t>
      </w:r>
      <w:r>
        <w:rPr>
          <w:rFonts w:hint="eastAsia" w:ascii="仿宋_GB2312" w:hAnsi="仿宋_GB2312" w:eastAsia="仿宋_GB2312" w:cs="仿宋_GB2312"/>
          <w:szCs w:val="32"/>
          <w:highlight w:val="none"/>
          <w:lang w:val="en-US" w:eastAsia="zh-CN"/>
        </w:rPr>
        <w:t>43</w:t>
      </w:r>
      <w:r>
        <w:rPr>
          <w:rFonts w:ascii="仿宋_GB2312" w:hAnsi="仿宋_GB2312" w:eastAsia="仿宋_GB2312" w:cs="仿宋_GB2312"/>
          <w:szCs w:val="32"/>
          <w:highlight w:val="none"/>
        </w:rPr>
        <w:t>号</w:t>
      </w:r>
    </w:p>
    <w:p>
      <w:pPr>
        <w:pStyle w:val="3"/>
        <w:tabs>
          <w:tab w:val="left" w:pos="7382"/>
          <w:tab w:val="left" w:pos="7982"/>
        </w:tabs>
        <w:spacing w:line="480" w:lineRule="exact"/>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当事人：广州嘉泽科技有限公司</w:t>
      </w:r>
    </w:p>
    <w:p>
      <w:pPr>
        <w:pStyle w:val="3"/>
        <w:tabs>
          <w:tab w:val="left" w:pos="7382"/>
          <w:tab w:val="left" w:pos="7982"/>
        </w:tabs>
        <w:spacing w:line="480" w:lineRule="exact"/>
        <w:jc w:val="both"/>
        <w:rPr>
          <w:rFonts w:ascii="仿宋_GB2312" w:hAnsi="仿宋_GB2312" w:eastAsia="仿宋_GB2312" w:cs="仿宋_GB2312"/>
          <w:sz w:val="32"/>
          <w:szCs w:val="32"/>
          <w:lang w:val="en-US"/>
        </w:rPr>
      </w:pPr>
    </w:p>
    <w:p>
      <w:pPr>
        <w:pStyle w:val="3"/>
        <w:tabs>
          <w:tab w:val="left" w:pos="7382"/>
          <w:tab w:val="left" w:pos="7982"/>
        </w:tabs>
        <w:spacing w:line="480" w:lineRule="exact"/>
        <w:jc w:val="both"/>
        <w:rPr>
          <w:rFonts w:ascii="仿宋_GB2312" w:hAnsi="仿宋_GB2312" w:eastAsia="仿宋_GB2312" w:cs="仿宋_GB2312"/>
          <w:sz w:val="32"/>
          <w:szCs w:val="32"/>
          <w:lang w:val="en-US"/>
        </w:rPr>
      </w:pPr>
    </w:p>
    <w:p>
      <w:pPr>
        <w:pStyle w:val="3"/>
        <w:numPr>
          <w:ilvl w:val="0"/>
          <w:numId w:val="1"/>
        </w:numPr>
        <w:tabs>
          <w:tab w:val="left" w:pos="7382"/>
          <w:tab w:val="left" w:pos="7982"/>
        </w:tabs>
        <w:spacing w:line="520" w:lineRule="exact"/>
        <w:ind w:firstLine="624"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b/>
          <w:bCs/>
          <w:sz w:val="32"/>
          <w:szCs w:val="32"/>
          <w:lang w:val="en-US"/>
        </w:rPr>
        <w:t>当事人基本情况及违法事实情况</w:t>
      </w:r>
    </w:p>
    <w:p>
      <w:pPr>
        <w:snapToGrid w:val="0"/>
        <w:spacing w:line="560" w:lineRule="atLeast"/>
        <w:ind w:firstLine="622"/>
        <w:rPr>
          <w:rFonts w:hint="default" w:ascii="仿宋_GB2312" w:eastAsia="仿宋_GB2312"/>
          <w:szCs w:val="32"/>
        </w:rPr>
      </w:pPr>
      <w:r>
        <w:rPr>
          <w:rFonts w:hint="default" w:ascii="仿宋_GB2312" w:eastAsia="仿宋_GB2312"/>
          <w:szCs w:val="32"/>
        </w:rPr>
        <w:t>2018年12月，当事人建成PCB半成品生产项目，主要从事PCB半成品（单面、双面线路板和多层线路板）生产。项目主要生产设备有：钻机6台、锣机11台、磨板机3台、显影机3台、曝光机4台、洗板机3台、涂布机8台、丝印机15台、焗炉11台等。主要生产工艺流程为：(1)单面、双面线路板：基板制作（开料→数控钻→磨板→涂布→烘干→压膜→曝光→显影）→基板沉铜（委外）→蚀刻（委外）→线路板电镀（委外）→阻焊丝印→表面处理工序（委外）→外层加工（锣板-啤板-清洗测试）→成品；(2)多层线路板：基板制作（开料→数控钻→磨板→涂布→烘干→压膜→曝光→显影）→蚀刻（委外）→线路板电镀（委外）→层压（委外）→沉铜加厚（委外）→线路制作（外层）→蚀刻（委外）→线路板电镀（委外）→阻焊丝印→表面处理工序（委外）→外层加工（锣板-啤板-清洗测试）→成品。产生的主要污染物为：粉尘、有机废气、机械噪声、生产废水等，上述污染物均已配套相应污染防治设施进行处理。</w:t>
      </w:r>
    </w:p>
    <w:p>
      <w:pPr>
        <w:snapToGrid w:val="0"/>
        <w:spacing w:line="560" w:lineRule="atLeast"/>
        <w:ind w:firstLine="622"/>
        <w:rPr>
          <w:rFonts w:hint="default" w:ascii="仿宋_GB2312" w:eastAsia="仿宋_GB2312"/>
          <w:szCs w:val="32"/>
        </w:rPr>
      </w:pPr>
      <w:r>
        <w:rPr>
          <w:rFonts w:hint="default" w:ascii="仿宋_GB2312" w:eastAsia="仿宋_GB2312"/>
          <w:szCs w:val="32"/>
        </w:rPr>
        <w:t>2021年9月13日，我局执法人员对当事人进行调查时发现，当事人存在以下事实情形：2021年9月4日，我局委托广东省科学院测试分析研究所（中国广州分析测试中心）对当事人污水排放口（水-01）★5排放的废水进行采样监测，监测结果显示：pH值（无量纲）2.4，超过了广东省地方标准《水污染物排放限值》（DB44/26-2001）中规定的第二时段三级标准污染物允许排放浓度限值（标准限值：pH值（无量纲）6-9）；铜浓度为0.85mg/L,超过了广东省地方标准《水污染物排放限值》（DB44/26-2001）中规定的第二时段一级标准污染物最高允许排放浓度限值（标准限值：总铜0.5mg/L）。当事人存在超过水污染物排放标准排放</w:t>
      </w:r>
      <w:r>
        <w:rPr>
          <w:rFonts w:ascii="仿宋_GB2312" w:eastAsia="仿宋_GB2312"/>
          <w:szCs w:val="32"/>
        </w:rPr>
        <w:t>废水</w:t>
      </w:r>
      <w:r>
        <w:rPr>
          <w:rFonts w:hint="default" w:ascii="仿宋_GB2312" w:eastAsia="仿宋_GB2312"/>
          <w:szCs w:val="32"/>
        </w:rPr>
        <w:t>的违法行为。</w:t>
      </w:r>
    </w:p>
    <w:p>
      <w:pPr>
        <w:snapToGrid w:val="0"/>
        <w:spacing w:line="560" w:lineRule="atLeast"/>
        <w:ind w:firstLine="622"/>
        <w:rPr>
          <w:rFonts w:hint="default" w:ascii="仿宋_GB2312" w:eastAsia="仿宋_GB2312"/>
          <w:szCs w:val="32"/>
        </w:rPr>
      </w:pPr>
      <w:r>
        <w:rPr>
          <w:rFonts w:hint="default" w:ascii="仿宋_GB2312" w:eastAsia="仿宋_GB2312"/>
          <w:szCs w:val="32"/>
        </w:rPr>
        <w:t>以上事实，有《现场检查笔录》、《调查询问笔录》、现场检查照片、营业执照复印件、《环境监测报告》、《广州嘉泽科技有限公司2021年6-7月水费使用明细表》及发票、《关于广州嘉泽科技有限公司PCB半成品生产建设项目环境影响报告书审批意见的函》（穗南审批环评〔2018〕113号）、《广州嘉泽科技有限公司PCB半成品生产建设项目竣工环境保护验收工作组意见》等证据材料予以证实。</w:t>
      </w:r>
    </w:p>
    <w:p>
      <w:pPr>
        <w:pStyle w:val="3"/>
        <w:numPr>
          <w:ilvl w:val="0"/>
          <w:numId w:val="1"/>
        </w:numPr>
        <w:tabs>
          <w:tab w:val="left" w:pos="7982"/>
        </w:tabs>
        <w:spacing w:line="520" w:lineRule="exact"/>
        <w:ind w:firstLine="624"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规范依据、拟处罚告知及意见采纳情况及处罚内容</w:t>
      </w:r>
    </w:p>
    <w:p>
      <w:pPr>
        <w:snapToGrid w:val="0"/>
        <w:spacing w:line="560" w:lineRule="atLeast"/>
        <w:ind w:firstLine="622"/>
        <w:rPr>
          <w:rFonts w:hint="default" w:ascii="仿宋_GB2312" w:eastAsia="仿宋_GB2312"/>
          <w:szCs w:val="32"/>
        </w:rPr>
      </w:pPr>
      <w:r>
        <w:rPr>
          <w:rFonts w:ascii="仿宋_GB2312" w:eastAsia="仿宋_GB2312"/>
          <w:szCs w:val="32"/>
        </w:rPr>
        <w:t>当事人上述行为违反了《中华人民共和国水污染防治法》第十条的规定。我局于2021年9月27日向当事人送达《行政处罚听证告知书》（南环听告字〔2021〕121号），告知当事人拟作出的处罚内容及事实、理由、依据，并告知了陈述、申辩和要求听证的权利。当事人于同月29日向我局提出书面陈述、申辩意见，当事人提出的主要申辩意见如下：“一、我司因疏忽关闭了自动添加设置中控制加碱的开关，导致了废水pH值超标；二、我司曾于2019年、2021年自行委托第三方进行废水检测，两次监测结果均合格；三、我司决定对污水站进行升级改造，以保证污水达标排放；四、我司经营困难，恳请减免处罚。”</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经审查，当事人的陈述申辩意见不影响本案定性，当事人确有超过水污染物排放标准排放废水的违法行为，应当予以处罚。现本案经我局审查结束。</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根据《中华人民共和国水污染防治法》第八十三条第二项及《广州市规范生态环</w:t>
      </w:r>
      <w:bookmarkStart w:id="0" w:name="_GoBack"/>
      <w:bookmarkEnd w:id="0"/>
      <w:r>
        <w:rPr>
          <w:rFonts w:hint="eastAsia" w:ascii="仿宋_GB2312" w:eastAsia="仿宋_GB2312"/>
          <w:sz w:val="32"/>
          <w:szCs w:val="32"/>
        </w:rPr>
        <w:t>境行政处罚自由裁量权规定》附件第6.1.1.2.4项的规定，我局现对当事人作出如下决定：</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1、责令改正违法行为；</w:t>
      </w:r>
    </w:p>
    <w:p>
      <w:pPr>
        <w:pStyle w:val="13"/>
        <w:snapToGrid w:val="0"/>
        <w:spacing w:line="560" w:lineRule="atLeast"/>
        <w:ind w:firstLine="622"/>
        <w:rPr>
          <w:rFonts w:ascii="仿宋_GB2312" w:eastAsia="仿宋_GB2312"/>
          <w:sz w:val="32"/>
          <w:szCs w:val="32"/>
        </w:rPr>
      </w:pPr>
      <w:r>
        <w:rPr>
          <w:rFonts w:hint="eastAsia" w:ascii="仿宋_GB2312" w:eastAsia="仿宋_GB2312"/>
          <w:sz w:val="32"/>
          <w:szCs w:val="32"/>
        </w:rPr>
        <w:t>2、处罚款20万元（贰拾万元）。</w:t>
      </w:r>
    </w:p>
    <w:p>
      <w:pPr>
        <w:pStyle w:val="3"/>
        <w:tabs>
          <w:tab w:val="left" w:pos="7382"/>
          <w:tab w:val="left" w:pos="7982"/>
        </w:tabs>
        <w:spacing w:line="520" w:lineRule="exact"/>
        <w:ind w:firstLine="624"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三、处罚内容的履行要求和当事人的救济权利</w:t>
      </w:r>
    </w:p>
    <w:p>
      <w:pPr>
        <w:pStyle w:val="3"/>
        <w:tabs>
          <w:tab w:val="left" w:pos="7382"/>
          <w:tab w:val="left" w:pos="7982"/>
        </w:tabs>
        <w:spacing w:line="520" w:lineRule="exact"/>
        <w:ind w:firstLine="624" w:firstLineChars="200"/>
        <w:jc w:val="both"/>
        <w:rPr>
          <w:rFonts w:ascii="仿宋_GB2312" w:hAnsi="仿宋_GB2312" w:eastAsia="仿宋_GB2312" w:cs="仿宋_GB2312"/>
          <w:sz w:val="32"/>
          <w:szCs w:val="32"/>
          <w:highlight w:val="none"/>
          <w:u w:val="single"/>
          <w:lang w:val="en-US"/>
        </w:rPr>
      </w:pPr>
      <w:r>
        <w:rPr>
          <w:rFonts w:hint="eastAsia" w:ascii="仿宋_GB2312" w:hAnsi="仿宋_GB2312" w:eastAsia="仿宋_GB2312" w:cs="仿宋_GB2312"/>
          <w:sz w:val="32"/>
          <w:szCs w:val="32"/>
          <w:lang w:val="en-US"/>
        </w:rPr>
        <w:t>限当事人在收到本处罚决定书之日起15日内，按照《</w:t>
      </w:r>
      <w:r>
        <w:rPr>
          <w:rFonts w:hint="eastAsia" w:ascii="仿宋_GB2312" w:hAnsi="仿宋_GB2312" w:eastAsia="仿宋_GB2312" w:cs="仿宋_GB2312"/>
          <w:sz w:val="32"/>
          <w:szCs w:val="32"/>
          <w:lang w:val="en-US" w:eastAsia="zh-CN"/>
        </w:rPr>
        <w:t>南沙区非税收入罚款通知书</w:t>
      </w:r>
      <w:r>
        <w:rPr>
          <w:rFonts w:hint="eastAsia" w:ascii="仿宋_GB2312" w:hAnsi="仿宋_GB2312" w:eastAsia="仿宋_GB2312" w:cs="仿宋_GB2312"/>
          <w:sz w:val="32"/>
          <w:szCs w:val="32"/>
          <w:lang w:val="en-US"/>
        </w:rPr>
        <w:t>》的要求，将上述罚款缴到非税收入代收银行</w:t>
      </w:r>
      <w:r>
        <w:rPr>
          <w:rFonts w:hint="eastAsia" w:ascii="仿宋_GB2312" w:hAnsi="仿宋_GB2312" w:eastAsia="仿宋_GB2312" w:cs="仿宋_GB2312"/>
          <w:sz w:val="32"/>
          <w:szCs w:val="32"/>
          <w:highlight w:val="none"/>
          <w:lang w:val="en-US"/>
        </w:rPr>
        <w:t>（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sz w:val="32"/>
          <w:szCs w:val="32"/>
          <w:highlight w:val="none"/>
          <w:lang w:val="en-US" w:eastAsia="zh-CN"/>
        </w:rPr>
        <w:t>收费</w:t>
      </w:r>
      <w:r>
        <w:rPr>
          <w:rFonts w:hint="eastAsia" w:ascii="仿宋_GB2312" w:hAnsi="仿宋_GB2312" w:eastAsia="仿宋_GB2312" w:cs="仿宋_GB2312"/>
          <w:sz w:val="32"/>
          <w:szCs w:val="32"/>
          <w:highlight w:val="none"/>
          <w:lang w:val="en-US"/>
        </w:rPr>
        <w:t>项目编码：</w:t>
      </w:r>
      <w:r>
        <w:rPr>
          <w:rFonts w:hint="eastAsia" w:ascii="仿宋_GB2312" w:hAnsi="仿宋_GB2312" w:eastAsia="仿宋_GB2312" w:cs="仿宋_GB2312"/>
          <w:sz w:val="32"/>
          <w:szCs w:val="32"/>
          <w:highlight w:val="none"/>
          <w:lang w:val="en-US" w:eastAsia="zh-CN"/>
        </w:rPr>
        <w:t>103050199101</w:t>
      </w:r>
      <w:r>
        <w:rPr>
          <w:rFonts w:hint="eastAsia" w:ascii="仿宋_GB2312" w:hAnsi="仿宋_GB2312" w:eastAsia="仿宋_GB2312" w:cs="仿宋_GB2312"/>
          <w:sz w:val="32"/>
          <w:szCs w:val="32"/>
          <w:highlight w:val="none"/>
          <w:lang w:val="en-US"/>
        </w:rPr>
        <w:t>。</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tabs>
          <w:tab w:val="left" w:pos="7982"/>
          <w:tab w:val="left" w:pos="8222"/>
        </w:tabs>
        <w:spacing w:line="520" w:lineRule="exact"/>
        <w:ind w:firstLine="624"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tabs>
          <w:tab w:val="left" w:pos="7982"/>
        </w:tabs>
        <w:spacing w:line="520" w:lineRule="exact"/>
        <w:jc w:val="both"/>
        <w:rPr>
          <w:rFonts w:ascii="仿宋_GB2312" w:hAnsi="仿宋_GB2312" w:eastAsia="仿宋_GB2312" w:cs="仿宋_GB2312"/>
          <w:sz w:val="32"/>
          <w:szCs w:val="32"/>
          <w:lang w:val="en-US"/>
        </w:rPr>
      </w:pPr>
    </w:p>
    <w:p>
      <w:pPr>
        <w:pStyle w:val="3"/>
        <w:tabs>
          <w:tab w:val="left" w:pos="7982"/>
        </w:tabs>
        <w:spacing w:line="520" w:lineRule="exact"/>
        <w:jc w:val="both"/>
        <w:rPr>
          <w:rFonts w:ascii="仿宋_GB2312" w:hAnsi="仿宋_GB2312" w:eastAsia="仿宋_GB2312" w:cs="仿宋_GB2312"/>
          <w:sz w:val="32"/>
          <w:szCs w:val="32"/>
          <w:lang w:val="en-US"/>
        </w:rPr>
      </w:pPr>
    </w:p>
    <w:p>
      <w:pPr>
        <w:pStyle w:val="3"/>
        <w:tabs>
          <w:tab w:val="left" w:pos="7382"/>
          <w:tab w:val="left" w:pos="7982"/>
        </w:tabs>
        <w:spacing w:line="520" w:lineRule="exact"/>
        <w:ind w:right="964"/>
        <w:jc w:val="righ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广州市生态环境局</w:t>
      </w:r>
    </w:p>
    <w:p>
      <w:pPr>
        <w:pStyle w:val="3"/>
        <w:tabs>
          <w:tab w:val="left" w:pos="7382"/>
          <w:tab w:val="left" w:pos="7982"/>
        </w:tabs>
        <w:spacing w:line="520" w:lineRule="exact"/>
        <w:ind w:right="964"/>
        <w:jc w:val="center"/>
        <w:rPr>
          <w:highlight w:val="none"/>
        </w:rPr>
      </w:pPr>
      <w:r>
        <w:rPr>
          <w:rFonts w:hint="eastAsia" w:ascii="仿宋_GB2312" w:hAnsi="仿宋_GB2312" w:eastAsia="仿宋_GB2312" w:cs="仿宋_GB2312"/>
          <w:sz w:val="32"/>
          <w:szCs w:val="32"/>
          <w:lang w:val="en-US"/>
        </w:rPr>
        <w:t xml:space="preserve">                                 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rPr>
        <w:t>日</w:t>
      </w:r>
    </w:p>
    <w:sectPr>
      <w:footerReference r:id="rId4" w:type="first"/>
      <w:footerReference r:id="rId3" w:type="default"/>
      <w:pgSz w:w="11906" w:h="16838"/>
      <w:pgMar w:top="2098" w:right="1474" w:bottom="1587" w:left="1587" w:header="851" w:footer="1474" w:gutter="0"/>
      <w:pgNumType w:start="1"/>
      <w:cols w:space="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p>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9285" cy="236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92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5</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49.55pt;mso-position-horizontal:outside;mso-position-horizontal-relative:margin;mso-wrap-style:none;z-index:251659264;mso-width-relative:page;mso-height-relative:page;" filled="f" stroked="f" coordsize="21600,21600" o:gfxdata="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XM/k3SAAAAAwEAAA8AAAAAAAAAAQAg&#10;AAAAIgAAAGRycy9kb3ducmV2LnhtbFBLAQIUABQAAAAIAIdO4kDHMvjzFAIAAAUEAAAOAAAAAAAA&#10;AAEAIAAAACEBAABkcnMvZTJvRG9jLnhtbFBLBQYAAAAABgAGAFkBAACnBQAAAAA=&#10;">
              <v:fill on="f" focussize="0,0"/>
              <v:stroke on="f" weight="0.5pt"/>
              <v:imagedata o:title=""/>
              <o:lock v:ext="edit" aspectratio="f"/>
              <v:textbox inset="0mm,0mm,0mm,0mm" style="mso-fit-shape-to-text:t;">
                <w:txbxContent>
                  <w:p>
                    <w:pPr>
                      <w:pStyle w:val="4"/>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5</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1285"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outside;mso-position-horizontal-relative:margin;mso-wrap-style:none;z-index:251660288;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rMR0gAAAAMBAAAPAAAAAAAAAAEAIAAA&#10;ACIAAABkcnMvZG93bnJldi54bWxQSwECFAAUAAAACACHTuJAWubnORICAAAFBAAADgAAAAAAAAAB&#10;ACAAAAAhAQAAZHJzL2Uyb0RvYy54bWxQSwUGAAAAAAYABgBZAQAApQUAAAAA&#10;">
              <v:fill on="f" focussize="0,0"/>
              <v:stroke on="f" weight="0.5pt"/>
              <v:imagedata o:title=""/>
              <o:lock v:ext="edit" aspectratio="f"/>
              <v:textbox inset="0mm,0mm,0mm,0mm" style="mso-fit-shape-to-text:t;">
                <w:txbxContent>
                  <w:p>
                    <w:pPr>
                      <w:pStyle w:val="4"/>
                      <w:rPr>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5801B8"/>
    <w:rsid w:val="00686FED"/>
    <w:rsid w:val="029D0AC9"/>
    <w:rsid w:val="037B165A"/>
    <w:rsid w:val="042E4ABE"/>
    <w:rsid w:val="061C17E8"/>
    <w:rsid w:val="06D43381"/>
    <w:rsid w:val="06EC2934"/>
    <w:rsid w:val="08CE223F"/>
    <w:rsid w:val="097E2A01"/>
    <w:rsid w:val="0A364407"/>
    <w:rsid w:val="0BF04441"/>
    <w:rsid w:val="0C812ABC"/>
    <w:rsid w:val="0D8F784B"/>
    <w:rsid w:val="0D9C5224"/>
    <w:rsid w:val="0EE059AD"/>
    <w:rsid w:val="112F4804"/>
    <w:rsid w:val="16423E59"/>
    <w:rsid w:val="18A95050"/>
    <w:rsid w:val="190A0261"/>
    <w:rsid w:val="191113E9"/>
    <w:rsid w:val="1A642E58"/>
    <w:rsid w:val="1AAD08FA"/>
    <w:rsid w:val="1B9F2458"/>
    <w:rsid w:val="1D271E8D"/>
    <w:rsid w:val="1DFA3320"/>
    <w:rsid w:val="1E945026"/>
    <w:rsid w:val="1FDD45CB"/>
    <w:rsid w:val="202757FA"/>
    <w:rsid w:val="206C7D47"/>
    <w:rsid w:val="206F2007"/>
    <w:rsid w:val="21A76202"/>
    <w:rsid w:val="240866C2"/>
    <w:rsid w:val="24303317"/>
    <w:rsid w:val="24AF387E"/>
    <w:rsid w:val="27FA42A3"/>
    <w:rsid w:val="2AED4A5C"/>
    <w:rsid w:val="2B34606A"/>
    <w:rsid w:val="2BBB56B5"/>
    <w:rsid w:val="2C003E7D"/>
    <w:rsid w:val="2D4113EF"/>
    <w:rsid w:val="2D6B6CD8"/>
    <w:rsid w:val="2F571C26"/>
    <w:rsid w:val="30391BEC"/>
    <w:rsid w:val="30917985"/>
    <w:rsid w:val="31954E7C"/>
    <w:rsid w:val="32F86059"/>
    <w:rsid w:val="339A7CD0"/>
    <w:rsid w:val="354B611B"/>
    <w:rsid w:val="356B6D2E"/>
    <w:rsid w:val="3574490A"/>
    <w:rsid w:val="364E7F10"/>
    <w:rsid w:val="36AE0FE2"/>
    <w:rsid w:val="36C870C4"/>
    <w:rsid w:val="37A271E0"/>
    <w:rsid w:val="38DC06DA"/>
    <w:rsid w:val="38F42AF1"/>
    <w:rsid w:val="394771CA"/>
    <w:rsid w:val="3B2D4DBE"/>
    <w:rsid w:val="3B747123"/>
    <w:rsid w:val="3B7D45F9"/>
    <w:rsid w:val="3B886E4B"/>
    <w:rsid w:val="3BE9328D"/>
    <w:rsid w:val="3C165DE2"/>
    <w:rsid w:val="3C4A1FD5"/>
    <w:rsid w:val="3CD06325"/>
    <w:rsid w:val="3CE77E75"/>
    <w:rsid w:val="3D1D1709"/>
    <w:rsid w:val="3D7273A6"/>
    <w:rsid w:val="3F034600"/>
    <w:rsid w:val="3FB37C1A"/>
    <w:rsid w:val="405C29A5"/>
    <w:rsid w:val="414A001A"/>
    <w:rsid w:val="44430BF1"/>
    <w:rsid w:val="46134A95"/>
    <w:rsid w:val="46221AF0"/>
    <w:rsid w:val="479802F2"/>
    <w:rsid w:val="47BD27EF"/>
    <w:rsid w:val="47E77ECA"/>
    <w:rsid w:val="487872C1"/>
    <w:rsid w:val="493D2966"/>
    <w:rsid w:val="49ED7DB4"/>
    <w:rsid w:val="4B6304E4"/>
    <w:rsid w:val="4B8C523D"/>
    <w:rsid w:val="4BEA6F77"/>
    <w:rsid w:val="4C91796D"/>
    <w:rsid w:val="4CD56ED8"/>
    <w:rsid w:val="4F5D056F"/>
    <w:rsid w:val="4FE5550C"/>
    <w:rsid w:val="51966304"/>
    <w:rsid w:val="533A57BE"/>
    <w:rsid w:val="56DB09D8"/>
    <w:rsid w:val="58A4031C"/>
    <w:rsid w:val="58DF2354"/>
    <w:rsid w:val="5A612936"/>
    <w:rsid w:val="5AD03F4E"/>
    <w:rsid w:val="5D045780"/>
    <w:rsid w:val="5EDC24C7"/>
    <w:rsid w:val="61290F13"/>
    <w:rsid w:val="63BA4851"/>
    <w:rsid w:val="64582203"/>
    <w:rsid w:val="654F1A50"/>
    <w:rsid w:val="66E76AA8"/>
    <w:rsid w:val="672F4ACE"/>
    <w:rsid w:val="68D22805"/>
    <w:rsid w:val="6A6930F0"/>
    <w:rsid w:val="6BC041CD"/>
    <w:rsid w:val="6F3F118A"/>
    <w:rsid w:val="71611D1C"/>
    <w:rsid w:val="72446708"/>
    <w:rsid w:val="73A813A1"/>
    <w:rsid w:val="73EE4748"/>
    <w:rsid w:val="74C65514"/>
    <w:rsid w:val="75074B30"/>
    <w:rsid w:val="756C1B4E"/>
    <w:rsid w:val="75D8377E"/>
    <w:rsid w:val="75F96A8B"/>
    <w:rsid w:val="76975649"/>
    <w:rsid w:val="78404C2C"/>
    <w:rsid w:val="787F2185"/>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bidi="ar-SA"/>
    </w:rPr>
  </w:style>
  <w:style w:type="paragraph" w:styleId="2">
    <w:name w:val="heading 1"/>
    <w:basedOn w:val="1"/>
    <w:next w:val="1"/>
    <w:qFormat/>
    <w:uiPriority w:val="0"/>
    <w:pPr>
      <w:keepNext/>
      <w:keepLines/>
      <w:spacing w:before="50"/>
      <w:jc w:val="center"/>
      <w:outlineLvl w:val="0"/>
    </w:pPr>
    <w:rPr>
      <w:rFonts w:eastAsia="方正小标宋简体"/>
      <w:kern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351</Words>
  <Characters>2001</Characters>
  <Lines>16</Lines>
  <Paragraphs>4</Paragraphs>
  <TotalTime>14</TotalTime>
  <ScaleCrop>false</ScaleCrop>
  <LinksUpToDate>false</LinksUpToDate>
  <CharactersWithSpaces>2348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2021-11-23T01:57:21Z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