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left="0" w:leftChars="0" w:right="0" w:rightChars="0" w:firstLine="0" w:firstLineChars="0"/>
        <w:jc w:val="right"/>
        <w:textAlignment w:val="auto"/>
        <w:outlineLvl w:val="9"/>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仿宋_GB2312" w:eastAsia="仿宋_GB2312"/>
          <w:sz w:val="32"/>
          <w:szCs w:val="32"/>
          <w:u w:val="none"/>
        </w:rPr>
      </w:pPr>
    </w:p>
    <w:p>
      <w:pPr>
        <w:keepNext w:val="0"/>
        <w:keepLines w:val="0"/>
        <w:pageBreakBefore w:val="0"/>
        <w:widowControl w:val="0"/>
        <w:kinsoku/>
        <w:wordWrap/>
        <w:overflowPunct/>
        <w:topLinePunct w:val="0"/>
        <w:autoSpaceDE/>
        <w:autoSpaceDN/>
        <w:bidi w:val="0"/>
        <w:adjustRightInd/>
        <w:snapToGrid w:val="0"/>
        <w:spacing w:before="50" w:beforeLines="0" w:after="292" w:afterLines="50" w:line="288" w:lineRule="auto"/>
        <w:ind w:left="0" w:leftChars="0" w:right="0" w:rightChars="0" w:firstLine="0" w:firstLineChars="0"/>
        <w:jc w:val="center"/>
        <w:textAlignment w:val="auto"/>
        <w:outlineLvl w:val="9"/>
        <w:rPr>
          <w:rFonts w:hint="default" w:ascii="方正小标宋" w:hAnsi="方正小标宋" w:eastAsia="方正小标宋" w:cs="方正小标宋"/>
          <w:b/>
          <w:bCs/>
          <w:kern w:val="2"/>
          <w:sz w:val="44"/>
          <w:szCs w:val="44"/>
          <w:u w:val="none"/>
          <w:vertAlign w:val="baseline"/>
          <w:lang w:val="en-US" w:eastAsia="zh-CN"/>
        </w:rPr>
      </w:pPr>
      <w:r>
        <w:rPr>
          <w:rFonts w:hint="eastAsia" w:ascii="方正小标宋" w:hAnsi="方正小标宋" w:eastAsia="方正小标宋" w:cs="方正小标宋"/>
          <w:b/>
          <w:bCs/>
          <w:kern w:val="2"/>
          <w:sz w:val="44"/>
          <w:szCs w:val="44"/>
          <w:u w:val="none"/>
          <w:vertAlign w:val="baseline"/>
          <w:lang w:val="en-US" w:eastAsia="zh-CN"/>
        </w:rPr>
        <w:t>行政处罚决定书</w:t>
      </w:r>
    </w:p>
    <w:p>
      <w:pPr>
        <w:keepNext w:val="0"/>
        <w:keepLines w:val="0"/>
        <w:pageBreakBefore w:val="0"/>
        <w:widowControl w:val="0"/>
        <w:kinsoku/>
        <w:wordWrap/>
        <w:overflowPunct/>
        <w:topLinePunct w:val="0"/>
        <w:autoSpaceDE/>
        <w:autoSpaceDN/>
        <w:bidi w:val="0"/>
        <w:adjustRightInd/>
        <w:snapToGrid w:val="0"/>
        <w:spacing w:before="0" w:beforeLines="0" w:after="581" w:afterLines="100" w:line="480" w:lineRule="exact"/>
        <w:ind w:left="0" w:leftChars="0" w:right="0" w:rightChars="0" w:firstLine="0" w:firstLineChars="0"/>
        <w:jc w:val="right"/>
        <w:textAlignment w:val="auto"/>
        <w:outlineLvl w:val="9"/>
        <w:rPr>
          <w:rFonts w:hint="eastAsia" w:ascii="仿宋_GB2312" w:eastAsia="仿宋_GB2312"/>
          <w:sz w:val="32"/>
          <w:szCs w:val="30"/>
          <w:highlight w:val="none"/>
          <w:u w:val="none"/>
        </w:rPr>
      </w:pPr>
      <w:r>
        <w:rPr>
          <w:rFonts w:hint="eastAsia" w:ascii="仿宋_GB2312" w:hAnsi="仿宋_GB2312" w:eastAsia="仿宋_GB2312" w:cs="仿宋_GB2312"/>
          <w:sz w:val="32"/>
          <w:szCs w:val="32"/>
          <w:u w:val="none"/>
        </w:rPr>
        <w:t>南环罚字〔2021〕</w:t>
      </w:r>
      <w:r>
        <w:rPr>
          <w:rFonts w:hint="eastAsia" w:ascii="仿宋_GB2312" w:hAnsi="仿宋_GB2312" w:eastAsia="仿宋_GB2312" w:cs="仿宋_GB2312"/>
          <w:sz w:val="32"/>
          <w:szCs w:val="32"/>
          <w:highlight w:val="none"/>
          <w:u w:val="none"/>
          <w:lang w:val="en-US" w:eastAsia="zh-CN"/>
        </w:rPr>
        <w:t>41</w:t>
      </w:r>
      <w:r>
        <w:rPr>
          <w:rFonts w:hint="eastAsia" w:ascii="仿宋_GB2312" w:hAnsi="仿宋_GB2312" w:eastAsia="仿宋_GB2312" w:cs="仿宋_GB2312"/>
          <w:sz w:val="32"/>
          <w:szCs w:val="32"/>
          <w:highlight w:val="none"/>
          <w:u w:val="none"/>
        </w:rPr>
        <w:t>号</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eastAsia" w:ascii="仿宋_GB2312" w:hAnsi="仿宋_GB2312" w:eastAsia="仿宋_GB2312" w:cs="仿宋_GB2312"/>
          <w:spacing w:val="-1"/>
          <w:kern w:val="0"/>
          <w:sz w:val="32"/>
          <w:szCs w:val="32"/>
        </w:rPr>
      </w:pPr>
      <w:r>
        <w:rPr>
          <w:rFonts w:hint="eastAsia" w:ascii="仿宋_GB2312" w:hAnsi="仿宋_GB2312" w:eastAsia="仿宋_GB2312" w:cs="仿宋_GB2312"/>
          <w:spacing w:val="-1"/>
          <w:kern w:val="0"/>
          <w:sz w:val="32"/>
          <w:szCs w:val="32"/>
        </w:rPr>
        <w:t>当事人：广州市骅腾再生资源有限公司</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lang w:val="en-US" w:eastAsia="zh-CN"/>
        </w:rPr>
      </w:pPr>
    </w:p>
    <w:p>
      <w:pPr>
        <w:pStyle w:val="3"/>
        <w:keepNext w:val="0"/>
        <w:keepLines w:val="0"/>
        <w:pageBreakBefore w:val="0"/>
        <w:widowControl w:val="0"/>
        <w:numPr>
          <w:ilvl w:val="0"/>
          <w:numId w:val="1"/>
        </w:numPr>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u w:val="single"/>
          <w:lang w:val="en-US"/>
        </w:rPr>
      </w:pPr>
      <w:r>
        <w:rPr>
          <w:rFonts w:hint="eastAsia" w:ascii="仿宋_GB2312" w:hAnsi="仿宋_GB2312" w:eastAsia="仿宋_GB2312" w:cs="仿宋_GB2312"/>
          <w:b/>
          <w:bCs/>
          <w:kern w:val="0"/>
          <w:sz w:val="32"/>
          <w:szCs w:val="32"/>
          <w:lang w:val="en-US"/>
        </w:rPr>
        <w:t>当事人基本情况及违法事实情况</w:t>
      </w:r>
    </w:p>
    <w:p>
      <w:pPr>
        <w:snapToGrid w:val="0"/>
        <w:spacing w:line="560" w:lineRule="atLeast"/>
        <w:ind w:firstLine="622"/>
        <w:rPr>
          <w:rFonts w:hint="default" w:ascii="仿宋_GB2312" w:eastAsia="仿宋_GB2312"/>
          <w:szCs w:val="32"/>
          <w:lang w:val="en-US" w:eastAsia="zh-CN" w:bidi="ar-SA"/>
        </w:rPr>
      </w:pPr>
      <w:r>
        <w:rPr>
          <w:rFonts w:hint="default" w:ascii="仿宋_GB2312" w:eastAsia="仿宋_GB2312"/>
          <w:szCs w:val="32"/>
          <w:lang w:val="en-US" w:eastAsia="zh-CN" w:bidi="ar-SA"/>
        </w:rPr>
        <w:t>当事人</w:t>
      </w:r>
      <w:bookmarkStart w:id="0" w:name="_GoBack"/>
      <w:bookmarkEnd w:id="0"/>
      <w:r>
        <w:rPr>
          <w:rFonts w:hint="default" w:ascii="仿宋_GB2312" w:eastAsia="仿宋_GB2312"/>
          <w:szCs w:val="32"/>
          <w:lang w:val="en-US" w:eastAsia="zh-CN" w:bidi="ar-SA"/>
        </w:rPr>
        <w:t>建成再生资源回收利用项目，主要从事再生资源回收，于2016年10月建成并投入生产，现有员工12人，2020年营业额为30万元。项目主要生产设备有：龙门剪2台、压机1台及辅助生产设备一批等。主要生产工艺流程为：废旧金属→加工→出货。</w:t>
      </w:r>
    </w:p>
    <w:p>
      <w:pPr>
        <w:snapToGrid w:val="0"/>
        <w:spacing w:line="560" w:lineRule="atLeast"/>
        <w:ind w:firstLine="622"/>
        <w:rPr>
          <w:rFonts w:hint="default" w:ascii="仿宋_GB2312" w:eastAsia="仿宋_GB2312"/>
          <w:szCs w:val="32"/>
          <w:lang w:val="en-US" w:eastAsia="zh-CN" w:bidi="ar-SA"/>
        </w:rPr>
      </w:pPr>
      <w:r>
        <w:rPr>
          <w:rFonts w:hint="default" w:ascii="仿宋_GB2312" w:eastAsia="仿宋_GB2312"/>
          <w:szCs w:val="32"/>
          <w:lang w:val="en-US" w:eastAsia="zh-CN" w:bidi="ar-SA"/>
        </w:rPr>
        <w:t>2021年9月1日，我局执法人员对当事人进行调查时发现，当事人存在以下事实情形：当事人未设有危险废物贮存设施，露天堆放废油漆桶（HW49）、废稀释剂桶（HW49）、废涂料桶（HW49）等危险废物，上述危险废物总重量为100kg。当事人属于未按照国家环境保护标准贮存危险废物。</w:t>
      </w:r>
    </w:p>
    <w:p>
      <w:pPr>
        <w:snapToGrid w:val="0"/>
        <w:spacing w:line="560" w:lineRule="atLeast"/>
        <w:ind w:firstLine="622"/>
        <w:rPr>
          <w:rFonts w:hint="default" w:ascii="仿宋_GB2312" w:eastAsia="仿宋_GB2312"/>
          <w:szCs w:val="32"/>
          <w:lang w:val="en-US" w:eastAsia="zh-CN" w:bidi="ar-SA"/>
        </w:rPr>
      </w:pPr>
      <w:r>
        <w:rPr>
          <w:rFonts w:hint="default" w:ascii="仿宋_GB2312" w:eastAsia="仿宋_GB2312"/>
          <w:szCs w:val="32"/>
          <w:lang w:val="en-US" w:eastAsia="zh-CN" w:bidi="ar-SA"/>
        </w:rPr>
        <w:t>以上事实，有《现场检查笔录》、《调查询问笔录》、现场检查照片、营业执照复印件、《物料应急处置委托协议》等证据材料予以证实。</w:t>
      </w:r>
    </w:p>
    <w:p>
      <w:pPr>
        <w:pStyle w:val="3"/>
        <w:keepNext w:val="0"/>
        <w:keepLines w:val="0"/>
        <w:pageBreakBefore w:val="0"/>
        <w:widowControl w:val="0"/>
        <w:numPr>
          <w:ilvl w:val="0"/>
          <w:numId w:val="1"/>
        </w:numPr>
        <w:tabs>
          <w:tab w:val="left" w:pos="7982"/>
        </w:tabs>
        <w:kinsoku/>
        <w:wordWrap/>
        <w:overflowPunct/>
        <w:topLinePunct w:val="0"/>
        <w:autoSpaceDE w:val="0"/>
        <w:autoSpaceDN w:val="0"/>
        <w:bidi w:val="0"/>
        <w:adjustRightInd/>
        <w:snapToGrid/>
        <w:spacing w:line="520" w:lineRule="exact"/>
        <w:ind w:left="0" w:leftChars="0" w:right="0" w:firstLine="584" w:firstLineChars="200"/>
        <w:jc w:val="both"/>
        <w:textAlignment w:val="auto"/>
        <w:rPr>
          <w:rFonts w:hint="eastAsia" w:ascii="仿宋_GB2312" w:hAnsi="仿宋_GB2312" w:eastAsia="仿宋_GB2312" w:cs="仿宋_GB2312"/>
          <w:b/>
          <w:bCs/>
          <w:kern w:val="0"/>
          <w:sz w:val="32"/>
          <w:szCs w:val="32"/>
          <w:lang w:val="en-US"/>
        </w:rPr>
      </w:pPr>
      <w:r>
        <w:rPr>
          <w:rFonts w:hint="eastAsia" w:ascii="仿宋_GB2312" w:eastAsia="仿宋_GB2312"/>
          <w:szCs w:val="32"/>
          <w:lang w:eastAsia="zh-CN" w:bidi="ar-SA"/>
        </w:rPr>
        <w:t>、</w:t>
      </w:r>
      <w:r>
        <w:rPr>
          <w:rFonts w:hint="eastAsia" w:ascii="仿宋_GB2312" w:hAnsi="仿宋_GB2312" w:eastAsia="仿宋_GB2312" w:cs="仿宋_GB2312"/>
          <w:b/>
          <w:bCs/>
          <w:kern w:val="0"/>
          <w:sz w:val="32"/>
          <w:szCs w:val="32"/>
          <w:lang w:val="en-US"/>
        </w:rPr>
        <w:t>规范依据、拟处罚告知及意见采纳情况及处罚内容</w:t>
      </w:r>
    </w:p>
    <w:p>
      <w:pPr>
        <w:snapToGrid w:val="0"/>
        <w:spacing w:line="560" w:lineRule="atLeast"/>
        <w:ind w:firstLine="622"/>
        <w:rPr>
          <w:rFonts w:hint="eastAsia" w:ascii="仿宋_GB2312" w:eastAsia="仿宋_GB2312"/>
          <w:sz w:val="32"/>
          <w:szCs w:val="32"/>
          <w:highlight w:val="none"/>
          <w:lang w:val="en-US" w:eastAsia="zh-CN"/>
        </w:rPr>
      </w:pPr>
      <w:r>
        <w:rPr>
          <w:rFonts w:ascii="仿宋_GB2312" w:eastAsia="仿宋_GB2312"/>
          <w:szCs w:val="32"/>
          <w:lang w:bidi="ar-SA"/>
        </w:rPr>
        <w:t>当事人上述行为违反了</w:t>
      </w:r>
      <w:r>
        <w:rPr>
          <w:rFonts w:hint="eastAsia" w:ascii="仿宋_GB2312" w:eastAsia="仿宋_GB2312"/>
          <w:szCs w:val="32"/>
          <w:highlight w:val="none"/>
          <w:lang w:val="en-US" w:eastAsia="zh-CN" w:bidi="ar-SA"/>
        </w:rPr>
        <w:t>《中华人民共和国固体废物污染环境防治法》第八十一条第二款的规定。我局于</w:t>
      </w:r>
      <w:r>
        <w:rPr>
          <w:rFonts w:hint="eastAsia" w:ascii="仿宋_GB2312" w:eastAsia="仿宋_GB2312"/>
          <w:sz w:val="32"/>
          <w:szCs w:val="32"/>
          <w:lang w:val="en-US" w:eastAsia="zh-CN" w:bidi="ar-SA"/>
        </w:rPr>
        <w:t>2021年10月13日向当事人送达《行政处罚听证告知书》（南环听告字〔2021〕131号），告知当事人拟作出的处罚内容及事实、理由、依据，并告知了陈述、申辩</w:t>
      </w:r>
      <w:r>
        <w:rPr>
          <w:rFonts w:hint="eastAsia" w:ascii="仿宋_GB2312" w:eastAsia="仿宋_GB2312"/>
          <w:sz w:val="32"/>
          <w:szCs w:val="32"/>
          <w:highlight w:val="none"/>
          <w:lang w:val="en-US" w:eastAsia="zh-CN" w:bidi="ar-SA"/>
        </w:rPr>
        <w:t>和要求听证的权利</w:t>
      </w:r>
      <w:r>
        <w:rPr>
          <w:rFonts w:hint="eastAsia" w:ascii="仿宋_GB2312" w:eastAsia="仿宋_GB2312"/>
          <w:sz w:val="32"/>
          <w:szCs w:val="32"/>
          <w:lang w:val="en-US" w:eastAsia="zh-CN" w:bidi="ar-SA"/>
        </w:rPr>
        <w:t>。当事人向我局提出书面陈述、申辩意见，当事人提出的主要申辩意见如下：“一、2021年6月1日，广州市公安局南沙区分局大岗派出所委托我司对分局的三艘警用船进行喷涂以及在有走私上货可能的道路和机耕路上安装限高架，完成期限为2021年6月至10月。案涉危险废物均由我司为完成上述工作而产生。二、现场检查时，我司上述工作未完工，案涉危险废物只是临时存放于厂内。三、因案涉油漆桶、稀释剂桶、涂料桶中的油漆物质正处于使用阶段，案涉危险废物不属于废弃物。”</w:t>
      </w:r>
    </w:p>
    <w:p>
      <w:pPr>
        <w:pStyle w:val="12"/>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经审查，我局认为：根据现有证据，可证明当事人产生的废油漆桶、废稀释剂桶、废涂料桶等属于危险废物，本案事实清楚、证据充分，我局对当事人的申辩意见不予采纳。</w:t>
      </w:r>
    </w:p>
    <w:p>
      <w:pPr>
        <w:pStyle w:val="12"/>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综上所述，当事人确有未按照国家环境保护标准贮存危险废物的违法行为，应当予以处罚，当事人提出的申辩意见不影响本案定性。现本案经我局审查结束。</w:t>
      </w:r>
    </w:p>
    <w:p>
      <w:pPr>
        <w:pStyle w:val="12"/>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根据《中华人民共和国固体废物污染环境防治法》第一百一十二条第一款第六项、第二款及《广州市规范生态环境行政处罚自由裁量权规定》附件第15.20.1.5项的规定，我局现对当事人作出如下决定：</w:t>
      </w:r>
    </w:p>
    <w:p>
      <w:pPr>
        <w:pStyle w:val="12"/>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1、责令改正违法行为；</w:t>
      </w:r>
    </w:p>
    <w:p>
      <w:pPr>
        <w:pStyle w:val="12"/>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2、处罚款10万元（拾万元）。</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b/>
          <w:bCs/>
          <w:kern w:val="0"/>
          <w:sz w:val="32"/>
          <w:szCs w:val="32"/>
          <w:lang w:val="en-US"/>
        </w:rPr>
        <w:t>三、处罚内容的履行要求和当事人的救济权利</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u w:val="single"/>
          <w:lang w:val="en-US"/>
        </w:rPr>
      </w:pPr>
      <w:r>
        <w:rPr>
          <w:rFonts w:hint="eastAsia" w:ascii="仿宋_GB2312" w:hAnsi="仿宋_GB2312" w:eastAsia="仿宋_GB2312" w:cs="仿宋_GB2312"/>
          <w:kern w:val="0"/>
          <w:sz w:val="32"/>
          <w:szCs w:val="32"/>
          <w:lang w:val="en-US"/>
        </w:rPr>
        <w:t>限当事人在收到本处罚决定书之日起15日内，按照《广州市非税收入缴款通知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广东华兴银行、创兴银行、浙商银行、渤海银行、珠海华润银行、九江银行、东莞银行、江西银行、广东南粤银行、长沙银行），收入项目编码：3124。</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如不服上述行政处罚决定，可在收到文书之日起60日内向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提出行政复议申请。申请行政复议或提起行政诉讼的，不停止本决定的执行。</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u w:val="single"/>
          <w:lang w:val="en-US"/>
        </w:rPr>
      </w:pPr>
      <w:r>
        <w:rPr>
          <w:rFonts w:hint="eastAsia" w:ascii="仿宋_GB2312" w:hAnsi="仿宋_GB2312" w:eastAsia="仿宋_GB2312" w:cs="仿宋_GB2312"/>
          <w:kern w:val="0"/>
          <w:sz w:val="32"/>
          <w:szCs w:val="32"/>
          <w:lang w:val="en-US"/>
        </w:rPr>
        <w:t>根据《中华人民共和国行政处罚法》第七十二条规定，当事人逾期不履行本处罚决定的，我局将每日按罚款额的百分之三加处罚款，并依照《中华人民共和国行政强制法》的规定申请人民法院强制执行。</w:t>
      </w: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lang w:val="en-US" w:eastAsia="zh-CN"/>
        </w:rPr>
      </w:pP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right"/>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en-US"/>
        </w:rPr>
        <w:t>广州市生态环境局</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highlight w:val="none"/>
          <w:u w:val="none"/>
        </w:rPr>
      </w:pPr>
      <w:r>
        <w:rPr>
          <w:rFonts w:hint="eastAsia" w:ascii="仿宋_GB2312" w:hAnsi="仿宋_GB2312" w:eastAsia="仿宋_GB2312" w:cs="仿宋_GB2312"/>
          <w:kern w:val="0"/>
          <w:sz w:val="32"/>
          <w:szCs w:val="32"/>
          <w:lang w:val="en-US" w:eastAsia="zh-CN"/>
        </w:rPr>
        <w:t xml:space="preserve">                                   2021</w:t>
      </w:r>
      <w:r>
        <w:rPr>
          <w:rFonts w:hint="eastAsia" w:ascii="仿宋_GB2312" w:hAnsi="仿宋_GB2312" w:eastAsia="仿宋_GB2312" w:cs="仿宋_GB2312"/>
          <w:kern w:val="0"/>
          <w:sz w:val="32"/>
          <w:szCs w:val="32"/>
          <w:lang w:val="en-US"/>
        </w:rPr>
        <w:t>年</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lang w:val="en-US"/>
        </w:rPr>
        <w:t>月</w:t>
      </w:r>
      <w:r>
        <w:rPr>
          <w:rFonts w:hint="eastAsia" w:ascii="仿宋_GB2312" w:hAnsi="仿宋_GB2312" w:eastAsia="仿宋_GB2312" w:cs="仿宋_GB2312"/>
          <w:kern w:val="0"/>
          <w:sz w:val="32"/>
          <w:szCs w:val="32"/>
          <w:highlight w:val="none"/>
          <w:lang w:val="en-US" w:eastAsia="zh-CN"/>
        </w:rPr>
        <w:t>27</w:t>
      </w:r>
      <w:r>
        <w:rPr>
          <w:rFonts w:hint="eastAsia" w:ascii="仿宋_GB2312" w:hAnsi="仿宋_GB2312" w:eastAsia="仿宋_GB2312" w:cs="仿宋_GB2312"/>
          <w:kern w:val="0"/>
          <w:sz w:val="32"/>
          <w:szCs w:val="32"/>
          <w:highlight w:val="none"/>
          <w:lang w:val="en-US"/>
        </w:rPr>
        <w:t>日</w:t>
      </w:r>
    </w:p>
    <w:sectPr>
      <w:footerReference r:id="rId4" w:type="first"/>
      <w:footerReference r:id="rId3" w:type="default"/>
      <w:pgSz w:w="11906" w:h="16838"/>
      <w:pgMar w:top="2098" w:right="1474" w:bottom="1587" w:left="1587" w:header="851" w:footer="1474" w:gutter="0"/>
      <w:pgBorders>
        <w:top w:val="none" w:sz="0" w:space="0"/>
        <w:left w:val="none" w:sz="0" w:space="0"/>
        <w:bottom w:val="none" w:sz="0" w:space="0"/>
        <w:right w:val="none" w:sz="0" w:space="0"/>
      </w:pgBorders>
      <w:pgNumType w:fmt="decimal" w:start="1"/>
      <w:cols w:space="0" w:num="1"/>
      <w:titlePg/>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CE">
    <w:altName w:val="Courier New"/>
    <w:panose1 w:val="00000000000000000000"/>
    <w:charset w:val="EE"/>
    <w:family w:val="swiss"/>
    <w:pitch w:val="default"/>
    <w:sig w:usb0="00000000" w:usb1="00000000" w:usb2="00000000" w:usb3="00000000" w:csb0="00000002"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Courier New">
    <w:panose1 w:val="02070309020205020404"/>
    <w:charset w:val="EE"/>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65656"/>
    <w:multiLevelType w:val="singleLevel"/>
    <w:tmpl w:val="C5265656"/>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866C2"/>
    <w:rsid w:val="037B165A"/>
    <w:rsid w:val="042E4ABE"/>
    <w:rsid w:val="061C17E8"/>
    <w:rsid w:val="06B16F9D"/>
    <w:rsid w:val="06D43381"/>
    <w:rsid w:val="08CE223F"/>
    <w:rsid w:val="097E2A01"/>
    <w:rsid w:val="0A8C6EE4"/>
    <w:rsid w:val="0C812ABC"/>
    <w:rsid w:val="0D701609"/>
    <w:rsid w:val="0D8F784B"/>
    <w:rsid w:val="0EE059AD"/>
    <w:rsid w:val="100F65C8"/>
    <w:rsid w:val="103100FD"/>
    <w:rsid w:val="141756F9"/>
    <w:rsid w:val="152932AB"/>
    <w:rsid w:val="15CC71FE"/>
    <w:rsid w:val="16423E59"/>
    <w:rsid w:val="16C560B2"/>
    <w:rsid w:val="175A3225"/>
    <w:rsid w:val="18A95050"/>
    <w:rsid w:val="18C74A96"/>
    <w:rsid w:val="1A387AD4"/>
    <w:rsid w:val="1A642E58"/>
    <w:rsid w:val="1AAD08FA"/>
    <w:rsid w:val="1BFA52F9"/>
    <w:rsid w:val="1CC56782"/>
    <w:rsid w:val="202757FA"/>
    <w:rsid w:val="206F2007"/>
    <w:rsid w:val="228E143B"/>
    <w:rsid w:val="229E4240"/>
    <w:rsid w:val="240866C2"/>
    <w:rsid w:val="24303317"/>
    <w:rsid w:val="24AF387E"/>
    <w:rsid w:val="254C25C7"/>
    <w:rsid w:val="27FA42A3"/>
    <w:rsid w:val="2B206EAF"/>
    <w:rsid w:val="2B34606A"/>
    <w:rsid w:val="2BBB56B5"/>
    <w:rsid w:val="2C003E7D"/>
    <w:rsid w:val="2D4113EF"/>
    <w:rsid w:val="2D6B6CD8"/>
    <w:rsid w:val="2ED4262D"/>
    <w:rsid w:val="32F86059"/>
    <w:rsid w:val="339A7CD0"/>
    <w:rsid w:val="354B611B"/>
    <w:rsid w:val="3574490A"/>
    <w:rsid w:val="364E7F10"/>
    <w:rsid w:val="36814C5B"/>
    <w:rsid w:val="36AE0FE2"/>
    <w:rsid w:val="36C870C4"/>
    <w:rsid w:val="36DC5D9A"/>
    <w:rsid w:val="37A271E0"/>
    <w:rsid w:val="38F42AF1"/>
    <w:rsid w:val="394771CA"/>
    <w:rsid w:val="39E24B40"/>
    <w:rsid w:val="3B2D4DBE"/>
    <w:rsid w:val="3B7D45F9"/>
    <w:rsid w:val="3BE9328D"/>
    <w:rsid w:val="3C165DE2"/>
    <w:rsid w:val="3C4A1FD5"/>
    <w:rsid w:val="3CD06325"/>
    <w:rsid w:val="3CE77E75"/>
    <w:rsid w:val="3D1D1709"/>
    <w:rsid w:val="3F034600"/>
    <w:rsid w:val="3FB37C1A"/>
    <w:rsid w:val="405C29A5"/>
    <w:rsid w:val="449107A2"/>
    <w:rsid w:val="46E81125"/>
    <w:rsid w:val="479802F2"/>
    <w:rsid w:val="47BD27EF"/>
    <w:rsid w:val="48011F10"/>
    <w:rsid w:val="4B8C523D"/>
    <w:rsid w:val="4CD56ED8"/>
    <w:rsid w:val="4FE5550C"/>
    <w:rsid w:val="50515F4D"/>
    <w:rsid w:val="51966304"/>
    <w:rsid w:val="533A57BE"/>
    <w:rsid w:val="55B660DF"/>
    <w:rsid w:val="55D36550"/>
    <w:rsid w:val="56DB09D8"/>
    <w:rsid w:val="58A4031C"/>
    <w:rsid w:val="58DF2354"/>
    <w:rsid w:val="58E04C7D"/>
    <w:rsid w:val="59DC24D5"/>
    <w:rsid w:val="5A612936"/>
    <w:rsid w:val="5AD03F4E"/>
    <w:rsid w:val="5BE22B07"/>
    <w:rsid w:val="5E7E7EF6"/>
    <w:rsid w:val="63BA4851"/>
    <w:rsid w:val="64582203"/>
    <w:rsid w:val="66E76AA8"/>
    <w:rsid w:val="67034F73"/>
    <w:rsid w:val="67A617FE"/>
    <w:rsid w:val="6A6930F0"/>
    <w:rsid w:val="6B7E73FF"/>
    <w:rsid w:val="6BC041CD"/>
    <w:rsid w:val="6F3F118A"/>
    <w:rsid w:val="73EE4748"/>
    <w:rsid w:val="756C1B4E"/>
    <w:rsid w:val="75D8377E"/>
    <w:rsid w:val="76975649"/>
    <w:rsid w:val="77DD1465"/>
    <w:rsid w:val="77DE70B9"/>
    <w:rsid w:val="787F2185"/>
    <w:rsid w:val="791B7F86"/>
    <w:rsid w:val="79AE6349"/>
    <w:rsid w:val="7BE05C65"/>
    <w:rsid w:val="7BEE5DAA"/>
    <w:rsid w:val="7C5323E4"/>
    <w:rsid w:val="7C7823F1"/>
    <w:rsid w:val="7CCE4EED"/>
    <w:rsid w:val="7E5802CF"/>
    <w:rsid w:val="7E924DD4"/>
    <w:rsid w:val="7F651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CE" w:cs="Times New Roman"/>
      <w:kern w:val="2"/>
      <w:sz w:val="32"/>
      <w:lang w:val="en-US" w:eastAsia="zh-CN"/>
    </w:rPr>
  </w:style>
  <w:style w:type="paragraph" w:styleId="2">
    <w:name w:val="heading 1"/>
    <w:basedOn w:val="1"/>
    <w:next w:val="1"/>
    <w:qFormat/>
    <w:uiPriority w:val="0"/>
    <w:pPr>
      <w:keepNext/>
      <w:keepLines/>
      <w:spacing w:before="50" w:beforeLines="0" w:beforeAutospacing="0" w:afterLines="0" w:afterAutospacing="0" w:line="240" w:lineRule="auto"/>
      <w:ind w:firstLine="0" w:firstLineChars="0"/>
      <w:jc w:val="center"/>
      <w:outlineLvl w:val="0"/>
    </w:pPr>
    <w:rPr>
      <w:rFonts w:eastAsia="方正小标宋简体"/>
      <w:kern w:val="44"/>
      <w:sz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qFormat/>
    <w:uiPriority w:val="0"/>
    <w:pPr>
      <w:widowControl w:val="0"/>
      <w:autoSpaceDE w:val="0"/>
      <w:autoSpaceDN w:val="0"/>
    </w:pPr>
    <w:rPr>
      <w:rFonts w:ascii="宋体" w:hAnsi="宋体" w:eastAsia="宋体" w:cs="宋体"/>
      <w:sz w:val="30"/>
      <w:szCs w:val="30"/>
      <w:lang w:val="zh-CN"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Hyperlink"/>
    <w:basedOn w:val="7"/>
    <w:qFormat/>
    <w:uiPriority w:val="0"/>
    <w:rPr>
      <w:color w:val="0000FF"/>
      <w:u w:val="single"/>
    </w:rPr>
  </w:style>
  <w:style w:type="paragraph" w:customStyle="1" w:styleId="9">
    <w:name w:val="Normal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2021-05-13T02:27:00Z</dcterms:created>
  <dc:creator>刘倩</dc:creator>
  <cp:lastModifiedBy>HP</cp:lastModifiedBy>
  <dcterms:modified xsi:type="dcterms:W3CDTF">2021-11-23T01:56:35Z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967105BA297E4BC38847A6B5559FE551</vt:lpwstr>
  </property>
</Properties>
</file>