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val="0"/>
        <w:autoSpaceDE/>
        <w:autoSpaceDN/>
        <w:bidi w:val="0"/>
        <w:adjustRightInd/>
        <w:snapToGrid/>
        <w:spacing w:before="0" w:beforeLines="0" w:after="0" w:afterLines="0" w:line="360" w:lineRule="auto"/>
        <w:ind w:left="0" w:leftChars="0" w:right="0" w:rightChars="0" w:firstLine="0" w:firstLineChars="0"/>
        <w:jc w:val="right"/>
        <w:textAlignment w:val="auto"/>
        <w:outlineLvl w:val="9"/>
        <w:rPr>
          <w:rFonts w:hint="eastAsia" w:ascii="仿宋_GB2312" w:hAnsi="仿宋_GB2312" w:eastAsia="仿宋_GB2312" w:cs="仿宋_GB2312"/>
          <w:sz w:val="32"/>
          <w:szCs w:val="32"/>
          <w:u w:val="none"/>
        </w:rPr>
      </w:pP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both"/>
        <w:textAlignment w:val="auto"/>
        <w:outlineLvl w:val="9"/>
        <w:rPr>
          <w:rFonts w:hint="eastAsia" w:ascii="仿宋_GB2312" w:eastAsia="仿宋_GB2312"/>
          <w:sz w:val="32"/>
          <w:szCs w:val="32"/>
          <w:u w:val="none"/>
        </w:rPr>
      </w:pPr>
    </w:p>
    <w:p>
      <w:pPr>
        <w:keepNext w:val="0"/>
        <w:keepLines w:val="0"/>
        <w:pageBreakBefore w:val="0"/>
        <w:widowControl w:val="0"/>
        <w:kinsoku/>
        <w:wordWrap/>
        <w:overflowPunct/>
        <w:topLinePunct w:val="0"/>
        <w:autoSpaceDE/>
        <w:autoSpaceDN/>
        <w:bidi w:val="0"/>
        <w:adjustRightInd/>
        <w:snapToGrid w:val="0"/>
        <w:spacing w:before="50" w:beforeLines="0" w:after="292" w:afterLines="50" w:line="288" w:lineRule="auto"/>
        <w:ind w:left="0" w:leftChars="0" w:right="0" w:rightChars="0" w:firstLine="0" w:firstLineChars="0"/>
        <w:jc w:val="center"/>
        <w:textAlignment w:val="auto"/>
        <w:outlineLvl w:val="9"/>
        <w:rPr>
          <w:rFonts w:hint="default" w:ascii="方正小标宋" w:hAnsi="方正小标宋" w:eastAsia="方正小标宋" w:cs="方正小标宋"/>
          <w:b/>
          <w:bCs/>
          <w:kern w:val="2"/>
          <w:sz w:val="44"/>
          <w:szCs w:val="44"/>
          <w:u w:val="none"/>
          <w:vertAlign w:val="baseline"/>
          <w:lang w:val="en-US" w:eastAsia="zh-CN"/>
        </w:rPr>
      </w:pPr>
      <w:r>
        <w:rPr>
          <w:rFonts w:hint="eastAsia" w:ascii="方正小标宋" w:hAnsi="方正小标宋" w:eastAsia="方正小标宋" w:cs="方正小标宋"/>
          <w:b/>
          <w:bCs/>
          <w:kern w:val="2"/>
          <w:sz w:val="44"/>
          <w:szCs w:val="44"/>
          <w:u w:val="none"/>
          <w:vertAlign w:val="baseline"/>
          <w:lang w:val="en-US" w:eastAsia="zh-CN"/>
        </w:rPr>
        <w:t>行政处罚决定书</w:t>
      </w:r>
    </w:p>
    <w:p>
      <w:pPr>
        <w:keepNext w:val="0"/>
        <w:keepLines w:val="0"/>
        <w:pageBreakBefore w:val="0"/>
        <w:widowControl w:val="0"/>
        <w:kinsoku/>
        <w:wordWrap/>
        <w:overflowPunct/>
        <w:topLinePunct w:val="0"/>
        <w:autoSpaceDE/>
        <w:autoSpaceDN/>
        <w:bidi w:val="0"/>
        <w:adjustRightInd/>
        <w:snapToGrid w:val="0"/>
        <w:spacing w:before="0" w:beforeLines="0" w:after="581" w:afterLines="100" w:line="480" w:lineRule="exact"/>
        <w:ind w:left="0" w:leftChars="0" w:right="0" w:rightChars="0" w:firstLine="0" w:firstLineChars="0"/>
        <w:jc w:val="right"/>
        <w:textAlignment w:val="auto"/>
        <w:outlineLvl w:val="9"/>
        <w:rPr>
          <w:rFonts w:hint="eastAsia" w:ascii="仿宋_GB2312" w:eastAsia="仿宋_GB2312"/>
          <w:sz w:val="32"/>
          <w:szCs w:val="30"/>
          <w:highlight w:val="none"/>
          <w:u w:val="none"/>
        </w:rPr>
      </w:pPr>
      <w:r>
        <w:rPr>
          <w:rFonts w:hint="eastAsia" w:ascii="仿宋_GB2312" w:hAnsi="仿宋_GB2312" w:eastAsia="仿宋_GB2312" w:cs="仿宋_GB2312"/>
          <w:sz w:val="32"/>
          <w:szCs w:val="32"/>
          <w:u w:val="none"/>
        </w:rPr>
        <w:t>南环罚字〔2021〕</w:t>
      </w:r>
      <w:r>
        <w:rPr>
          <w:rFonts w:hint="eastAsia" w:ascii="仿宋_GB2312" w:hAnsi="仿宋_GB2312" w:eastAsia="仿宋_GB2312" w:cs="仿宋_GB2312"/>
          <w:sz w:val="32"/>
          <w:szCs w:val="32"/>
          <w:highlight w:val="none"/>
          <w:u w:val="none"/>
          <w:lang w:val="en-US" w:eastAsia="zh-CN"/>
        </w:rPr>
        <w:t>40</w:t>
      </w:r>
      <w:r>
        <w:rPr>
          <w:rFonts w:hint="eastAsia" w:ascii="仿宋_GB2312" w:hAnsi="仿宋_GB2312" w:eastAsia="仿宋_GB2312" w:cs="仿宋_GB2312"/>
          <w:sz w:val="32"/>
          <w:szCs w:val="32"/>
          <w:highlight w:val="none"/>
          <w:u w:val="none"/>
        </w:rPr>
        <w:t>号</w:t>
      </w: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480" w:lineRule="exact"/>
        <w:ind w:right="0"/>
        <w:jc w:val="both"/>
        <w:textAlignment w:val="auto"/>
        <w:rPr>
          <w:rFonts w:hint="eastAsia" w:ascii="仿宋_GB2312" w:hAnsi="仿宋_GB2312" w:eastAsia="仿宋_GB2312" w:cs="仿宋_GB2312"/>
          <w:spacing w:val="-1"/>
          <w:kern w:val="0"/>
          <w:sz w:val="32"/>
          <w:szCs w:val="32"/>
          <w:lang w:eastAsia="zh-CN"/>
        </w:rPr>
      </w:pPr>
      <w:r>
        <w:rPr>
          <w:rFonts w:hint="eastAsia" w:ascii="仿宋_GB2312" w:hAnsi="仿宋_GB2312" w:eastAsia="仿宋_GB2312" w:cs="仿宋_GB2312"/>
          <w:spacing w:val="-1"/>
          <w:kern w:val="0"/>
          <w:sz w:val="32"/>
          <w:szCs w:val="32"/>
        </w:rPr>
        <w:t>当事人</w:t>
      </w:r>
      <w:r>
        <w:rPr>
          <w:rFonts w:hint="eastAsia" w:ascii="仿宋_GB2312" w:hAnsi="仿宋_GB2312" w:eastAsia="仿宋_GB2312" w:cs="仿宋_GB2312"/>
          <w:spacing w:val="-1"/>
          <w:kern w:val="0"/>
          <w:sz w:val="32"/>
          <w:szCs w:val="32"/>
          <w:lang w:eastAsia="zh-CN"/>
        </w:rPr>
        <w:t>：广州镁宝板业有限公司</w:t>
      </w: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480" w:lineRule="exact"/>
        <w:ind w:right="0"/>
        <w:jc w:val="both"/>
        <w:textAlignment w:val="auto"/>
        <w:rPr>
          <w:rFonts w:hint="default" w:ascii="仿宋_GB2312" w:hAnsi="仿宋_GB2312" w:eastAsia="仿宋_GB2312" w:cs="仿宋_GB2312"/>
          <w:kern w:val="0"/>
          <w:sz w:val="32"/>
          <w:szCs w:val="32"/>
          <w:lang w:val="en-US" w:eastAsia="zh-CN"/>
        </w:rPr>
      </w:pP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480" w:lineRule="exact"/>
        <w:ind w:right="0"/>
        <w:jc w:val="both"/>
        <w:textAlignment w:val="auto"/>
        <w:rPr>
          <w:rFonts w:hint="default" w:ascii="仿宋_GB2312" w:hAnsi="仿宋_GB2312" w:eastAsia="仿宋_GB2312" w:cs="仿宋_GB2312"/>
          <w:kern w:val="0"/>
          <w:sz w:val="32"/>
          <w:szCs w:val="32"/>
          <w:lang w:val="en-US" w:eastAsia="zh-CN"/>
        </w:rPr>
      </w:pPr>
    </w:p>
    <w:p>
      <w:pPr>
        <w:pStyle w:val="3"/>
        <w:keepNext w:val="0"/>
        <w:keepLines w:val="0"/>
        <w:pageBreakBefore w:val="0"/>
        <w:widowControl w:val="0"/>
        <w:numPr>
          <w:ilvl w:val="0"/>
          <w:numId w:val="1"/>
        </w:numPr>
        <w:tabs>
          <w:tab w:val="left" w:pos="7382"/>
          <w:tab w:val="left" w:pos="7982"/>
        </w:tabs>
        <w:kinsoku/>
        <w:wordWrap/>
        <w:overflowPunct/>
        <w:topLinePunct w:val="0"/>
        <w:autoSpaceDE w:val="0"/>
        <w:autoSpaceDN w:val="0"/>
        <w:bidi w:val="0"/>
        <w:adjustRightInd/>
        <w:snapToGrid/>
        <w:spacing w:line="520" w:lineRule="exact"/>
        <w:ind w:right="0" w:firstLine="624" w:firstLineChars="200"/>
        <w:jc w:val="both"/>
        <w:textAlignment w:val="auto"/>
        <w:rPr>
          <w:rFonts w:hint="eastAsia" w:ascii="仿宋_GB2312" w:hAnsi="仿宋_GB2312" w:eastAsia="仿宋_GB2312" w:cs="仿宋_GB2312"/>
          <w:kern w:val="0"/>
          <w:sz w:val="32"/>
          <w:szCs w:val="32"/>
          <w:u w:val="single"/>
          <w:lang w:val="en-US"/>
        </w:rPr>
      </w:pPr>
      <w:r>
        <w:rPr>
          <w:rFonts w:hint="eastAsia" w:ascii="仿宋_GB2312" w:hAnsi="仿宋_GB2312" w:eastAsia="仿宋_GB2312" w:cs="仿宋_GB2312"/>
          <w:b/>
          <w:bCs/>
          <w:kern w:val="0"/>
          <w:sz w:val="32"/>
          <w:szCs w:val="32"/>
          <w:lang w:val="en-US"/>
        </w:rPr>
        <w:t>当事人基本情况及违法事实情况</w:t>
      </w:r>
    </w:p>
    <w:p>
      <w:pPr>
        <w:snapToGrid w:val="0"/>
        <w:spacing w:line="560" w:lineRule="atLeast"/>
        <w:ind w:firstLine="622"/>
        <w:rPr>
          <w:rFonts w:hint="default" w:ascii="仿宋_GB2312" w:eastAsia="仿宋_GB2312"/>
          <w:szCs w:val="32"/>
          <w:u w:val="none"/>
          <w:lang w:val="en-US" w:eastAsia="zh-CN" w:bidi="ar-SA"/>
        </w:rPr>
      </w:pPr>
      <w:bookmarkStart w:id="0" w:name="dcjg"/>
      <w:r>
        <w:rPr>
          <w:rFonts w:hint="default" w:ascii="仿宋_GB2312" w:eastAsia="仿宋_GB2312"/>
          <w:szCs w:val="32"/>
          <w:u w:val="none"/>
          <w:lang w:val="en-US" w:eastAsia="zh-CN" w:bidi="ar-SA"/>
        </w:rPr>
        <w:t>2014年11月，当事人</w:t>
      </w:r>
      <w:bookmarkEnd w:id="0"/>
      <w:bookmarkStart w:id="1" w:name="_GoBack"/>
      <w:bookmarkEnd w:id="1"/>
      <w:r>
        <w:rPr>
          <w:rFonts w:hint="default" w:ascii="仿宋_GB2312" w:eastAsia="仿宋_GB2312"/>
          <w:szCs w:val="32"/>
          <w:u w:val="none"/>
          <w:lang w:val="en-US" w:eastAsia="zh-CN" w:bidi="ar-SA"/>
        </w:rPr>
        <w:t>建成并投产玻镁板生产项目，现有员工36人，年营业额约1800万元。现场检查时，当事人正在生产。</w:t>
      </w:r>
    </w:p>
    <w:p>
      <w:pPr>
        <w:keepNext w:val="0"/>
        <w:keepLines w:val="0"/>
        <w:pageBreakBefore w:val="0"/>
        <w:widowControl w:val="0"/>
        <w:kinsoku/>
        <w:wordWrap/>
        <w:overflowPunct/>
        <w:topLinePunct w:val="0"/>
        <w:autoSpaceDE/>
        <w:autoSpaceDN/>
        <w:bidi w:val="0"/>
        <w:adjustRightInd/>
        <w:snapToGrid w:val="0"/>
        <w:spacing w:line="560" w:lineRule="atLeast"/>
        <w:ind w:firstLine="624" w:firstLineChars="200"/>
        <w:textAlignment w:val="auto"/>
        <w:rPr>
          <w:rFonts w:hint="default" w:ascii="仿宋_GB2312" w:eastAsia="仿宋_GB2312"/>
          <w:szCs w:val="32"/>
          <w:u w:val="none"/>
          <w:lang w:val="en-US" w:eastAsia="zh-CN" w:bidi="ar-SA"/>
        </w:rPr>
      </w:pPr>
      <w:r>
        <w:rPr>
          <w:rFonts w:hint="default" w:ascii="仿宋_GB2312" w:eastAsia="仿宋_GB2312"/>
          <w:szCs w:val="32"/>
          <w:u w:val="none"/>
          <w:lang w:val="en-US" w:eastAsia="zh-CN" w:bidi="ar-SA"/>
        </w:rPr>
        <w:t>项目主要生产设备有：制板机1台、脱模机1台、切边机1台、砂光机1台、空压机1台等。主要生产工艺流程为：原材料→投料→搅拌→辊压→养护→脱模→切边→抛光→包装→成品（玻镁板）。产生的主要污染物为清洗废水、粉尘、玻镁板边角料等，其中，清洗废水配套沉淀池进行沉淀处理后循环使用；投料粉尘配套布袋除尘器进行处理，切边、抛光粉尘配套</w:t>
      </w:r>
      <w:r>
        <w:rPr>
          <w:rFonts w:hint="eastAsia" w:ascii="仿宋_GB2312" w:eastAsia="仿宋_GB2312"/>
          <w:szCs w:val="32"/>
          <w:u w:val="none"/>
          <w:lang w:val="en-US" w:eastAsia="zh-CN" w:bidi="ar-SA"/>
        </w:rPr>
        <w:t>“</w:t>
      </w:r>
      <w:r>
        <w:rPr>
          <w:rFonts w:hint="default" w:ascii="仿宋_GB2312" w:eastAsia="仿宋_GB2312"/>
          <w:szCs w:val="32"/>
          <w:u w:val="none"/>
          <w:lang w:val="en-US" w:eastAsia="zh-CN" w:bidi="ar-SA"/>
        </w:rPr>
        <w:t>旋风集尘器+滤布净化器</w:t>
      </w:r>
      <w:r>
        <w:rPr>
          <w:rFonts w:hint="eastAsia" w:ascii="仿宋_GB2312" w:eastAsia="仿宋_GB2312"/>
          <w:szCs w:val="32"/>
          <w:u w:val="none"/>
          <w:lang w:val="en-US" w:eastAsia="zh-CN" w:bidi="ar-SA"/>
        </w:rPr>
        <w:t>”</w:t>
      </w:r>
      <w:r>
        <w:rPr>
          <w:rFonts w:hint="default" w:ascii="仿宋_GB2312" w:eastAsia="仿宋_GB2312"/>
          <w:szCs w:val="32"/>
          <w:u w:val="none"/>
          <w:lang w:val="en-US" w:eastAsia="zh-CN" w:bidi="ar-SA"/>
        </w:rPr>
        <w:t>进行处理；玻镁板边角料存放于厂房内。</w:t>
      </w:r>
    </w:p>
    <w:p>
      <w:pPr>
        <w:snapToGrid w:val="0"/>
        <w:spacing w:line="560" w:lineRule="atLeast"/>
        <w:ind w:firstLine="622"/>
        <w:rPr>
          <w:rFonts w:hint="default" w:ascii="仿宋_GB2312" w:eastAsia="仿宋_GB2312"/>
          <w:szCs w:val="32"/>
          <w:u w:val="none"/>
          <w:lang w:val="en-US" w:eastAsia="zh-CN" w:bidi="ar-SA"/>
        </w:rPr>
      </w:pPr>
      <w:r>
        <w:rPr>
          <w:rFonts w:hint="default" w:ascii="仿宋_GB2312" w:eastAsia="仿宋_GB2312"/>
          <w:szCs w:val="32"/>
          <w:u w:val="none"/>
          <w:lang w:val="en-US" w:eastAsia="zh-CN" w:bidi="ar-SA"/>
        </w:rPr>
        <w:t>2021年8月29日，我局执法人员对当事人进行调查时发现，当事人存在以下事实情形：自2021年6月以来，当事人投料车间只设置部分挡板且未设置门帘，切边车间墙壁有大面积破损，投料、切边等工序未在密闭空间中进行。当事人上述行为属于未采取密闭、围挡等措施控制、减少粉尘排放。</w:t>
      </w:r>
    </w:p>
    <w:p>
      <w:pPr>
        <w:snapToGrid w:val="0"/>
        <w:spacing w:line="560" w:lineRule="atLeast"/>
        <w:ind w:firstLine="622"/>
        <w:rPr>
          <w:rFonts w:hint="default" w:ascii="仿宋_GB2312" w:eastAsia="仿宋_GB2312"/>
          <w:szCs w:val="32"/>
          <w:u w:val="none"/>
          <w:lang w:val="en-US" w:eastAsia="zh-CN" w:bidi="ar-SA"/>
        </w:rPr>
      </w:pPr>
      <w:r>
        <w:rPr>
          <w:rFonts w:hint="default" w:ascii="仿宋_GB2312" w:eastAsia="仿宋_GB2312"/>
          <w:szCs w:val="32"/>
          <w:u w:val="none"/>
          <w:lang w:val="en-US" w:eastAsia="zh-CN" w:bidi="ar-SA"/>
        </w:rPr>
        <w:t>以上事实有《现场检查笔录》、《调查询问笔录》、现场检查照片、营业执照复印件、《关于广州镁宝板业有限公司建设项目环境影响报告表审批意见的函》（穗南区环水管影〔2016〕77号）、《关于广州镁宝板业有限公司建设项目竣工环境保护验收意见的函》（穗南区环水管验〔2017〕172号）等证据材料予以证实。</w:t>
      </w:r>
    </w:p>
    <w:p>
      <w:pPr>
        <w:pStyle w:val="3"/>
        <w:keepNext w:val="0"/>
        <w:keepLines w:val="0"/>
        <w:pageBreakBefore w:val="0"/>
        <w:widowControl w:val="0"/>
        <w:numPr>
          <w:ilvl w:val="0"/>
          <w:numId w:val="1"/>
        </w:numPr>
        <w:tabs>
          <w:tab w:val="left" w:pos="7982"/>
        </w:tabs>
        <w:kinsoku/>
        <w:wordWrap/>
        <w:overflowPunct/>
        <w:topLinePunct w:val="0"/>
        <w:autoSpaceDE w:val="0"/>
        <w:autoSpaceDN w:val="0"/>
        <w:bidi w:val="0"/>
        <w:adjustRightInd/>
        <w:snapToGrid/>
        <w:spacing w:line="520" w:lineRule="exact"/>
        <w:ind w:left="0" w:leftChars="0" w:right="0" w:firstLine="624" w:firstLineChars="200"/>
        <w:jc w:val="both"/>
        <w:textAlignment w:val="auto"/>
        <w:rPr>
          <w:rFonts w:hint="eastAsia" w:ascii="仿宋_GB2312" w:hAnsi="仿宋_GB2312" w:eastAsia="仿宋_GB2312" w:cs="仿宋_GB2312"/>
          <w:b/>
          <w:bCs/>
          <w:kern w:val="0"/>
          <w:sz w:val="32"/>
          <w:szCs w:val="32"/>
          <w:lang w:val="en-US"/>
        </w:rPr>
      </w:pPr>
      <w:r>
        <w:rPr>
          <w:rFonts w:hint="eastAsia" w:ascii="仿宋_GB2312" w:hAnsi="仿宋_GB2312" w:eastAsia="仿宋_GB2312" w:cs="仿宋_GB2312"/>
          <w:b/>
          <w:bCs/>
          <w:kern w:val="0"/>
          <w:sz w:val="32"/>
          <w:szCs w:val="32"/>
          <w:lang w:val="en-US"/>
        </w:rPr>
        <w:t>规范依据、拟处罚告知及意见采纳情况及处罚内容</w:t>
      </w:r>
    </w:p>
    <w:p>
      <w:pPr>
        <w:pStyle w:val="13"/>
        <w:snapToGrid w:val="0"/>
        <w:spacing w:line="560" w:lineRule="atLeast"/>
        <w:ind w:firstLine="622"/>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当事人上述行为违反了《中华人民共和国大气污染防治法》第四十八条第二款的规定。我局于2021年9月4日向当事人送达《行政处罚事先告知书》（南环罚告字〔2021〕17号），告知当事人拟作出的处罚内容及事实、理由、依据，并告知了陈述、申辩的权利。当事人未提出陈述申辩意见。</w:t>
      </w:r>
    </w:p>
    <w:p>
      <w:pPr>
        <w:pStyle w:val="13"/>
        <w:snapToGrid w:val="0"/>
        <w:spacing w:line="560" w:lineRule="atLeast"/>
        <w:ind w:firstLine="622"/>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综上所述，当事人确有未采取密闭、围挡等措施控制、减少粉尘排放的违法行为，应当予以处罚。现本案经我局审查结束。</w:t>
      </w:r>
    </w:p>
    <w:p>
      <w:pPr>
        <w:pStyle w:val="13"/>
        <w:snapToGrid w:val="0"/>
        <w:spacing w:line="560" w:lineRule="atLeast"/>
        <w:ind w:firstLine="622"/>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根据《中华人民共和国大气污染防治法》第一百零八条第五项及《广州市规范生态环境行政处罚自由裁量权规定》附件第11.16.2.2项的规定，我局现对当事人作出如下决定：</w:t>
      </w:r>
    </w:p>
    <w:p>
      <w:pPr>
        <w:pStyle w:val="13"/>
        <w:snapToGrid w:val="0"/>
        <w:spacing w:line="560" w:lineRule="atLeast"/>
        <w:ind w:firstLine="622"/>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1、责令改正违法行为；</w:t>
      </w:r>
    </w:p>
    <w:p>
      <w:pPr>
        <w:pStyle w:val="13"/>
        <w:snapToGrid w:val="0"/>
        <w:spacing w:line="560" w:lineRule="atLeast"/>
        <w:ind w:firstLine="622"/>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2、处罚款6万元（陆万元）。</w:t>
      </w: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20" w:lineRule="exact"/>
        <w:ind w:right="0" w:firstLine="624" w:firstLineChars="200"/>
        <w:jc w:val="both"/>
        <w:textAlignment w:val="auto"/>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b/>
          <w:bCs/>
          <w:kern w:val="0"/>
          <w:sz w:val="32"/>
          <w:szCs w:val="32"/>
          <w:lang w:val="en-US"/>
        </w:rPr>
        <w:t>三、处罚内容的履行要求和当事人的救济权利</w:t>
      </w: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20" w:lineRule="exact"/>
        <w:ind w:right="0" w:firstLine="624" w:firstLineChars="200"/>
        <w:jc w:val="both"/>
        <w:textAlignment w:val="auto"/>
        <w:rPr>
          <w:rFonts w:hint="eastAsia" w:ascii="仿宋_GB2312" w:hAnsi="仿宋_GB2312" w:eastAsia="仿宋_GB2312" w:cs="仿宋_GB2312"/>
          <w:kern w:val="0"/>
          <w:sz w:val="32"/>
          <w:szCs w:val="32"/>
          <w:u w:val="single"/>
          <w:lang w:val="en-US"/>
        </w:rPr>
      </w:pPr>
      <w:r>
        <w:rPr>
          <w:rFonts w:hint="eastAsia" w:ascii="仿宋_GB2312" w:hAnsi="仿宋_GB2312" w:eastAsia="仿宋_GB2312" w:cs="仿宋_GB2312"/>
          <w:kern w:val="0"/>
          <w:sz w:val="32"/>
          <w:szCs w:val="32"/>
          <w:lang w:val="en-US"/>
        </w:rPr>
        <w:t>限当事人在收到本处罚决定书之日起15日内，按照《广州市非税收入缴款通知书》的要求，将上述罚款缴到非税收入代收银行（工商银行、建设银行、广州银行、广州农村商业银行、中国银行、农业银行、邮政储蓄银行、交通银行、光大银行、中信银行、广发银行、浦发银行、华夏银行、招商银行、民生银行、兴业银行、平安银行、广东华兴银行、创兴银行、浙商银行、渤海银行、珠海华润银行、九江银行、东莞银行、江西银行、广东南粤银行、长沙银行），收入项目编码：3124。</w:t>
      </w:r>
    </w:p>
    <w:p>
      <w:pPr>
        <w:pStyle w:val="3"/>
        <w:keepNext w:val="0"/>
        <w:keepLines w:val="0"/>
        <w:pageBreakBefore w:val="0"/>
        <w:widowControl w:val="0"/>
        <w:tabs>
          <w:tab w:val="left" w:pos="7982"/>
          <w:tab w:val="left" w:pos="8222"/>
        </w:tabs>
        <w:kinsoku/>
        <w:wordWrap/>
        <w:overflowPunct/>
        <w:topLinePunct w:val="0"/>
        <w:autoSpaceDE w:val="0"/>
        <w:autoSpaceDN w:val="0"/>
        <w:bidi w:val="0"/>
        <w:adjustRightInd/>
        <w:snapToGrid/>
        <w:spacing w:line="520" w:lineRule="exact"/>
        <w:ind w:right="0" w:firstLine="624" w:firstLineChars="200"/>
        <w:jc w:val="both"/>
        <w:textAlignment w:val="auto"/>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kern w:val="0"/>
          <w:sz w:val="32"/>
          <w:szCs w:val="32"/>
          <w:lang w:val="en-US"/>
        </w:rPr>
        <w:t>如不服上述行政处罚决定，可在收到文书之日起60日内向广州市人民政府（地址：广州市越秀区小北路183号金和大厦2楼市政府行政复议办公室，电话：020-83555988），也可向广东省生态环境厅（地址：天河区龙口西路213号，电话：020-87533928、87531656）申请行政复议；或者在收到文书之日起6个月内直接向广州铁路运输法院提起行政诉讼。根据《广东省人民政府关于县级以上人民政府统一行使行政复议职责有关事项的通告》（粤府函〔2021〕99号）的规定，自2021年6月1日起县级以上人民政府统一行使行政复议职责，建议您向广州市人民政府提出行政复议申请。申请行政复议或提起行政诉讼的，不停止本决定的执行。</w:t>
      </w:r>
    </w:p>
    <w:p>
      <w:pPr>
        <w:pStyle w:val="3"/>
        <w:keepNext w:val="0"/>
        <w:keepLines w:val="0"/>
        <w:pageBreakBefore w:val="0"/>
        <w:widowControl w:val="0"/>
        <w:tabs>
          <w:tab w:val="left" w:pos="7982"/>
          <w:tab w:val="left" w:pos="8222"/>
        </w:tabs>
        <w:kinsoku/>
        <w:wordWrap/>
        <w:overflowPunct/>
        <w:topLinePunct w:val="0"/>
        <w:autoSpaceDE w:val="0"/>
        <w:autoSpaceDN w:val="0"/>
        <w:bidi w:val="0"/>
        <w:adjustRightInd/>
        <w:snapToGrid/>
        <w:spacing w:line="520" w:lineRule="exact"/>
        <w:ind w:right="0" w:firstLine="624" w:firstLineChars="200"/>
        <w:jc w:val="both"/>
        <w:textAlignment w:val="auto"/>
        <w:rPr>
          <w:rFonts w:hint="eastAsia" w:ascii="仿宋_GB2312" w:hAnsi="仿宋_GB2312" w:eastAsia="仿宋_GB2312" w:cs="仿宋_GB2312"/>
          <w:kern w:val="0"/>
          <w:sz w:val="32"/>
          <w:szCs w:val="32"/>
          <w:u w:val="single"/>
          <w:lang w:val="en-US"/>
        </w:rPr>
      </w:pPr>
      <w:r>
        <w:rPr>
          <w:rFonts w:hint="eastAsia" w:ascii="仿宋_GB2312" w:hAnsi="仿宋_GB2312" w:eastAsia="仿宋_GB2312" w:cs="仿宋_GB2312"/>
          <w:kern w:val="0"/>
          <w:sz w:val="32"/>
          <w:szCs w:val="32"/>
          <w:lang w:val="en-US"/>
        </w:rPr>
        <w:t>根据《中华人民共和国行政处罚法》第七十二条规定，当事人逾期不履行本处罚决定的，我局将每日按罚款额的百分之三加处罚款，并依照《中华人民共和国行政强制法》的规定申请人民法院强制执行。</w:t>
      </w:r>
    </w:p>
    <w:p>
      <w:pPr>
        <w:pStyle w:val="3"/>
        <w:keepNext w:val="0"/>
        <w:keepLines w:val="0"/>
        <w:pageBreakBefore w:val="0"/>
        <w:widowControl w:val="0"/>
        <w:numPr>
          <w:ilvl w:val="0"/>
          <w:numId w:val="0"/>
        </w:numPr>
        <w:tabs>
          <w:tab w:val="left" w:pos="7982"/>
        </w:tabs>
        <w:kinsoku/>
        <w:wordWrap/>
        <w:overflowPunct/>
        <w:topLinePunct w:val="0"/>
        <w:autoSpaceDE w:val="0"/>
        <w:autoSpaceDN w:val="0"/>
        <w:bidi w:val="0"/>
        <w:adjustRightInd/>
        <w:snapToGrid/>
        <w:spacing w:line="520" w:lineRule="exact"/>
        <w:ind w:leftChars="0" w:right="0" w:rightChars="0"/>
        <w:jc w:val="both"/>
        <w:textAlignment w:val="auto"/>
        <w:rPr>
          <w:rFonts w:hint="eastAsia" w:ascii="仿宋_GB2312" w:hAnsi="仿宋_GB2312" w:eastAsia="仿宋_GB2312" w:cs="仿宋_GB2312"/>
          <w:kern w:val="0"/>
          <w:sz w:val="32"/>
          <w:szCs w:val="32"/>
          <w:lang w:val="en-US" w:eastAsia="zh-CN"/>
        </w:rPr>
      </w:pPr>
    </w:p>
    <w:p>
      <w:pPr>
        <w:pStyle w:val="3"/>
        <w:keepNext w:val="0"/>
        <w:keepLines w:val="0"/>
        <w:pageBreakBefore w:val="0"/>
        <w:widowControl w:val="0"/>
        <w:numPr>
          <w:ilvl w:val="0"/>
          <w:numId w:val="0"/>
        </w:numPr>
        <w:tabs>
          <w:tab w:val="left" w:pos="7982"/>
        </w:tabs>
        <w:kinsoku/>
        <w:wordWrap/>
        <w:overflowPunct/>
        <w:topLinePunct w:val="0"/>
        <w:autoSpaceDE w:val="0"/>
        <w:autoSpaceDN w:val="0"/>
        <w:bidi w:val="0"/>
        <w:adjustRightInd/>
        <w:snapToGrid/>
        <w:spacing w:line="520" w:lineRule="exact"/>
        <w:ind w:leftChars="0" w:right="0" w:rightChars="0"/>
        <w:jc w:val="both"/>
        <w:textAlignment w:val="auto"/>
        <w:rPr>
          <w:rFonts w:hint="eastAsia" w:ascii="仿宋_GB2312" w:hAnsi="仿宋_GB2312" w:eastAsia="仿宋_GB2312" w:cs="仿宋_GB2312"/>
          <w:kern w:val="0"/>
          <w:sz w:val="32"/>
          <w:szCs w:val="32"/>
          <w:lang w:val="en-US" w:eastAsia="zh-CN"/>
        </w:rPr>
      </w:pP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20" w:lineRule="exact"/>
        <w:ind w:right="964"/>
        <w:jc w:val="right"/>
        <w:textAlignment w:val="auto"/>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kern w:val="0"/>
          <w:sz w:val="32"/>
          <w:szCs w:val="32"/>
          <w:lang w:val="en-US"/>
        </w:rPr>
        <w:t>广州市生态环境局</w:t>
      </w: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20" w:lineRule="exact"/>
        <w:ind w:right="964"/>
        <w:jc w:val="center"/>
        <w:textAlignment w:val="auto"/>
        <w:rPr>
          <w:highlight w:val="none"/>
          <w:u w:val="none"/>
        </w:rPr>
      </w:pPr>
      <w:r>
        <w:rPr>
          <w:rFonts w:hint="eastAsia" w:ascii="仿宋_GB2312" w:hAnsi="仿宋_GB2312" w:eastAsia="仿宋_GB2312" w:cs="仿宋_GB2312"/>
          <w:kern w:val="0"/>
          <w:sz w:val="32"/>
          <w:szCs w:val="32"/>
          <w:lang w:val="en-US" w:eastAsia="zh-CN"/>
        </w:rPr>
        <w:t xml:space="preserve">                                   2021</w:t>
      </w:r>
      <w:r>
        <w:rPr>
          <w:rFonts w:hint="eastAsia" w:ascii="仿宋_GB2312" w:hAnsi="仿宋_GB2312" w:eastAsia="仿宋_GB2312" w:cs="仿宋_GB2312"/>
          <w:kern w:val="0"/>
          <w:sz w:val="32"/>
          <w:szCs w:val="32"/>
          <w:lang w:val="en-US"/>
        </w:rPr>
        <w:t>年</w:t>
      </w:r>
      <w:r>
        <w:rPr>
          <w:rFonts w:hint="eastAsia" w:ascii="仿宋_GB2312" w:hAnsi="仿宋_GB2312" w:eastAsia="仿宋_GB2312" w:cs="仿宋_GB2312"/>
          <w:kern w:val="0"/>
          <w:sz w:val="32"/>
          <w:szCs w:val="32"/>
          <w:lang w:val="en-US" w:eastAsia="zh-CN"/>
        </w:rPr>
        <w:t>9</w:t>
      </w:r>
      <w:r>
        <w:rPr>
          <w:rFonts w:hint="eastAsia" w:ascii="仿宋_GB2312" w:hAnsi="仿宋_GB2312" w:eastAsia="仿宋_GB2312" w:cs="仿宋_GB2312"/>
          <w:kern w:val="0"/>
          <w:sz w:val="32"/>
          <w:szCs w:val="32"/>
          <w:lang w:val="en-US"/>
        </w:rPr>
        <w:t>月</w:t>
      </w:r>
      <w:r>
        <w:rPr>
          <w:rFonts w:hint="eastAsia" w:ascii="仿宋_GB2312" w:hAnsi="仿宋_GB2312" w:eastAsia="仿宋_GB2312" w:cs="仿宋_GB2312"/>
          <w:kern w:val="0"/>
          <w:sz w:val="32"/>
          <w:szCs w:val="32"/>
          <w:highlight w:val="none"/>
          <w:lang w:val="en-US" w:eastAsia="zh-CN"/>
        </w:rPr>
        <w:t>23</w:t>
      </w:r>
      <w:r>
        <w:rPr>
          <w:rFonts w:hint="eastAsia" w:ascii="仿宋_GB2312" w:hAnsi="仿宋_GB2312" w:eastAsia="仿宋_GB2312" w:cs="仿宋_GB2312"/>
          <w:kern w:val="0"/>
          <w:sz w:val="32"/>
          <w:szCs w:val="32"/>
          <w:highlight w:val="none"/>
          <w:lang w:val="en-US"/>
        </w:rPr>
        <w:t>日</w:t>
      </w:r>
    </w:p>
    <w:sectPr>
      <w:footerReference r:id="rId4" w:type="first"/>
      <w:footerReference r:id="rId3" w:type="default"/>
      <w:pgSz w:w="11906" w:h="16838"/>
      <w:pgMar w:top="2098" w:right="1474" w:bottom="1587" w:left="1587" w:header="851" w:footer="1474" w:gutter="0"/>
      <w:pgBorders>
        <w:top w:val="none" w:sz="0" w:space="0"/>
        <w:left w:val="none" w:sz="0" w:space="0"/>
        <w:bottom w:val="none" w:sz="0" w:space="0"/>
        <w:right w:val="none" w:sz="0" w:space="0"/>
      </w:pgBorders>
      <w:pgNumType w:fmt="decimal" w:start="1"/>
      <w:cols w:space="0" w:num="1"/>
      <w:titlePg/>
      <w:rtlGutter w:val="0"/>
      <w:docGrid w:type="linesAndChars" w:linePitch="579" w:charSpace="-18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CE">
    <w:altName w:val="Courier New"/>
    <w:panose1 w:val="00000000000000000000"/>
    <w:charset w:val="EE"/>
    <w:family w:val="swiss"/>
    <w:pitch w:val="default"/>
    <w:sig w:usb0="00000000" w:usb1="00000000" w:usb2="00000000" w:usb3="00000000" w:csb0="00000002"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
    <w:altName w:val="宋体"/>
    <w:panose1 w:val="00000000000000000000"/>
    <w:charset w:val="00"/>
    <w:family w:val="auto"/>
    <w:pitch w:val="default"/>
    <w:sig w:usb0="00000000" w:usb1="00000000" w:usb2="00000000" w:usb3="00000000" w:csb0="00040001" w:csb1="00000000"/>
  </w:font>
  <w:font w:name="Courier New">
    <w:panose1 w:val="02070309020205020404"/>
    <w:charset w:val="EE"/>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4"/>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265656"/>
    <w:multiLevelType w:val="singleLevel"/>
    <w:tmpl w:val="C5265656"/>
    <w:lvl w:ilvl="0" w:tentative="0">
      <w:start w:val="1"/>
      <w:numFmt w:val="chineseCounting"/>
      <w:suff w:val="nothing"/>
      <w:lvlText w:val="%1、"/>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0866C2"/>
    <w:rsid w:val="002E47AE"/>
    <w:rsid w:val="037B165A"/>
    <w:rsid w:val="042E4ABE"/>
    <w:rsid w:val="061C17E8"/>
    <w:rsid w:val="06D43381"/>
    <w:rsid w:val="08CE223F"/>
    <w:rsid w:val="097E2A01"/>
    <w:rsid w:val="0C812ABC"/>
    <w:rsid w:val="0D8F784B"/>
    <w:rsid w:val="0EE059AD"/>
    <w:rsid w:val="16423E59"/>
    <w:rsid w:val="18A95050"/>
    <w:rsid w:val="1A642E58"/>
    <w:rsid w:val="1AAD08FA"/>
    <w:rsid w:val="1F4B21B5"/>
    <w:rsid w:val="202757FA"/>
    <w:rsid w:val="206F2007"/>
    <w:rsid w:val="240866C2"/>
    <w:rsid w:val="24303317"/>
    <w:rsid w:val="24AF387E"/>
    <w:rsid w:val="27FA42A3"/>
    <w:rsid w:val="2A896D01"/>
    <w:rsid w:val="2B34606A"/>
    <w:rsid w:val="2BBB56B5"/>
    <w:rsid w:val="2C003E7D"/>
    <w:rsid w:val="2D4113EF"/>
    <w:rsid w:val="2D6B6CD8"/>
    <w:rsid w:val="32F86059"/>
    <w:rsid w:val="33624A8F"/>
    <w:rsid w:val="339A7CD0"/>
    <w:rsid w:val="354B611B"/>
    <w:rsid w:val="3574490A"/>
    <w:rsid w:val="364E7F10"/>
    <w:rsid w:val="36AE0FE2"/>
    <w:rsid w:val="36C870C4"/>
    <w:rsid w:val="374D3093"/>
    <w:rsid w:val="37A271E0"/>
    <w:rsid w:val="38F42AF1"/>
    <w:rsid w:val="394771CA"/>
    <w:rsid w:val="3B2D4DBE"/>
    <w:rsid w:val="3B7D45F9"/>
    <w:rsid w:val="3BE9328D"/>
    <w:rsid w:val="3C165DE2"/>
    <w:rsid w:val="3C4A1FD5"/>
    <w:rsid w:val="3CD06325"/>
    <w:rsid w:val="3CE77E75"/>
    <w:rsid w:val="3D1D1709"/>
    <w:rsid w:val="3F034600"/>
    <w:rsid w:val="3F073E60"/>
    <w:rsid w:val="3FB37C1A"/>
    <w:rsid w:val="405C29A5"/>
    <w:rsid w:val="46992D14"/>
    <w:rsid w:val="479802F2"/>
    <w:rsid w:val="479B0744"/>
    <w:rsid w:val="47BD27EF"/>
    <w:rsid w:val="4A255026"/>
    <w:rsid w:val="4B8C523D"/>
    <w:rsid w:val="4CD56ED8"/>
    <w:rsid w:val="4FE5550C"/>
    <w:rsid w:val="51966304"/>
    <w:rsid w:val="533A57BE"/>
    <w:rsid w:val="56DB09D8"/>
    <w:rsid w:val="58A4031C"/>
    <w:rsid w:val="58DF2354"/>
    <w:rsid w:val="5A612936"/>
    <w:rsid w:val="5AD03F4E"/>
    <w:rsid w:val="63BA4851"/>
    <w:rsid w:val="64582203"/>
    <w:rsid w:val="66E76AA8"/>
    <w:rsid w:val="6A6930F0"/>
    <w:rsid w:val="6BC041CD"/>
    <w:rsid w:val="6F3F118A"/>
    <w:rsid w:val="73EE4748"/>
    <w:rsid w:val="756C1B4E"/>
    <w:rsid w:val="75D8377E"/>
    <w:rsid w:val="76975649"/>
    <w:rsid w:val="787F2185"/>
    <w:rsid w:val="791B7F86"/>
    <w:rsid w:val="79AE6349"/>
    <w:rsid w:val="7BE05C65"/>
    <w:rsid w:val="7BEE5DAA"/>
    <w:rsid w:val="7CCE4EED"/>
    <w:rsid w:val="7E924DD4"/>
    <w:rsid w:val="7EB317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eastAsia" w:ascii="Times New Roman" w:hAnsi="Times New Roman" w:eastAsia="Calibri CE" w:cs="Times New Roman"/>
      <w:kern w:val="2"/>
      <w:sz w:val="32"/>
      <w:lang w:val="en-US" w:eastAsia="zh-CN"/>
    </w:rPr>
  </w:style>
  <w:style w:type="paragraph" w:styleId="2">
    <w:name w:val="heading 1"/>
    <w:basedOn w:val="1"/>
    <w:next w:val="1"/>
    <w:qFormat/>
    <w:uiPriority w:val="0"/>
    <w:pPr>
      <w:keepNext/>
      <w:keepLines/>
      <w:spacing w:before="50" w:beforeLines="0" w:beforeAutospacing="0" w:afterLines="0" w:afterAutospacing="0" w:line="240" w:lineRule="auto"/>
      <w:ind w:firstLine="0" w:firstLineChars="0"/>
      <w:jc w:val="center"/>
      <w:outlineLvl w:val="0"/>
    </w:pPr>
    <w:rPr>
      <w:rFonts w:eastAsia="方正小标宋简体"/>
      <w:kern w:val="44"/>
      <w:sz w:val="32"/>
    </w:rPr>
  </w:style>
  <w:style w:type="character" w:default="1" w:styleId="8">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Body Text"/>
    <w:qFormat/>
    <w:uiPriority w:val="0"/>
    <w:pPr>
      <w:widowControl w:val="0"/>
      <w:autoSpaceDE w:val="0"/>
      <w:autoSpaceDN w:val="0"/>
    </w:pPr>
    <w:rPr>
      <w:rFonts w:ascii="宋体" w:hAnsi="宋体" w:eastAsia="宋体" w:cs="宋体"/>
      <w:sz w:val="30"/>
      <w:szCs w:val="30"/>
      <w:lang w:val="zh-CN"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table" w:styleId="7">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9">
    <w:name w:val="Hyperlink"/>
    <w:basedOn w:val="8"/>
    <w:qFormat/>
    <w:uiPriority w:val="0"/>
    <w:rPr>
      <w:color w:val="0000FF"/>
      <w:u w:val="single"/>
    </w:rPr>
  </w:style>
  <w:style w:type="paragraph" w:customStyle="1" w:styleId="10">
    <w:name w:val="Normal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hint="eastAsia" w:ascii="Times New Roman" w:hAnsi="Times New Roman" w:eastAsia="宋体" w:cs="Times New Roman"/>
      <w:kern w:val="2"/>
      <w:sz w:val="21"/>
      <w:lang w:val="en-US" w:eastAsia="zh-CN"/>
    </w:rPr>
  </w:style>
  <w:style w:type="paragraph" w:customStyle="1" w:styleId="1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15"/>
      <w:szCs w:val="24"/>
      <w:lang w:val="en-US" w:eastAsia="zh-CN" w:bidi="ar-SA"/>
    </w:rPr>
  </w:style>
  <w:style w:type="paragraph" w:customStyle="1" w:styleId="12">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
    <w:name w:val="正文 New New New New New New New New New New New New New New New New New New New New New New New New New New New New New New New New New New New New New New New New New New New New New New New New New New New New New New New New New New New New New New Ne1"/>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2021-05-13T02:27:00Z</dcterms:created>
  <dc:creator>刘倩</dc:creator>
  <cp:lastModifiedBy>Administrator</cp:lastModifiedBy>
  <dcterms:modified xsi:type="dcterms:W3CDTF">2021-09-24T02:01:30Z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967105BA297E4BC38847A6B5559FE551</vt:lpwstr>
  </property>
</Properties>
</file>