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yellow"/>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lang w:val="en-US" w:eastAsia="zh-CN"/>
        </w:rPr>
        <w:t>38</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lang w:val="en-US" w:eastAsia="zh-CN"/>
        </w:rPr>
      </w:pPr>
      <w:r>
        <w:rPr>
          <w:rFonts w:hint="eastAsia" w:ascii="仿宋_GB2312" w:hAnsi="仿宋_GB2312" w:eastAsia="仿宋_GB2312" w:cs="仿宋_GB2312"/>
          <w:spacing w:val="-1"/>
          <w:kern w:val="0"/>
          <w:sz w:val="32"/>
          <w:szCs w:val="32"/>
        </w:rPr>
        <w:t>当事人：广州市南沙区大岗明志汽车修配厂</w:t>
      </w:r>
      <w:r>
        <w:rPr>
          <w:rFonts w:hint="eastAsia" w:ascii="仿宋_GB2312" w:hAnsi="仿宋_GB2312" w:eastAsia="仿宋_GB2312" w:cs="仿宋_GB2312"/>
          <w:spacing w:val="-1"/>
          <w:kern w:val="0"/>
          <w:sz w:val="32"/>
          <w:szCs w:val="32"/>
          <w:lang w:val="en-US" w:eastAsia="zh-CN"/>
        </w:rPr>
        <w:t>（经营者：郭启明）</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u w:val="none"/>
          <w:lang w:val="en-US" w:eastAsia="zh-CN" w:bidi="ar-SA"/>
        </w:rPr>
      </w:pPr>
      <w:r>
        <w:rPr>
          <w:rFonts w:hint="default" w:ascii="仿宋_GB2312" w:eastAsia="仿宋_GB2312"/>
          <w:szCs w:val="32"/>
          <w:u w:val="none"/>
          <w:lang w:val="en-US" w:eastAsia="zh-CN" w:bidi="ar-SA"/>
        </w:rPr>
        <w:t>2005年11月，当事人建成并投产机动车维修项目,主要从事汽车美容维修。项目主要生产设备有：升降台8个、漆房1个及辅助维修工具一批等。主要</w:t>
      </w:r>
      <w:bookmarkStart w:id="0" w:name="_GoBack"/>
      <w:bookmarkEnd w:id="0"/>
      <w:r>
        <w:rPr>
          <w:rFonts w:hint="default" w:ascii="仿宋_GB2312" w:eastAsia="仿宋_GB2312"/>
          <w:szCs w:val="32"/>
          <w:u w:val="none"/>
          <w:lang w:val="en-US" w:eastAsia="zh-CN" w:bidi="ar-SA"/>
        </w:rPr>
        <w:t>工艺流程为：汽车→进入升降台→维修→补漆→交车。产生的主要污染物为：喷漆有机废气、清洗废水，其中，喷漆有机废气配套“活性炭漆雾处理箱+活性炭过滤棉”处理后高空排放,清洗废水经滤池处理后排放。产生的危险废物有：废稀释剂桶、废油漆桶、废固化剂桶、废活性炭、废过滤棉、废漆渣、废机油。</w:t>
      </w:r>
    </w:p>
    <w:p>
      <w:pPr>
        <w:snapToGrid w:val="0"/>
        <w:spacing w:line="560" w:lineRule="atLeast"/>
        <w:ind w:firstLine="622"/>
        <w:rPr>
          <w:rFonts w:hint="default" w:ascii="仿宋_GB2312" w:eastAsia="仿宋_GB2312"/>
          <w:szCs w:val="32"/>
          <w:u w:val="none"/>
          <w:lang w:val="en-US" w:eastAsia="zh-CN" w:bidi="ar-SA"/>
        </w:rPr>
      </w:pPr>
      <w:r>
        <w:rPr>
          <w:rFonts w:hint="default" w:ascii="仿宋_GB2312" w:eastAsia="仿宋_GB2312"/>
          <w:szCs w:val="32"/>
          <w:u w:val="none"/>
          <w:lang w:val="en-US" w:eastAsia="zh-CN" w:bidi="ar-SA"/>
        </w:rPr>
        <w:t>2021年4月14日、4月15日，我局执法人员对当事人进行调查时发现，当事人存在以下事实情形：当事人擅自将约9.6千克废稀释剂桶（HW49）、废油漆桶（HW49）、废固化剂桶（HW49）倾倒至广州市南沙区灵岗路旁的平稳村露天生活垃圾中转站，4月21日，当事人委托东莞中普环境科技有限公司应急处置上述危险废物。当事人上述行为构成擅自倾倒危险废物。</w:t>
      </w:r>
    </w:p>
    <w:p>
      <w:pPr>
        <w:snapToGrid w:val="0"/>
        <w:spacing w:line="560" w:lineRule="atLeast"/>
        <w:ind w:firstLine="622"/>
        <w:rPr>
          <w:rFonts w:hint="default" w:ascii="仿宋_GB2312" w:eastAsia="仿宋_GB2312"/>
          <w:szCs w:val="32"/>
          <w:u w:val="none"/>
          <w:lang w:val="en-US" w:eastAsia="zh-CN" w:bidi="ar-SA"/>
        </w:rPr>
      </w:pPr>
      <w:r>
        <w:rPr>
          <w:rFonts w:hint="default" w:ascii="仿宋_GB2312" w:eastAsia="仿宋_GB2312"/>
          <w:szCs w:val="32"/>
          <w:u w:val="none"/>
          <w:lang w:val="en-US" w:eastAsia="zh-CN" w:bidi="ar-SA"/>
        </w:rPr>
        <w:t>以上事实有《现场检查笔录》、《调查询问笔录》、现场检查照片、《关于广州市南沙区大岗明志汽车修配厂危险废物处置情况说明》等证据材料予以证实。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当事人上述行为违反了《中华人民共和国固体废物污染环境防治法》第七十九条的规定。我局于2021年7月3日向当事人送达《行政处罚听证告知书》（南环听告字〔2021〕51号），告知当事人拟作出的处罚内容及事实、理由、依据，并告知了陈述、申辩和要求听证的权利。当事人于2021年7月9日向我局提出书面陈述、申辩意见。当事人提出的主要陈述、申辩意见如下：一、我司因疏于管理，导致了倾倒危险废物违法行为的发生；二、2021年1月29日，我司与东莞中普环境科技有限公司签订了《危险废物处置服务合同》，案涉危险废物的种类（废物代码：900-041-49）及数量（9.6公斤）包含在该合同范围内，因此我司没必要违法倾倒。三、我司属小微企业，因受疫情影响，公司业绩严重下滑。我司系初犯且已整改，希望贵局能大幅度减免处罚金额。</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审议，我局认为：一、根据上述危废处置合同中关于“合同费用结算的费用”的规定，处置费用按梯度收费，超出合同约定部分需另外收费，并不包含在合同范围内，因此，不能因当事人签订了处置合同就认定其不存在主观故意。二、我局已综合考虑当事人的违法情节、整改情况、经济承受度等，作出法定最低罚款额度60万的处罚决定，处罚内容适当。因此，我局对当事人的申辩意见不予采纳。</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综上所述，当事人确有擅自倾倒危险废物的违法行为，应当予以处罚，当事人提出的申辩意见不影响本案定性，我局决定对当事人的申辩意见不予采纳。现本案经我局审查结束。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根据《中华人民共和国固体废物污染环境防治法》第一百一十二条第一款第三项、第二款及《广州市规范生态环境行政处罚自由裁量权规定》第15.18.4项的规定，我局现对当事人作出如下行政处罚：</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2、处罚款60万元（陆拾万元）。</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东莞银行、江西银行、广东南粤银行、长沙银行），收入项目编码：3124。</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（印章） </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u w:val="none"/>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en-US"/>
        </w:rPr>
        <w:t>月</w:t>
      </w:r>
      <w:r>
        <w:rPr>
          <w:rFonts w:hint="eastAsia" w:ascii="仿宋_GB2312" w:hAnsi="仿宋_GB2312" w:eastAsia="仿宋_GB2312" w:cs="仿宋_GB2312"/>
          <w:kern w:val="0"/>
          <w:sz w:val="32"/>
          <w:szCs w:val="32"/>
          <w:highlight w:val="none"/>
          <w:lang w:val="en-US" w:eastAsia="zh-CN"/>
        </w:rPr>
        <w:t>16</w:t>
      </w:r>
      <w:r>
        <w:rPr>
          <w:rFonts w:hint="eastAsia" w:ascii="仿宋_GB2312" w:hAnsi="仿宋_GB2312" w:eastAsia="仿宋_GB2312" w:cs="仿宋_GB2312"/>
          <w:kern w:val="0"/>
          <w:sz w:val="32"/>
          <w:szCs w:val="32"/>
          <w:highlight w:val="none"/>
          <w:lang w:val="en-US"/>
        </w:rPr>
        <w:t>日</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4FB3091"/>
    <w:rsid w:val="05274BA8"/>
    <w:rsid w:val="061C17E8"/>
    <w:rsid w:val="06D43381"/>
    <w:rsid w:val="08CE223F"/>
    <w:rsid w:val="097E2A01"/>
    <w:rsid w:val="0C812ABC"/>
    <w:rsid w:val="0D8F784B"/>
    <w:rsid w:val="0EE059AD"/>
    <w:rsid w:val="15377ADB"/>
    <w:rsid w:val="16423E59"/>
    <w:rsid w:val="18A95050"/>
    <w:rsid w:val="1A642E58"/>
    <w:rsid w:val="1AAD08FA"/>
    <w:rsid w:val="202757FA"/>
    <w:rsid w:val="206F2007"/>
    <w:rsid w:val="240866C2"/>
    <w:rsid w:val="24303317"/>
    <w:rsid w:val="24AF387E"/>
    <w:rsid w:val="27FA42A3"/>
    <w:rsid w:val="2B34606A"/>
    <w:rsid w:val="2BBB56B5"/>
    <w:rsid w:val="2C003E7D"/>
    <w:rsid w:val="2D4113EF"/>
    <w:rsid w:val="2D6B6CD8"/>
    <w:rsid w:val="2E152645"/>
    <w:rsid w:val="32F86059"/>
    <w:rsid w:val="339A7CD0"/>
    <w:rsid w:val="354B611B"/>
    <w:rsid w:val="3574490A"/>
    <w:rsid w:val="362F2FAB"/>
    <w:rsid w:val="364E7F10"/>
    <w:rsid w:val="36AE0FE2"/>
    <w:rsid w:val="36C870C4"/>
    <w:rsid w:val="37A271E0"/>
    <w:rsid w:val="38F42AF1"/>
    <w:rsid w:val="394771CA"/>
    <w:rsid w:val="3B2D4DBE"/>
    <w:rsid w:val="3B7D45F9"/>
    <w:rsid w:val="3BE9328D"/>
    <w:rsid w:val="3C165DE2"/>
    <w:rsid w:val="3CD06325"/>
    <w:rsid w:val="3CE77E75"/>
    <w:rsid w:val="3D1D1709"/>
    <w:rsid w:val="3F034600"/>
    <w:rsid w:val="3FB37C1A"/>
    <w:rsid w:val="405C29A5"/>
    <w:rsid w:val="41EE5B90"/>
    <w:rsid w:val="479802F2"/>
    <w:rsid w:val="47BD27EF"/>
    <w:rsid w:val="4B8C523D"/>
    <w:rsid w:val="4C1B3383"/>
    <w:rsid w:val="4C313761"/>
    <w:rsid w:val="4C44310F"/>
    <w:rsid w:val="4CD56ED8"/>
    <w:rsid w:val="4FE5550C"/>
    <w:rsid w:val="51966304"/>
    <w:rsid w:val="533A57BE"/>
    <w:rsid w:val="56DB09D8"/>
    <w:rsid w:val="58A4031C"/>
    <w:rsid w:val="58DF2354"/>
    <w:rsid w:val="5A612936"/>
    <w:rsid w:val="5AD03F4E"/>
    <w:rsid w:val="63BA4851"/>
    <w:rsid w:val="64582203"/>
    <w:rsid w:val="66E76AA8"/>
    <w:rsid w:val="6A6930F0"/>
    <w:rsid w:val="6BC041CD"/>
    <w:rsid w:val="6F3F118A"/>
    <w:rsid w:val="73EE4748"/>
    <w:rsid w:val="756C1B4E"/>
    <w:rsid w:val="75D8377E"/>
    <w:rsid w:val="76975649"/>
    <w:rsid w:val="787F2185"/>
    <w:rsid w:val="791B7F86"/>
    <w:rsid w:val="79603058"/>
    <w:rsid w:val="79AE6349"/>
    <w:rsid w:val="7A972F4D"/>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Administrator</cp:lastModifiedBy>
  <dcterms:modified xsi:type="dcterms:W3CDTF">2021-09-24T02:00:45Z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