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仿宋_GB2312" w:hAnsi="仿宋_GB2312" w:eastAsia="仿宋_GB2312" w:cs="仿宋_GB2312"/>
          <w:szCs w:val="32"/>
        </w:rPr>
      </w:pPr>
    </w:p>
    <w:p>
      <w:pPr>
        <w:spacing w:line="520" w:lineRule="atLeast"/>
        <w:rPr>
          <w:rFonts w:hint="default" w:ascii="仿宋_GB2312" w:eastAsia="仿宋_GB2312"/>
          <w:szCs w:val="32"/>
        </w:rPr>
      </w:pPr>
    </w:p>
    <w:p>
      <w:pPr>
        <w:pStyle w:val="5"/>
        <w:snapToGrid w:val="0"/>
        <w:spacing w:line="520" w:lineRule="atLeast"/>
        <w:jc w:val="center"/>
        <w:rPr>
          <w:rFonts w:hint="default" w:ascii="方正小标宋" w:hAnsi="方正小标宋" w:eastAsia="方正小标宋" w:cs="方正小标宋"/>
          <w:b/>
          <w:bCs/>
          <w:sz w:val="44"/>
          <w:szCs w:val="44"/>
        </w:rPr>
      </w:pPr>
      <w:r>
        <w:rPr>
          <w:rFonts w:ascii="方正小标宋" w:hAnsi="方正小标宋" w:eastAsia="方正小标宋" w:cs="方正小标宋"/>
          <w:b/>
          <w:bCs/>
          <w:sz w:val="44"/>
          <w:szCs w:val="44"/>
        </w:rPr>
        <w:t>行 政 处 罚 决 定 书</w:t>
      </w:r>
    </w:p>
    <w:p>
      <w:pPr>
        <w:tabs>
          <w:tab w:val="center" w:pos="4416"/>
          <w:tab w:val="left" w:pos="7036"/>
        </w:tabs>
        <w:snapToGrid w:val="0"/>
        <w:spacing w:line="520" w:lineRule="atLeast"/>
        <w:jc w:val="left"/>
        <w:rPr>
          <w:rFonts w:hint="default" w:ascii="仿宋_GB2312" w:eastAsia="仿宋_GB2312"/>
          <w:szCs w:val="32"/>
        </w:rPr>
      </w:pPr>
      <w:r>
        <w:rPr>
          <w:rFonts w:ascii="仿宋_GB2312" w:hAnsi="仿宋_GB2312" w:eastAsia="仿宋_GB2312" w:cs="仿宋_GB2312"/>
          <w:szCs w:val="32"/>
        </w:rPr>
        <w:tab/>
      </w:r>
      <w:r>
        <w:rPr>
          <w:rFonts w:ascii="仿宋_GB2312" w:hAnsi="仿宋_GB2312" w:eastAsia="仿宋_GB2312" w:cs="仿宋_GB2312"/>
          <w:szCs w:val="32"/>
        </w:rPr>
        <w:t>南环罚字〔2021〕20号</w:t>
      </w:r>
      <w:r>
        <w:rPr>
          <w:rFonts w:ascii="仿宋_GB2312" w:hAnsi="仿宋_GB2312" w:eastAsia="仿宋_GB2312" w:cs="仿宋_GB2312"/>
          <w:szCs w:val="32"/>
        </w:rPr>
        <w:tab/>
      </w:r>
    </w:p>
    <w:p>
      <w:pPr>
        <w:pStyle w:val="6"/>
        <w:snapToGrid w:val="0"/>
        <w:spacing w:line="520" w:lineRule="atLeast"/>
        <w:rPr>
          <w:rFonts w:ascii="仿宋_GB2312" w:eastAsia="仿宋_GB2312"/>
          <w:sz w:val="32"/>
          <w:szCs w:val="30"/>
        </w:rPr>
      </w:pPr>
    </w:p>
    <w:p>
      <w:pPr>
        <w:pStyle w:val="7"/>
        <w:snapToGrid w:val="0"/>
        <w:spacing w:line="520" w:lineRule="atLeast"/>
        <w:rPr>
          <w:rFonts w:ascii="仿宋_GB2312" w:eastAsia="仿宋_GB2312"/>
          <w:sz w:val="32"/>
          <w:szCs w:val="32"/>
        </w:rPr>
      </w:pPr>
      <w:r>
        <w:rPr>
          <w:rFonts w:ascii="仿宋_GB2312" w:eastAsia="仿宋_GB2312"/>
          <w:sz w:val="32"/>
          <w:szCs w:val="32"/>
        </w:rPr>
        <w:t>当事人：广州中滔绿由环保科技有限公司</w:t>
      </w:r>
    </w:p>
    <w:p>
      <w:pPr>
        <w:pStyle w:val="7"/>
        <w:snapToGrid w:val="0"/>
        <w:spacing w:line="520" w:lineRule="atLeast"/>
        <w:rPr>
          <w:rFonts w:hint="eastAsia" w:ascii="仿宋_GB2312" w:eastAsia="仿宋_GB2312"/>
          <w:sz w:val="32"/>
          <w:szCs w:val="32"/>
        </w:rPr>
      </w:pPr>
    </w:p>
    <w:p>
      <w:pPr>
        <w:pStyle w:val="7"/>
        <w:snapToGrid w:val="0"/>
        <w:spacing w:line="520" w:lineRule="atLeast"/>
        <w:rPr>
          <w:rFonts w:hint="eastAsia" w:ascii="仿宋_GB2312" w:eastAsia="仿宋_GB2312"/>
          <w:sz w:val="32"/>
          <w:szCs w:val="32"/>
        </w:rPr>
      </w:pPr>
    </w:p>
    <w:p>
      <w:pPr>
        <w:pStyle w:val="7"/>
        <w:snapToGrid w:val="0"/>
        <w:spacing w:line="520" w:lineRule="atLeast"/>
        <w:rPr>
          <w:rFonts w:hint="eastAsia" w:ascii="仿宋_GB2312" w:eastAsia="仿宋_GB2312"/>
          <w:sz w:val="32"/>
          <w:szCs w:val="32"/>
        </w:rPr>
      </w:pPr>
    </w:p>
    <w:p>
      <w:pPr>
        <w:pStyle w:val="7"/>
        <w:snapToGrid w:val="0"/>
        <w:spacing w:line="520" w:lineRule="atLeast"/>
        <w:rPr>
          <w:rFonts w:ascii="仿宋_GB2312" w:eastAsia="仿宋_GB2312"/>
          <w:sz w:val="32"/>
          <w:szCs w:val="32"/>
        </w:rPr>
      </w:pPr>
      <w:r>
        <w:rPr>
          <w:rFonts w:hint="eastAsia" w:ascii="仿宋_GB2312" w:eastAsia="仿宋_GB2312"/>
          <w:sz w:val="32"/>
          <w:szCs w:val="32"/>
        </w:rPr>
        <w:t xml:space="preserve">    一、环境违法事实和证据</w:t>
      </w:r>
    </w:p>
    <w:p>
      <w:pPr>
        <w:spacing w:line="560" w:lineRule="atLeast"/>
        <w:ind w:firstLine="624" w:firstLineChars="200"/>
        <w:rPr>
          <w:rFonts w:hint="default" w:ascii="仿宋_GB2312" w:hAnsi="仿宋_GB2312" w:eastAsia="仿宋_GB2312" w:cs="仿宋_GB2312"/>
          <w:szCs w:val="32"/>
        </w:rPr>
      </w:pPr>
      <w:r>
        <w:rPr>
          <w:rFonts w:ascii="仿宋_GB2312" w:hAnsi="仿宋_GB2312" w:eastAsia="仿宋_GB2312" w:cs="仿宋_GB2312"/>
          <w:szCs w:val="32"/>
        </w:rPr>
        <w:t>经查，当事人从事危险废物经营业务，当事人的</w:t>
      </w:r>
      <w:r>
        <w:rPr>
          <w:rFonts w:hint="default" w:ascii="仿宋_GB2312" w:hAnsi="仿宋_GB2312" w:eastAsia="仿宋_GB2312" w:cs="仿宋_GB2312"/>
          <w:szCs w:val="32"/>
        </w:rPr>
        <w:t>100</w:t>
      </w:r>
      <w:r>
        <w:rPr>
          <w:rFonts w:ascii="仿宋_GB2312" w:hAnsi="仿宋_GB2312" w:eastAsia="仿宋_GB2312" w:cs="仿宋_GB2312"/>
          <w:szCs w:val="32"/>
        </w:rPr>
        <w:t>t热解气化焚烧炉（废气排放口：</w:t>
      </w:r>
      <w:r>
        <w:rPr>
          <w:rFonts w:hint="default" w:ascii="仿宋_GB2312" w:hAnsi="仿宋_GB2312" w:eastAsia="仿宋_GB2312" w:cs="仿宋_GB2312"/>
          <w:szCs w:val="32"/>
        </w:rPr>
        <w:t>DA001</w:t>
      </w:r>
      <w:r>
        <w:rPr>
          <w:rFonts w:ascii="仿宋_GB2312" w:hAnsi="仿宋_GB2312" w:eastAsia="仿宋_GB2312" w:cs="仿宋_GB2312"/>
          <w:szCs w:val="32"/>
        </w:rPr>
        <w:t>）废气经急冷塔＋除酸塔＋活性炭吸附＋布袋除尘器处理后，由</w:t>
      </w:r>
      <w:r>
        <w:rPr>
          <w:rFonts w:hint="default" w:ascii="仿宋_GB2312" w:hAnsi="仿宋_GB2312" w:eastAsia="仿宋_GB2312" w:cs="仿宋_GB2312"/>
          <w:szCs w:val="32"/>
        </w:rPr>
        <w:t>58</w:t>
      </w:r>
      <w:r>
        <w:rPr>
          <w:rFonts w:ascii="仿宋_GB2312" w:hAnsi="仿宋_GB2312" w:eastAsia="仿宋_GB2312" w:cs="仿宋_GB2312"/>
          <w:szCs w:val="32"/>
        </w:rPr>
        <w:t>米高烟囱排放；当事人的</w:t>
      </w:r>
      <w:r>
        <w:rPr>
          <w:rFonts w:hint="default" w:ascii="仿宋_GB2312" w:hAnsi="仿宋_GB2312" w:eastAsia="仿宋_GB2312" w:cs="仿宋_GB2312"/>
          <w:szCs w:val="32"/>
        </w:rPr>
        <w:t>15</w:t>
      </w:r>
      <w:r>
        <w:rPr>
          <w:rFonts w:ascii="仿宋_GB2312" w:hAnsi="仿宋_GB2312" w:eastAsia="仿宋_GB2312" w:cs="仿宋_GB2312"/>
          <w:szCs w:val="32"/>
        </w:rPr>
        <w:t>t热解气化焚烧炉（废气排放口：</w:t>
      </w:r>
      <w:r>
        <w:rPr>
          <w:rFonts w:hint="default" w:ascii="仿宋_GB2312" w:hAnsi="仿宋_GB2312" w:eastAsia="仿宋_GB2312" w:cs="仿宋_GB2312"/>
          <w:szCs w:val="32"/>
        </w:rPr>
        <w:t>DA002</w:t>
      </w:r>
      <w:r>
        <w:rPr>
          <w:rFonts w:ascii="仿宋_GB2312" w:hAnsi="仿宋_GB2312" w:eastAsia="仿宋_GB2312" w:cs="仿宋_GB2312"/>
          <w:szCs w:val="32"/>
        </w:rPr>
        <w:t>）废气经急冷塔＋除酸塔＋活性炭吸附＋布袋除尘器处理后，由</w:t>
      </w:r>
      <w:r>
        <w:rPr>
          <w:rFonts w:hint="default" w:ascii="仿宋_GB2312" w:hAnsi="仿宋_GB2312" w:eastAsia="仿宋_GB2312" w:cs="仿宋_GB2312"/>
          <w:szCs w:val="32"/>
        </w:rPr>
        <w:t>35</w:t>
      </w:r>
      <w:r>
        <w:rPr>
          <w:rFonts w:ascii="仿宋_GB2312" w:hAnsi="仿宋_GB2312" w:eastAsia="仿宋_GB2312" w:cs="仿宋_GB2312"/>
          <w:szCs w:val="32"/>
        </w:rPr>
        <w:t>米高烟囱排放。当事人的废气排放口（</w:t>
      </w:r>
      <w:r>
        <w:rPr>
          <w:rFonts w:hint="default" w:ascii="仿宋_GB2312" w:hAnsi="仿宋_GB2312" w:eastAsia="仿宋_GB2312" w:cs="仿宋_GB2312"/>
          <w:szCs w:val="32"/>
        </w:rPr>
        <w:t>DA001</w:t>
      </w:r>
      <w:r>
        <w:rPr>
          <w:rFonts w:ascii="仿宋_GB2312" w:hAnsi="仿宋_GB2312" w:eastAsia="仿宋_GB2312" w:cs="仿宋_GB2312"/>
          <w:szCs w:val="32"/>
        </w:rPr>
        <w:t>）、（</w:t>
      </w:r>
      <w:r>
        <w:rPr>
          <w:rFonts w:hint="default" w:ascii="仿宋_GB2312" w:hAnsi="仿宋_GB2312" w:eastAsia="仿宋_GB2312" w:cs="仿宋_GB2312"/>
          <w:szCs w:val="32"/>
        </w:rPr>
        <w:t>DA002</w:t>
      </w:r>
      <w:r>
        <w:rPr>
          <w:rFonts w:ascii="仿宋_GB2312" w:hAnsi="仿宋_GB2312" w:eastAsia="仿宋_GB2312" w:cs="仿宋_GB2312"/>
          <w:szCs w:val="32"/>
        </w:rPr>
        <w:t>）处理后排放烟道上分别安装了一套烟气在线分析仪。</w:t>
      </w:r>
      <w:r>
        <w:rPr>
          <w:rFonts w:hint="default" w:ascii="仿宋_GB2312" w:hAnsi="仿宋_GB2312" w:eastAsia="仿宋_GB2312" w:cs="仿宋_GB2312"/>
          <w:szCs w:val="32"/>
        </w:rPr>
        <w:t>2020</w:t>
      </w:r>
      <w:r>
        <w:rPr>
          <w:rFonts w:ascii="仿宋_GB2312" w:hAnsi="仿宋_GB2312" w:eastAsia="仿宋_GB2312" w:cs="仿宋_GB2312"/>
          <w:szCs w:val="32"/>
        </w:rPr>
        <w:t>年</w:t>
      </w:r>
      <w:r>
        <w:rPr>
          <w:rFonts w:hint="default" w:ascii="仿宋_GB2312" w:hAnsi="仿宋_GB2312" w:eastAsia="仿宋_GB2312" w:cs="仿宋_GB2312"/>
          <w:szCs w:val="32"/>
        </w:rPr>
        <w:t>12</w:t>
      </w:r>
      <w:r>
        <w:rPr>
          <w:rFonts w:ascii="仿宋_GB2312" w:hAnsi="仿宋_GB2312" w:eastAsia="仿宋_GB2312" w:cs="仿宋_GB2312"/>
          <w:szCs w:val="32"/>
        </w:rPr>
        <w:t>月</w:t>
      </w:r>
      <w:r>
        <w:rPr>
          <w:rFonts w:hint="default" w:ascii="仿宋_GB2312" w:hAnsi="仿宋_GB2312" w:eastAsia="仿宋_GB2312" w:cs="仿宋_GB2312"/>
          <w:szCs w:val="32"/>
        </w:rPr>
        <w:t>18</w:t>
      </w:r>
      <w:r>
        <w:rPr>
          <w:rFonts w:ascii="仿宋_GB2312" w:hAnsi="仿宋_GB2312" w:eastAsia="仿宋_GB2312" w:cs="仿宋_GB2312"/>
          <w:szCs w:val="32"/>
        </w:rPr>
        <w:t>日，</w:t>
      </w:r>
      <w:r>
        <w:rPr>
          <w:rFonts w:hint="default" w:ascii="仿宋_GB2312" w:hAnsi="仿宋_GB2312" w:eastAsia="仿宋_GB2312" w:cs="仿宋_GB2312"/>
          <w:szCs w:val="32"/>
        </w:rPr>
        <w:t>本局</w:t>
      </w:r>
      <w:r>
        <w:rPr>
          <w:rFonts w:ascii="仿宋_GB2312" w:hAnsi="仿宋_GB2312" w:eastAsia="仿宋_GB2312" w:cs="仿宋_GB2312"/>
          <w:szCs w:val="32"/>
        </w:rPr>
        <w:t>委托广州德隆环境检测技术有限公司对当事人废气排放口（</w:t>
      </w:r>
      <w:r>
        <w:rPr>
          <w:rFonts w:hint="default" w:ascii="仿宋_GB2312" w:hAnsi="仿宋_GB2312" w:eastAsia="仿宋_GB2312" w:cs="仿宋_GB2312"/>
          <w:szCs w:val="32"/>
        </w:rPr>
        <w:t>DA001</w:t>
      </w:r>
      <w:r>
        <w:rPr>
          <w:rFonts w:ascii="仿宋_GB2312" w:hAnsi="仿宋_GB2312" w:eastAsia="仿宋_GB2312" w:cs="仿宋_GB2312"/>
          <w:szCs w:val="32"/>
        </w:rPr>
        <w:t>、</w:t>
      </w:r>
      <w:r>
        <w:rPr>
          <w:rFonts w:hint="default" w:ascii="仿宋_GB2312" w:hAnsi="仿宋_GB2312" w:eastAsia="仿宋_GB2312" w:cs="仿宋_GB2312"/>
          <w:szCs w:val="32"/>
        </w:rPr>
        <w:t>DA002</w:t>
      </w:r>
      <w:r>
        <w:rPr>
          <w:rFonts w:ascii="仿宋_GB2312" w:hAnsi="仿宋_GB2312" w:eastAsia="仿宋_GB2312" w:cs="仿宋_GB2312"/>
          <w:szCs w:val="32"/>
        </w:rPr>
        <w:t>）的烟气在线分析仪进行了比对监测，比对监测期间，当事人上述</w:t>
      </w:r>
      <w:r>
        <w:rPr>
          <w:rFonts w:hint="default" w:ascii="仿宋_GB2312" w:hAnsi="仿宋_GB2312" w:eastAsia="仿宋_GB2312" w:cs="仿宋_GB2312"/>
          <w:szCs w:val="32"/>
        </w:rPr>
        <w:t>100</w:t>
      </w:r>
      <w:r>
        <w:rPr>
          <w:rFonts w:ascii="仿宋_GB2312" w:hAnsi="仿宋_GB2312" w:eastAsia="仿宋_GB2312" w:cs="仿宋_GB2312"/>
          <w:szCs w:val="32"/>
        </w:rPr>
        <w:t>t、</w:t>
      </w:r>
      <w:r>
        <w:rPr>
          <w:rFonts w:hint="default" w:ascii="仿宋_GB2312" w:hAnsi="仿宋_GB2312" w:eastAsia="仿宋_GB2312" w:cs="仿宋_GB2312"/>
          <w:szCs w:val="32"/>
        </w:rPr>
        <w:t>15</w:t>
      </w:r>
      <w:r>
        <w:rPr>
          <w:rFonts w:ascii="仿宋_GB2312" w:hAnsi="仿宋_GB2312" w:eastAsia="仿宋_GB2312" w:cs="仿宋_GB2312"/>
          <w:szCs w:val="32"/>
        </w:rPr>
        <w:t>t热解气化焚烧炉正在运行，配套的烟气在线分析仪正在运行。上述比对监测结果显示，氮氧化物比对结果不合格（氮氧化物</w:t>
      </w:r>
      <w:r>
        <w:rPr>
          <w:rFonts w:hint="default" w:ascii="仿宋_GB2312" w:hAnsi="仿宋_GB2312" w:eastAsia="仿宋_GB2312" w:cs="仿宋_GB2312"/>
          <w:szCs w:val="32"/>
        </w:rPr>
        <w:t>CEMS</w:t>
      </w:r>
      <w:r>
        <w:rPr>
          <w:rFonts w:ascii="仿宋_GB2312" w:hAnsi="仿宋_GB2312" w:eastAsia="仿宋_GB2312" w:cs="仿宋_GB2312"/>
          <w:szCs w:val="32"/>
        </w:rPr>
        <w:t>数据平均值</w:t>
      </w:r>
      <w:r>
        <w:rPr>
          <w:rFonts w:hint="default" w:ascii="仿宋_GB2312" w:hAnsi="仿宋_GB2312" w:eastAsia="仿宋_GB2312" w:cs="仿宋_GB2312"/>
          <w:szCs w:val="32"/>
        </w:rPr>
        <w:t>79.82mg/m</w:t>
      </w:r>
      <w:r>
        <w:rPr>
          <w:rFonts w:hint="default" w:ascii="仿宋_GB2312" w:hAnsi="仿宋_GB2312" w:eastAsia="仿宋_GB2312" w:cs="仿宋_GB2312"/>
          <w:szCs w:val="32"/>
          <w:vertAlign w:val="superscript"/>
        </w:rPr>
        <w:t>3</w:t>
      </w:r>
      <w:r>
        <w:rPr>
          <w:rFonts w:hint="default" w:ascii="仿宋_GB2312" w:hAnsi="仿宋_GB2312" w:eastAsia="仿宋_GB2312" w:cs="仿宋_GB2312"/>
          <w:szCs w:val="32"/>
        </w:rPr>
        <w:t>,</w:t>
      </w:r>
      <w:r>
        <w:rPr>
          <w:rFonts w:ascii="仿宋_GB2312" w:hAnsi="仿宋_GB2312" w:eastAsia="仿宋_GB2312" w:cs="仿宋_GB2312"/>
          <w:szCs w:val="32"/>
        </w:rPr>
        <w:t>参比法数据平均值</w:t>
      </w:r>
      <w:r>
        <w:rPr>
          <w:rFonts w:hint="default" w:ascii="仿宋_GB2312" w:hAnsi="仿宋_GB2312" w:eastAsia="仿宋_GB2312" w:cs="仿宋_GB2312"/>
          <w:szCs w:val="32"/>
        </w:rPr>
        <w:t>60mg/m</w:t>
      </w:r>
      <w:r>
        <w:rPr>
          <w:rFonts w:hint="default" w:ascii="仿宋_GB2312" w:hAnsi="仿宋_GB2312" w:eastAsia="仿宋_GB2312" w:cs="仿宋_GB2312"/>
          <w:szCs w:val="32"/>
          <w:vertAlign w:val="superscript"/>
        </w:rPr>
        <w:t>3</w:t>
      </w:r>
      <w:r>
        <w:rPr>
          <w:rFonts w:ascii="仿宋_GB2312" w:hAnsi="仿宋_GB2312" w:eastAsia="仿宋_GB2312" w:cs="仿宋_GB2312"/>
          <w:szCs w:val="32"/>
        </w:rPr>
        <w:t>，误差为</w:t>
      </w:r>
      <w:r>
        <w:rPr>
          <w:rFonts w:hint="default" w:ascii="仿宋_GB2312" w:hAnsi="仿宋_GB2312" w:eastAsia="仿宋_GB2312" w:cs="仿宋_GB2312"/>
          <w:szCs w:val="32"/>
        </w:rPr>
        <w:t>33.0%</w:t>
      </w:r>
      <w:r>
        <w:rPr>
          <w:rFonts w:ascii="仿宋_GB2312" w:hAnsi="仿宋_GB2312" w:eastAsia="仿宋_GB2312" w:cs="仿宋_GB2312"/>
          <w:szCs w:val="32"/>
        </w:rPr>
        <w:t>，考核指标要求相对误差≤±</w:t>
      </w:r>
      <w:r>
        <w:rPr>
          <w:rFonts w:hint="default" w:ascii="仿宋_GB2312" w:hAnsi="仿宋_GB2312" w:eastAsia="仿宋_GB2312" w:cs="仿宋_GB2312"/>
          <w:szCs w:val="32"/>
        </w:rPr>
        <w:t>20%</w:t>
      </w:r>
      <w:r>
        <w:rPr>
          <w:rFonts w:ascii="仿宋_GB2312" w:hAnsi="仿宋_GB2312" w:eastAsia="仿宋_GB2312" w:cs="仿宋_GB2312"/>
          <w:szCs w:val="32"/>
        </w:rPr>
        <w:t>），当事人烟气在线分析仪（大气污染物排放自动监测设备）不正常运行。</w:t>
      </w:r>
    </w:p>
    <w:p>
      <w:pPr>
        <w:snapToGrid w:val="0"/>
        <w:spacing w:line="560" w:lineRule="atLeast"/>
        <w:ind w:firstLine="624" w:firstLineChars="200"/>
        <w:rPr>
          <w:rFonts w:hint="default" w:ascii="仿宋_GB2312" w:hAnsi="仿宋_GB2312" w:eastAsia="仿宋_GB2312" w:cs="仿宋_GB2312"/>
          <w:szCs w:val="32"/>
        </w:rPr>
      </w:pPr>
      <w:r>
        <w:rPr>
          <w:rFonts w:ascii="仿宋_GB2312" w:hAnsi="仿宋_GB2312" w:eastAsia="仿宋_GB2312" w:cs="仿宋_GB2312"/>
          <w:szCs w:val="32"/>
        </w:rPr>
        <w:t>以上事实有《现场检查笔录》、《调查询问笔录》、现场检查照片、废气污染源自动监测设备比对检测报告等证据为证。</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二、行政处罚的依据、种类及其履行方式和期限</w:t>
      </w:r>
    </w:p>
    <w:p>
      <w:pPr>
        <w:pStyle w:val="6"/>
        <w:snapToGrid w:val="0"/>
        <w:spacing w:line="520" w:lineRule="atLeast"/>
        <w:ind w:firstLine="624" w:firstLineChars="200"/>
        <w:rPr>
          <w:rFonts w:ascii="仿宋_GB2312" w:eastAsia="仿宋_GB2312"/>
          <w:sz w:val="32"/>
          <w:szCs w:val="32"/>
        </w:rPr>
      </w:pPr>
      <w:r>
        <w:rPr>
          <w:rFonts w:ascii="仿宋_GB2312" w:eastAsia="仿宋_GB2312"/>
          <w:sz w:val="32"/>
          <w:szCs w:val="32"/>
        </w:rPr>
        <w:t>当事人上述行为违反了《中华人民共和国大气污染防治法》第二十四条第一款的规定。</w:t>
      </w:r>
    </w:p>
    <w:p>
      <w:pPr>
        <w:pStyle w:val="6"/>
        <w:snapToGrid w:val="0"/>
        <w:spacing w:line="520" w:lineRule="atLeast"/>
        <w:ind w:firstLine="624" w:firstLineChars="200"/>
        <w:rPr>
          <w:rFonts w:ascii="仿宋_GB2312" w:eastAsia="仿宋_GB2312"/>
          <w:sz w:val="32"/>
          <w:szCs w:val="32"/>
        </w:rPr>
      </w:pPr>
      <w:r>
        <w:rPr>
          <w:rFonts w:ascii="仿宋_GB2312" w:eastAsia="仿宋_GB2312"/>
          <w:sz w:val="32"/>
          <w:szCs w:val="32"/>
        </w:rPr>
        <w:t>2021年</w:t>
      </w:r>
      <w:r>
        <w:rPr>
          <w:rFonts w:hint="eastAsia" w:ascii="仿宋_GB2312" w:eastAsia="仿宋_GB2312"/>
          <w:sz w:val="32"/>
          <w:szCs w:val="32"/>
        </w:rPr>
        <w:t>5</w:t>
      </w:r>
      <w:r>
        <w:rPr>
          <w:rFonts w:ascii="仿宋_GB2312" w:eastAsia="仿宋_GB2312"/>
          <w:sz w:val="32"/>
          <w:szCs w:val="32"/>
        </w:rPr>
        <w:t>月</w:t>
      </w:r>
      <w:r>
        <w:rPr>
          <w:rFonts w:hint="eastAsia" w:ascii="仿宋_GB2312" w:eastAsia="仿宋_GB2312"/>
          <w:sz w:val="32"/>
          <w:szCs w:val="32"/>
        </w:rPr>
        <w:t>7</w:t>
      </w:r>
      <w:r>
        <w:rPr>
          <w:rFonts w:ascii="仿宋_GB2312" w:eastAsia="仿宋_GB2312"/>
          <w:sz w:val="32"/>
          <w:szCs w:val="32"/>
        </w:rPr>
        <w:t>日，本局向当事人送达了《行政处罚听证告知书》（南环听告字〔2021〕12号），同年5月12日，当事人向本局递交了书面申辩书。当事人提出如下申辩意见：</w:t>
      </w:r>
      <w:r>
        <w:rPr>
          <w:rFonts w:hint="eastAsia" w:ascii="仿宋_GB2312" w:eastAsia="仿宋_GB2312"/>
          <w:sz w:val="32"/>
          <w:szCs w:val="32"/>
        </w:rPr>
        <w:t>“</w:t>
      </w:r>
      <w:r>
        <w:rPr>
          <w:rFonts w:ascii="仿宋_GB2312" w:eastAsia="仿宋_GB2312"/>
          <w:sz w:val="32"/>
          <w:szCs w:val="32"/>
        </w:rPr>
        <w:t>1、我公司发现在进行比对监测期间，我公司100T热解气化焚烧炉废气排放口（DA001）的烟气在线监测设备运行正常，各监测因子数据稳定，没有出现异常浮动；2、在比对监测前，我公</w:t>
      </w:r>
      <w:bookmarkStart w:id="0" w:name="_GoBack"/>
      <w:bookmarkEnd w:id="0"/>
      <w:r>
        <w:rPr>
          <w:rFonts w:ascii="仿宋_GB2312" w:eastAsia="仿宋_GB2312"/>
          <w:sz w:val="32"/>
          <w:szCs w:val="32"/>
        </w:rPr>
        <w:t>司根据贵局要求，运营商对烟气在线设备通入标准气体进行误差测试，测试结果均为合格；3、我公司对2020年12月份设备运营商的运维记录和贵局近两个月的巡查记录进行翻查，并未发现100T热解气化焚烧炉废气排放口（DA001）的烟气在线监测设备出现异常情况；4、我公司对100T焚烧处理车间生产操作记录表进行查看时，发现100T焚烧处理车间比对监测当天的焚烧系统记录运行正常，当天各项指标运行稳定且符合焚烧处理规定。5、我公司望贵局能够重新核实比对监测当天我公司100T热解气化焚烧炉废气排放口（DA001）的烟气在线监测设备比对监测情况。请求贵局对我公司的处罚予以撤销或减轻。</w:t>
      </w:r>
      <w:r>
        <w:rPr>
          <w:rFonts w:hint="eastAsia" w:ascii="仿宋_GB2312" w:eastAsia="仿宋_GB2312"/>
          <w:sz w:val="32"/>
          <w:szCs w:val="32"/>
        </w:rPr>
        <w:t>”</w:t>
      </w:r>
    </w:p>
    <w:p>
      <w:pPr>
        <w:pStyle w:val="6"/>
        <w:snapToGrid w:val="0"/>
        <w:spacing w:line="520" w:lineRule="atLeast"/>
        <w:ind w:firstLine="624" w:firstLineChars="200"/>
        <w:rPr>
          <w:rFonts w:ascii="仿宋_GB2312" w:eastAsia="仿宋_GB2312"/>
          <w:sz w:val="32"/>
          <w:szCs w:val="32"/>
        </w:rPr>
      </w:pPr>
      <w:r>
        <w:rPr>
          <w:rFonts w:ascii="仿宋_GB2312" w:eastAsia="仿宋_GB2312"/>
          <w:sz w:val="32"/>
          <w:szCs w:val="32"/>
        </w:rPr>
        <w:t>经审查，本局认为：</w:t>
      </w:r>
      <w:r>
        <w:rPr>
          <w:rFonts w:hint="eastAsia" w:ascii="仿宋_GB2312" w:eastAsia="仿宋_GB2312"/>
          <w:sz w:val="32"/>
          <w:szCs w:val="32"/>
        </w:rPr>
        <w:t>当事人的申辩意见与其自动监测设备超出误差范围的事实没有直接相关性。</w:t>
      </w:r>
      <w:r>
        <w:rPr>
          <w:rFonts w:ascii="仿宋_GB2312" w:eastAsia="仿宋_GB2312"/>
          <w:sz w:val="32"/>
          <w:szCs w:val="32"/>
        </w:rPr>
        <w:t>当事人违反《中华人民共和国大气污染防治法》第二十四条第一款规定的违法事实清楚，依法应予行政处罚。现本案经本局审查结束。</w:t>
      </w:r>
    </w:p>
    <w:p>
      <w:pPr>
        <w:pStyle w:val="6"/>
        <w:snapToGrid w:val="0"/>
        <w:spacing w:line="520" w:lineRule="atLeast"/>
        <w:ind w:firstLine="624" w:firstLineChars="200"/>
        <w:rPr>
          <w:rFonts w:ascii="仿宋_GB2312" w:eastAsia="仿宋_GB2312"/>
          <w:sz w:val="32"/>
          <w:szCs w:val="32"/>
        </w:rPr>
      </w:pPr>
      <w:r>
        <w:rPr>
          <w:rFonts w:ascii="仿宋_GB2312" w:eastAsia="仿宋_GB2312"/>
          <w:sz w:val="32"/>
          <w:szCs w:val="32"/>
        </w:rPr>
        <w:t>本局依据《中华人民共和国大气污染防治法》第一百条第（三）项的规定，对当事人作出如下决定：</w:t>
      </w:r>
    </w:p>
    <w:p>
      <w:pPr>
        <w:pStyle w:val="6"/>
        <w:snapToGrid w:val="0"/>
        <w:spacing w:line="520" w:lineRule="atLeast"/>
        <w:ind w:firstLine="624" w:firstLineChars="200"/>
        <w:rPr>
          <w:rFonts w:ascii="仿宋_GB2312" w:eastAsia="仿宋_GB2312"/>
          <w:sz w:val="32"/>
          <w:szCs w:val="32"/>
        </w:rPr>
      </w:pPr>
      <w:r>
        <w:rPr>
          <w:rFonts w:ascii="仿宋_GB2312" w:eastAsia="仿宋_GB2312"/>
          <w:sz w:val="32"/>
          <w:szCs w:val="32"/>
        </w:rPr>
        <w:t>1、责令改正违法行为；</w:t>
      </w:r>
    </w:p>
    <w:p>
      <w:pPr>
        <w:pStyle w:val="6"/>
        <w:snapToGrid w:val="0"/>
        <w:spacing w:line="520" w:lineRule="atLeast"/>
        <w:ind w:firstLine="624" w:firstLineChars="200"/>
        <w:rPr>
          <w:rFonts w:ascii="仿宋_GB2312" w:eastAsia="仿宋_GB2312"/>
          <w:sz w:val="32"/>
          <w:szCs w:val="32"/>
        </w:rPr>
      </w:pPr>
      <w:r>
        <w:rPr>
          <w:rFonts w:ascii="仿宋_GB2312" w:eastAsia="仿宋_GB2312"/>
          <w:sz w:val="32"/>
          <w:szCs w:val="32"/>
        </w:rPr>
        <w:t>2、处罚款人民币100000元。</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限当事人于接到本行政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3124。</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三、申请行政复议或者提起行政诉讼的途径和期限</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如当事人对本决定不服，可在收到本决定之日起60日内向广州市人民政府（地址：广州市越秀区小北路183号金和大厦2楼市政府行政复议办公室，电话：020-83555988），也可向广东省生态环境厅（地址：天河区龙口西路213号，电话：020-87533928、87531656）申请行政复议；或者在收到本决定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当事人向广州市人民政府提出行政复议申请。</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逾期不履行本决定，本局将申请人民法院强制执行，并每日按罚款额的百分之三加处罚款。</w:t>
      </w:r>
    </w:p>
    <w:p>
      <w:pPr>
        <w:pStyle w:val="6"/>
        <w:snapToGrid w:val="0"/>
        <w:spacing w:line="520" w:lineRule="atLeast"/>
        <w:ind w:firstLine="624" w:firstLineChars="200"/>
        <w:rPr>
          <w:rFonts w:ascii="仿宋_GB2312" w:eastAsia="仿宋_GB2312"/>
          <w:sz w:val="32"/>
          <w:szCs w:val="32"/>
        </w:rPr>
      </w:pPr>
    </w:p>
    <w:p>
      <w:pPr>
        <w:tabs>
          <w:tab w:val="left" w:pos="0"/>
        </w:tabs>
        <w:snapToGrid w:val="0"/>
        <w:spacing w:line="540" w:lineRule="atLeast"/>
        <w:ind w:right="1248" w:rightChars="400" w:firstLine="624" w:firstLineChars="200"/>
        <w:rPr>
          <w:rFonts w:hint="default" w:ascii="仿宋_GB2312" w:hAnsi="仿宋_GB2312" w:eastAsia="仿宋_GB2312" w:cs="仿宋_GB2312"/>
          <w:spacing w:val="-6"/>
          <w:szCs w:val="32"/>
        </w:rPr>
      </w:pPr>
      <w:r>
        <w:rPr>
          <w:rFonts w:ascii="仿宋_GB2312" w:hAnsi="仿宋_GB2312" w:eastAsia="仿宋_GB2312" w:cs="仿宋_GB2312"/>
          <w:szCs w:val="32"/>
        </w:rPr>
        <w:t xml:space="preserve">                         广州市生态环境局</w:t>
      </w:r>
    </w:p>
    <w:p>
      <w:pPr>
        <w:tabs>
          <w:tab w:val="left" w:pos="0"/>
        </w:tabs>
        <w:snapToGrid w:val="0"/>
        <w:spacing w:line="540" w:lineRule="atLeast"/>
        <w:ind w:right="1872" w:rightChars="600" w:firstLine="600" w:firstLineChars="200"/>
        <w:rPr>
          <w:rFonts w:hint="default" w:ascii="仿宋_GB2312" w:hAnsi="仿宋_GB2312" w:eastAsia="仿宋_GB2312" w:cs="仿宋_GB2312"/>
          <w:spacing w:val="-6"/>
          <w:szCs w:val="32"/>
        </w:rPr>
      </w:pPr>
      <w:r>
        <w:rPr>
          <w:rFonts w:ascii="仿宋_GB2312" w:hAnsi="仿宋_GB2312" w:eastAsia="仿宋_GB2312" w:cs="仿宋_GB2312"/>
          <w:spacing w:val="-6"/>
          <w:szCs w:val="32"/>
        </w:rPr>
        <w:t xml:space="preserve">                            2021年</w:t>
      </w:r>
      <w:r>
        <w:rPr>
          <w:rFonts w:hint="default" w:ascii="仿宋_GB2312" w:hAnsi="仿宋_GB2312" w:eastAsia="仿宋_GB2312" w:cs="仿宋_GB2312"/>
          <w:spacing w:val="-6"/>
          <w:szCs w:val="32"/>
        </w:rPr>
        <w:t>7</w:t>
      </w:r>
      <w:r>
        <w:rPr>
          <w:rFonts w:ascii="仿宋_GB2312" w:hAnsi="仿宋_GB2312" w:eastAsia="仿宋_GB2312" w:cs="仿宋_GB2312"/>
          <w:spacing w:val="-6"/>
          <w:szCs w:val="32"/>
        </w:rPr>
        <w:t>月</w:t>
      </w:r>
      <w:r>
        <w:rPr>
          <w:rFonts w:hint="eastAsia" w:ascii="仿宋_GB2312" w:hAnsi="仿宋_GB2312" w:eastAsia="仿宋_GB2312" w:cs="仿宋_GB2312"/>
          <w:spacing w:val="-6"/>
          <w:szCs w:val="32"/>
          <w:lang w:val="en-US" w:eastAsia="zh-CN"/>
        </w:rPr>
        <w:t>12</w:t>
      </w:r>
      <w:r>
        <w:rPr>
          <w:rFonts w:ascii="仿宋_GB2312" w:hAnsi="仿宋_GB2312" w:eastAsia="仿宋_GB2312" w:cs="仿宋_GB2312"/>
          <w:spacing w:val="-6"/>
          <w:szCs w:val="32"/>
        </w:rPr>
        <w:t>日</w:t>
      </w:r>
    </w:p>
    <w:p>
      <w:pPr>
        <w:tabs>
          <w:tab w:val="left" w:pos="0"/>
        </w:tabs>
        <w:snapToGrid w:val="0"/>
        <w:spacing w:line="520" w:lineRule="atLeast"/>
        <w:rPr>
          <w:rFonts w:hint="default" w:ascii="仿宋_GB2312" w:eastAsia="仿宋_GB2312"/>
          <w:szCs w:val="32"/>
        </w:rPr>
      </w:pPr>
      <w:r>
        <w:rPr>
          <w:rFonts w:ascii="仿宋_GB2312" w:eastAsia="仿宋_GB2312"/>
          <w:szCs w:val="32"/>
        </w:rPr>
        <w:t>（联系电话：020-39053008、39053079、39078029）</w:t>
      </w:r>
    </w:p>
    <w:p>
      <w:pPr>
        <w:rPr>
          <w:rFonts w:hint="default"/>
        </w:rPr>
      </w:pPr>
    </w:p>
    <w:p>
      <w:pPr>
        <w:rPr>
          <w:rFonts w:hint="default"/>
        </w:rPr>
      </w:pPr>
    </w:p>
    <w:p>
      <w:pPr>
        <w:rPr>
          <w:rFonts w:hint="default"/>
        </w:rPr>
      </w:pPr>
    </w:p>
    <w:sectPr>
      <w:footerReference r:id="rId3" w:type="default"/>
      <w:footerReference r:id="rId4" w:type="even"/>
      <w:pgSz w:w="11906" w:h="16838"/>
      <w:pgMar w:top="2097" w:right="1474" w:bottom="1984" w:left="1587" w:header="851" w:footer="1474" w:gutter="0"/>
      <w:pgNumType w:fmt="numberInDash"/>
      <w:cols w:space="720" w:num="1"/>
      <w:titlePg/>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书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80035" cy="233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0035" cy="233680"/>
                      </a:xfrm>
                      <a:prstGeom prst="rect">
                        <a:avLst/>
                      </a:prstGeom>
                      <a:noFill/>
                      <a:ln>
                        <a:noFill/>
                      </a:ln>
                    </wps:spPr>
                    <wps:txbx>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3</w:t>
                          </w:r>
                          <w:r>
                            <w:rPr>
                              <w:rFonts w:ascii="宋体" w:hAnsi="宋体" w:eastAsia="宋体" w:cs="宋体"/>
                              <w:sz w:val="28"/>
                              <w:szCs w:val="28"/>
                            </w:rPr>
                            <w:fldChar w:fldCharType="end"/>
                          </w:r>
                          <w:r>
                            <w:rPr>
                              <w:rFonts w:ascii="宋体" w:hAnsi="宋体" w:eastAsia="宋体" w:cs="宋体"/>
                              <w:sz w:val="28"/>
                              <w:szCs w:val="28"/>
                            </w:rPr>
                            <w:t>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22.05pt;mso-position-horizontal:outside;mso-position-horizontal-relative:margin;mso-wrap-style:none;z-index:251659264;mso-width-relative:page;mso-height-relative:page;" filled="f" stroked="f" coordsize="21600,21600" o:gfxdata="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8oJLtEAAAADAQAADwAA&#10;AAAAAAABACAAAAAiAAAAZHJzL2Rvd25yZXYueG1sUEsBAhQAFAAAAAgAh07iQL/8/3erAQAAPQMA&#10;AA4AAAAAAAAAAQAgAAAAIAEAAGRycy9lMm9Eb2MueG1sUEsFBgAAAAAGAAYAWQEAAD0FAAAAAA==&#10;">
              <v:fill on="f" focussize="0,0"/>
              <v:stroke on="f"/>
              <v:imagedata o:title=""/>
              <o:lock v:ext="edit" aspectratio="f"/>
              <v:textbox inset="0mm,0mm,0mm,0mm" style="mso-fit-shape-to-text:t;">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3</w:t>
                    </w:r>
                    <w:r>
                      <w:rPr>
                        <w:rFonts w:ascii="宋体" w:hAnsi="宋体" w:eastAsia="宋体" w:cs="宋体"/>
                        <w:sz w:val="28"/>
                        <w:szCs w:val="28"/>
                      </w:rPr>
                      <w:fldChar w:fldCharType="end"/>
                    </w:r>
                    <w:r>
                      <w:rPr>
                        <w:rFonts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16890" cy="2336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16890" cy="233680"/>
                      </a:xfrm>
                      <a:prstGeom prst="rect">
                        <a:avLst/>
                      </a:prstGeom>
                      <a:noFill/>
                      <a:ln>
                        <a:noFill/>
                      </a:ln>
                    </wps:spPr>
                    <wps:txbx>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40.7pt;mso-position-horizontal:outside;mso-position-horizontal-relative:margin;mso-wrap-style:none;z-index:251660288;mso-width-relative:page;mso-height-relative:page;" filled="f" stroked="f" coordsize="21600,21600" o:gfxdata="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EUFN/RAAAAAwEAAA8A&#10;AAAAAAAAAQAgAAAAIgAAAGRycy9kb3ducmV2LnhtbFBLAQIUABQAAAAIAIdO4kDFsTPurAEAAD0D&#10;AAAOAAAAAAAAAAEAIAAAACABAABkcnMvZTJvRG9jLnhtbFBLBQYAAAAABgAGAFkBAAA+BQAAAAA=&#10;">
              <v:fill on="f" focussize="0,0"/>
              <v:stroke on="f"/>
              <v:imagedata o:title=""/>
              <o:lock v:ext="edit" aspectratio="f"/>
              <v:textbox inset="0mm,0mm,0mm,0mm" style="mso-fit-shape-to-text:t;">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50472"/>
    <w:rsid w:val="000846BE"/>
    <w:rsid w:val="000C1BC3"/>
    <w:rsid w:val="00302D6C"/>
    <w:rsid w:val="003636D7"/>
    <w:rsid w:val="0041306A"/>
    <w:rsid w:val="004279AD"/>
    <w:rsid w:val="009B0B31"/>
    <w:rsid w:val="00A656EC"/>
    <w:rsid w:val="00B664F8"/>
    <w:rsid w:val="00B767E8"/>
    <w:rsid w:val="00BC169D"/>
    <w:rsid w:val="00BF152C"/>
    <w:rsid w:val="00C8679B"/>
    <w:rsid w:val="00E062CE"/>
    <w:rsid w:val="16750472"/>
    <w:rsid w:val="39481C69"/>
    <w:rsid w:val="43872814"/>
    <w:rsid w:val="535A50DF"/>
    <w:rsid w:val="543813B6"/>
    <w:rsid w:val="5B6905F4"/>
    <w:rsid w:val="624A6155"/>
    <w:rsid w:val="79EA3E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w:cs="Times New Roman"/>
      <w:kern w:val="2"/>
      <w:sz w:val="3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default" w:ascii="宋体" w:hAnsi="宋体" w:eastAsia="汉鼎简书宋"/>
      <w:kern w:val="0"/>
      <w:sz w:val="18"/>
    </w:rPr>
  </w:style>
  <w:style w:type="paragraph" w:customStyle="1" w:styleId="5">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4</Pages>
  <Words>296</Words>
  <Characters>1691</Characters>
  <Lines>14</Lines>
  <Paragraphs>3</Paragraphs>
  <TotalTime>27</TotalTime>
  <ScaleCrop>false</ScaleCrop>
  <LinksUpToDate>false</LinksUpToDate>
  <CharactersWithSpaces>1984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2021-06-15T08:42:00Z</dcterms:created>
  <dc:creator>刘倩</dc:creator>
  <cp:lastModifiedBy>Administrator</cp:lastModifiedBy>
  <dcterms:modified xsi:type="dcterms:W3CDTF">2021-07-22T01:56:11Z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F30454AC0E394B82A54258FBB66B42AB</vt:lpwstr>
  </property>
</Properties>
</file>