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6"/>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18</w:t>
      </w:r>
      <w:r>
        <w:rPr>
          <w:rFonts w:ascii="仿宋_GB2312" w:hAnsi="仿宋_GB2312" w:eastAsia="仿宋_GB2312" w:cs="仿宋_GB2312"/>
          <w:szCs w:val="32"/>
        </w:rPr>
        <w:t>号</w:t>
      </w:r>
      <w:r>
        <w:rPr>
          <w:rFonts w:ascii="仿宋_GB2312" w:hAnsi="仿宋_GB2312" w:eastAsia="仿宋_GB2312" w:cs="仿宋_GB2312"/>
          <w:szCs w:val="32"/>
        </w:rPr>
        <w:tab/>
      </w:r>
    </w:p>
    <w:p>
      <w:pPr>
        <w:pStyle w:val="7"/>
        <w:snapToGrid w:val="0"/>
        <w:spacing w:line="520" w:lineRule="atLeast"/>
        <w:rPr>
          <w:rFonts w:ascii="仿宋_GB2312" w:eastAsia="仿宋_GB2312"/>
          <w:sz w:val="32"/>
          <w:szCs w:val="30"/>
        </w:rPr>
      </w:pPr>
    </w:p>
    <w:p>
      <w:pPr>
        <w:pStyle w:val="8"/>
        <w:snapToGrid w:val="0"/>
        <w:spacing w:line="520" w:lineRule="atLeast"/>
        <w:rPr>
          <w:rFonts w:ascii="仿宋_GB2312" w:eastAsia="仿宋_GB2312"/>
          <w:sz w:val="32"/>
          <w:szCs w:val="32"/>
        </w:rPr>
      </w:pPr>
      <w:r>
        <w:rPr>
          <w:rFonts w:hint="eastAsia" w:ascii="仿宋_GB2312" w:eastAsia="仿宋_GB2312"/>
          <w:sz w:val="32"/>
          <w:szCs w:val="32"/>
        </w:rPr>
        <w:t>当事人：广东企辅健环安检测技术有限公司</w:t>
      </w:r>
    </w:p>
    <w:p>
      <w:pPr>
        <w:pStyle w:val="8"/>
        <w:snapToGrid w:val="0"/>
        <w:spacing w:line="520" w:lineRule="atLeast"/>
        <w:ind w:firstLine="624" w:firstLineChars="200"/>
        <w:rPr>
          <w:rFonts w:hint="eastAsia" w:ascii="仿宋_GB2312" w:eastAsia="仿宋_GB2312"/>
          <w:sz w:val="32"/>
          <w:szCs w:val="32"/>
        </w:rPr>
      </w:pPr>
    </w:p>
    <w:p>
      <w:pPr>
        <w:pStyle w:val="8"/>
        <w:snapToGrid w:val="0"/>
        <w:spacing w:line="520" w:lineRule="atLeast"/>
        <w:ind w:firstLine="624" w:firstLineChars="200"/>
        <w:rPr>
          <w:rFonts w:hint="eastAsia" w:ascii="仿宋_GB2312" w:eastAsia="仿宋_GB2312"/>
          <w:sz w:val="32"/>
          <w:szCs w:val="32"/>
        </w:rPr>
      </w:pP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snapToGrid w:val="0"/>
        <w:spacing w:line="520" w:lineRule="atLeast"/>
        <w:ind w:firstLine="640"/>
        <w:rPr>
          <w:rFonts w:hint="default" w:ascii="仿宋_GB2312" w:eastAsia="仿宋_GB2312"/>
          <w:szCs w:val="32"/>
        </w:rPr>
      </w:pPr>
      <w:r>
        <w:rPr>
          <w:rFonts w:ascii="仿宋_GB2312" w:eastAsia="仿宋_GB2312"/>
          <w:szCs w:val="32"/>
        </w:rPr>
        <w:t>经查，当事人</w:t>
      </w:r>
      <w:bookmarkStart w:id="0" w:name="_GoBack"/>
      <w:bookmarkEnd w:id="0"/>
      <w:r>
        <w:rPr>
          <w:rFonts w:ascii="仿宋_GB2312" w:eastAsia="仿宋_GB2312"/>
          <w:szCs w:val="32"/>
        </w:rPr>
        <w:t>从事检测技术服务项目经营。主要从事水质和废水、生活饮用水、空气与废气、职业卫生、噪声等检测服务，持有检验检测机构资质认定证书。当事人项目总占地面积为414.4平方米，主要建设内容包括实验区和办公区。</w:t>
      </w:r>
    </w:p>
    <w:p>
      <w:pPr>
        <w:snapToGrid w:val="0"/>
        <w:spacing w:line="520" w:lineRule="atLeast"/>
        <w:ind w:firstLine="640"/>
        <w:rPr>
          <w:rFonts w:hint="default" w:ascii="仿宋_GB2312" w:eastAsia="仿宋_GB2312"/>
          <w:szCs w:val="32"/>
        </w:rPr>
      </w:pPr>
      <w:r>
        <w:rPr>
          <w:rFonts w:ascii="仿宋_GB2312" w:eastAsia="仿宋_GB2312"/>
          <w:szCs w:val="32"/>
        </w:rPr>
        <w:t>2021年4月15日、4月26日经本局执法人员调查发现，当事人出具的《检测报告》（报告编号：QF19150641）及该报告有关分析原始记录表等资料，发现该报告存在以下问题：</w:t>
      </w:r>
      <w:r>
        <w:rPr>
          <w:rFonts w:hint="eastAsia" w:ascii="仿宋_GB2312" w:eastAsia="仿宋_GB2312"/>
          <w:szCs w:val="32"/>
          <w:lang w:val="en-US" w:eastAsia="zh-CN"/>
        </w:rPr>
        <w:t>1</w:t>
      </w:r>
      <w:r>
        <w:rPr>
          <w:rFonts w:ascii="仿宋_GB2312" w:eastAsia="仿宋_GB2312"/>
          <w:szCs w:val="32"/>
        </w:rPr>
        <w:t>、该报告对应的气相色谱法分析原始记录表3及三点比较式臭袋法厂界环境臭气测定结果登记表中，编号190641C104同时作为非甲烷总烃样品和臭气样品的样品编号，不符合样本编号具有唯一性的要求；</w:t>
      </w:r>
      <w:r>
        <w:rPr>
          <w:rFonts w:hint="eastAsia" w:ascii="仿宋_GB2312" w:eastAsia="仿宋_GB2312"/>
          <w:szCs w:val="32"/>
          <w:lang w:val="en-US" w:eastAsia="zh-CN"/>
        </w:rPr>
        <w:t>2</w:t>
      </w:r>
      <w:r>
        <w:rPr>
          <w:rFonts w:ascii="仿宋_GB2312" w:eastAsia="仿宋_GB2312"/>
          <w:szCs w:val="32"/>
        </w:rPr>
        <w:t>、该报告不符合《固定污染源废气 总烃、甲烷和非甲烷总烃的测定 气相色谱法》（HJ 38-2017）9.1中规定的非甲烷总烃计算过程中总烃计算时应扣除氧峰面积的要求。该报告对应的气相色谱法分析原始记录表3及色谱图均无氧峰面积，非甲烷总烃实验分析过程缺失氧峰面积数据；</w:t>
      </w:r>
      <w:r>
        <w:rPr>
          <w:rFonts w:hint="eastAsia" w:ascii="仿宋_GB2312" w:eastAsia="仿宋_GB2312"/>
          <w:szCs w:val="32"/>
          <w:lang w:val="en-US" w:eastAsia="zh-CN"/>
        </w:rPr>
        <w:t>3</w:t>
      </w:r>
      <w:r>
        <w:rPr>
          <w:rFonts w:ascii="仿宋_GB2312" w:eastAsia="仿宋_GB2312"/>
          <w:szCs w:val="32"/>
        </w:rPr>
        <w:t>、该报告第4、5页无组织废气表格中“检测结果”一列和“监控点最大浓度”一列数据冲突，无组织废气颗粒物、非甲烷总烃、臭气浓度“检测结果”一列数据依规范无法得出对应的“监控点最大浓度”一列数据，且无法补充无组织废气颗粒物、非甲烷总烃、臭气浓度项目对应的“监控点最大浓度”一列数据的相关原始记录信息。当事人存在未按照环境监测规范从事环境监测活动，造成监测数据失实的违法行为。</w:t>
      </w:r>
    </w:p>
    <w:p>
      <w:pPr>
        <w:snapToGrid w:val="0"/>
        <w:spacing w:line="520" w:lineRule="atLeast"/>
        <w:ind w:firstLine="624" w:firstLineChars="200"/>
        <w:rPr>
          <w:rFonts w:hint="default" w:ascii="仿宋_GB2312" w:eastAsia="仿宋_GB2312"/>
          <w:szCs w:val="32"/>
        </w:rPr>
      </w:pPr>
      <w:r>
        <w:rPr>
          <w:rFonts w:ascii="仿宋_GB2312" w:eastAsia="仿宋_GB2312"/>
          <w:szCs w:val="32"/>
        </w:rPr>
        <w:t>以上事实有《现场检查笔录》、《调查询问笔录》、现场检查照片、检验检测机构资质认定证书复印件、《检测报告》（报告编号：QF19150641）、样品交接流转单复印件、气相色谱法分析原始记录表3及色谱图复印件、有组织非甲烷总烃分析原始记录表复印件、三点比较式臭袋法厂界环境臭气测定结果登记表复印件、分光光度法分析原始记录表1（单波长）复印件等证据为证。</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9"/>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当事人上述行为违反了《广东省环境保护条例》第十二条第三款的规定。</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2021年5月18日，本局向当事人送达了《行政处罚事先告知书》（南环罚告字〔2021〕2号），当事人未在有效期限内向本局提出陈述申辩意见。</w:t>
      </w:r>
      <w:r>
        <w:rPr>
          <w:rFonts w:hint="eastAsia" w:ascii="仿宋_GB2312" w:eastAsia="仿宋_GB2312"/>
          <w:color w:val="0C0C0C"/>
          <w:sz w:val="32"/>
          <w:szCs w:val="32"/>
        </w:rPr>
        <w:t>现本案经本局审查结束。</w:t>
      </w:r>
    </w:p>
    <w:p>
      <w:pPr>
        <w:pStyle w:val="7"/>
        <w:snapToGrid w:val="0"/>
        <w:spacing w:line="52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w:t>
      </w:r>
      <w:r>
        <w:rPr>
          <w:rFonts w:hint="eastAsia" w:ascii="仿宋_GB2312" w:eastAsia="仿宋_GB2312"/>
          <w:sz w:val="32"/>
          <w:szCs w:val="32"/>
        </w:rPr>
        <w:t>《广东省环境保护条例》第六十四条第二款的规定</w:t>
      </w:r>
      <w:r>
        <w:rPr>
          <w:rFonts w:hint="eastAsia" w:ascii="仿宋_GB2312" w:eastAsia="仿宋_GB2312"/>
          <w:color w:val="0C0C0C"/>
          <w:sz w:val="32"/>
          <w:szCs w:val="32"/>
        </w:rPr>
        <w:t>，对当事人作出如下决定：</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color w:val="0C0C0C"/>
          <w:sz w:val="32"/>
          <w:szCs w:val="32"/>
        </w:rPr>
        <w:t>1、责令改正违法行为</w:t>
      </w:r>
      <w:r>
        <w:rPr>
          <w:rFonts w:hint="eastAsia" w:ascii="仿宋_GB2312" w:eastAsia="仿宋_GB2312"/>
          <w:sz w:val="32"/>
          <w:szCs w:val="32"/>
        </w:rPr>
        <w:t>；</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2、处罚款41000元。</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7"/>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7"/>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7</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KCS7RAAAAAwEAAA8A&#10;AAAAAAAAAQAgAAAAIgAAAGRycy9kb3ducmV2LnhtbFBLAQIUABQAAAAIAIdO4kBic920rAEAAD0D&#10;AAAOAAAAAAAAAAEAIAAAACABAABkcnMvZTJvRG9jLnhtbFBLBQYAAAAABgAGAFkBAAA+BQ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RQU39EAAAADAQAADwAA&#10;AAAAAAABACAAAAAiAAAAZHJzL2Rvd25yZXYueG1sUEsBAhQAFAAAAAgAh07iQBg+ES2rAQAAPQMA&#10;AA4AAAAAAAAAAQAgAAAAIAEAAGRycy9lMm9Eb2MueG1sUEsFBgAAAAAGAAYAWQEAAD0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53B03"/>
    <w:rsid w:val="004F7392"/>
    <w:rsid w:val="00667C48"/>
    <w:rsid w:val="0F4F735E"/>
    <w:rsid w:val="14FC29FE"/>
    <w:rsid w:val="2FC33854"/>
    <w:rsid w:val="39DC049C"/>
    <w:rsid w:val="478D4BAF"/>
    <w:rsid w:val="4FEE7688"/>
    <w:rsid w:val="69772BDE"/>
    <w:rsid w:val="6BDE5FC5"/>
    <w:rsid w:val="70553B03"/>
    <w:rsid w:val="71053A97"/>
    <w:rsid w:val="79E34B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字符"/>
    <w:basedOn w:val="5"/>
    <w:link w:val="2"/>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7</TotalTime>
  <ScaleCrop>false</ScaleCrop>
  <LinksUpToDate>false</LinksUpToDate>
  <CharactersWithSpaces>1954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2021-05-26T01:25:00Z</dcterms:created>
  <dc:creator>刘倩</dc:creator>
  <cp:lastModifiedBy>Administrator</cp:lastModifiedBy>
  <dcterms:modified xsi:type="dcterms:W3CDTF">2021-07-22T01:55:45Z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FD727AD0AF8B41D290728A0C4B7D87D4</vt:lpwstr>
  </property>
</Properties>
</file>