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ind w:left="2398" w:leftChars="304" w:hanging="1760" w:hangingChars="40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南沙区</w:t>
      </w: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“双随机、一公开”部门联合抽查计划</w:t>
      </w:r>
    </w:p>
    <w:bookmarkEnd w:id="0"/>
    <w:tbl>
      <w:tblPr>
        <w:tblStyle w:val="3"/>
        <w:tblW w:w="14895" w:type="dxa"/>
        <w:tblInd w:w="0" w:type="dxa"/>
        <w:shd w:val="clear" w:color="auto" w:fill="auto"/>
        <w:tblLayout w:type="fixed"/>
        <w:tblCellMar>
          <w:top w:w="0" w:type="dxa"/>
          <w:left w:w="0" w:type="dxa"/>
          <w:bottom w:w="0" w:type="dxa"/>
          <w:right w:w="0" w:type="dxa"/>
        </w:tblCellMar>
      </w:tblPr>
      <w:tblGrid>
        <w:gridCol w:w="1462"/>
        <w:gridCol w:w="1476"/>
        <w:gridCol w:w="1061"/>
        <w:gridCol w:w="2355"/>
        <w:gridCol w:w="1207"/>
        <w:gridCol w:w="1892"/>
        <w:gridCol w:w="2012"/>
        <w:gridCol w:w="1068"/>
        <w:gridCol w:w="1316"/>
        <w:gridCol w:w="1046"/>
      </w:tblGrid>
      <w:tr>
        <w:tblPrEx>
          <w:shd w:val="clear" w:color="auto" w:fill="auto"/>
          <w:tblLayout w:type="fixed"/>
          <w:tblCellMar>
            <w:top w:w="0" w:type="dxa"/>
            <w:left w:w="0" w:type="dxa"/>
            <w:bottom w:w="0" w:type="dxa"/>
            <w:right w:w="0" w:type="dxa"/>
          </w:tblCellMar>
        </w:tblPrEx>
        <w:trPr>
          <w:trHeight w:val="570" w:hRule="atLeast"/>
        </w:trPr>
        <w:tc>
          <w:tcPr>
            <w:tcW w:w="14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跨部门计划名称</w:t>
            </w:r>
          </w:p>
        </w:tc>
        <w:tc>
          <w:tcPr>
            <w:tcW w:w="14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任务名称</w:t>
            </w:r>
          </w:p>
        </w:tc>
        <w:tc>
          <w:tcPr>
            <w:tcW w:w="10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任务类型</w:t>
            </w:r>
          </w:p>
        </w:tc>
        <w:tc>
          <w:tcPr>
            <w:tcW w:w="23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抽查事项</w:t>
            </w:r>
          </w:p>
        </w:tc>
        <w:tc>
          <w:tcPr>
            <w:tcW w:w="12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抽查对象范围</w:t>
            </w:r>
          </w:p>
        </w:tc>
        <w:tc>
          <w:tcPr>
            <w:tcW w:w="18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抽取时间自</w:t>
            </w:r>
          </w:p>
        </w:tc>
        <w:tc>
          <w:tcPr>
            <w:tcW w:w="2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抽取时间至</w:t>
            </w:r>
          </w:p>
        </w:tc>
        <w:tc>
          <w:tcPr>
            <w:tcW w:w="10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联查牵头部门</w:t>
            </w:r>
          </w:p>
        </w:tc>
        <w:tc>
          <w:tcPr>
            <w:tcW w:w="13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联查参与部门</w:t>
            </w:r>
          </w:p>
        </w:tc>
        <w:tc>
          <w:tcPr>
            <w:tcW w:w="10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抽查对象数量</w:t>
            </w:r>
          </w:p>
        </w:tc>
      </w:tr>
      <w:tr>
        <w:tblPrEx>
          <w:tblLayout w:type="fixed"/>
          <w:tblCellMar>
            <w:top w:w="0" w:type="dxa"/>
            <w:left w:w="0" w:type="dxa"/>
            <w:bottom w:w="0" w:type="dxa"/>
            <w:right w:w="0" w:type="dxa"/>
          </w:tblCellMar>
        </w:tblPrEx>
        <w:trPr>
          <w:trHeight w:val="285"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危险化学品重大危险源企业专项执法检查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危险化学品重大危险源企业专项执法检查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危险化学品重大危险源企业安全生产和消防安全主体责任落实情况检查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全区危险化学品重大危险源企业</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2021/4/20</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2021/5/30</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区应急管理局、区消防救援大队</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71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2021年南沙区易制毒化学品双随机抽查工作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2021年南沙区易制毒化学品双随机抽查工作</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随机抽查</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heme="minorEastAsia" w:hAnsiTheme="minorEastAsia" w:eastAsiaTheme="minorEastAsia" w:cstheme="minorEastAsia"/>
                <w:b w:val="0"/>
                <w:bCs w:val="0"/>
                <w:color w:val="000000"/>
                <w:kern w:val="0"/>
                <w:sz w:val="24"/>
                <w:szCs w:val="24"/>
                <w:lang w:eastAsia="zh-CN"/>
              </w:rPr>
              <w:t>南沙区易制毒化学品企业</w:t>
            </w:r>
            <w:r>
              <w:rPr>
                <w:rFonts w:hint="eastAsia" w:asciiTheme="minorEastAsia" w:hAnsiTheme="minorEastAsia" w:eastAsiaTheme="minorEastAsia" w:cstheme="minorEastAsia"/>
                <w:b w:val="0"/>
                <w:bCs w:val="0"/>
                <w:color w:val="000000"/>
                <w:kern w:val="0"/>
                <w:sz w:val="24"/>
                <w:szCs w:val="24"/>
                <w:lang w:val="en-US" w:eastAsia="zh-CN"/>
              </w:rPr>
              <w:t>单位资质、储存场所及购销等</w:t>
            </w:r>
            <w:r>
              <w:rPr>
                <w:rFonts w:hint="eastAsia" w:asciiTheme="minorEastAsia" w:hAnsiTheme="minorEastAsia" w:eastAsiaTheme="minorEastAsia" w:cstheme="minorEastAsia"/>
                <w:b w:val="0"/>
                <w:bCs w:val="0"/>
                <w:color w:val="000000"/>
                <w:kern w:val="0"/>
                <w:sz w:val="24"/>
                <w:szCs w:val="24"/>
                <w:lang w:eastAsia="zh-CN"/>
              </w:rPr>
              <w:t>情况检查；</w:t>
            </w:r>
            <w:r>
              <w:rPr>
                <w:rFonts w:hint="eastAsia" w:asciiTheme="minorEastAsia" w:hAnsiTheme="minorEastAsia" w:eastAsiaTheme="minorEastAsia" w:cstheme="minorEastAsia"/>
                <w:b w:val="0"/>
                <w:bCs w:val="0"/>
                <w:color w:val="000000"/>
                <w:kern w:val="0"/>
                <w:sz w:val="24"/>
                <w:szCs w:val="24"/>
                <w:lang w:val="en-US" w:eastAsia="zh-CN"/>
              </w:rPr>
              <w:t>“三品一械”生产企业的检查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南沙区易制毒化学品公司企业</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2021/4/1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2021/12/25</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南沙区公安分局禁毒大队</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区商务局、区应急管理局、区市场监管局、区综合行政执法局</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Layout w:type="fixed"/>
          <w:tblCellMar>
            <w:top w:w="0" w:type="dxa"/>
            <w:left w:w="0" w:type="dxa"/>
            <w:bottom w:w="0" w:type="dxa"/>
            <w:right w:w="0" w:type="dxa"/>
          </w:tblCellMar>
        </w:tblPrEx>
        <w:trPr>
          <w:trHeight w:val="285"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南沙区养老机构服务质量建设情况联合督查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养老机构服务质量建设情况联合督查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 向</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本区养老机构服务质量建设有关工作落实情况；</w:t>
            </w:r>
            <w:r>
              <w:rPr>
                <w:rFonts w:hint="eastAsia" w:asciiTheme="minorEastAsia" w:hAnsiTheme="minorEastAsia" w:eastAsiaTheme="minorEastAsia" w:cstheme="minorEastAsia"/>
                <w:b w:val="0"/>
                <w:bCs w:val="0"/>
                <w:color w:val="000000"/>
                <w:kern w:val="0"/>
                <w:sz w:val="24"/>
                <w:szCs w:val="24"/>
              </w:rPr>
              <w:t>高风险餐饮服务监督检</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特种设备使用安全情况进行检查</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lang w:val="en-US" w:eastAsia="zh-CN"/>
              </w:rPr>
              <w:t>单位履行消防安全职责情况</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养老机构</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2021/6/1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2021/12/30</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区民政局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区市场监管局、区综合执法局、区消防救援大队</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425"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南沙区2020年度跨部门联合双随机抽查行动计划</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南沙区已申报2020年度年报企业抽查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不定向抽查</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登记事项检查、公示信息检查；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已年报企业</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2021/7/1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2021/10/31</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南沙区市场监督管理局</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南沙区综合行政执法局</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4611</w:t>
            </w:r>
          </w:p>
        </w:tc>
      </w:tr>
      <w:tr>
        <w:tblPrEx>
          <w:tblLayout w:type="fixed"/>
          <w:tblCellMar>
            <w:top w:w="0" w:type="dxa"/>
            <w:left w:w="0" w:type="dxa"/>
            <w:bottom w:w="0" w:type="dxa"/>
            <w:right w:w="0" w:type="dxa"/>
          </w:tblCellMar>
        </w:tblPrEx>
        <w:trPr>
          <w:trHeight w:val="285"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物业管理小区消防安全跨部门联合检查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物业管理小区消防安全跨部门联合抽查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已实施物业管理的住宅小区消防设施设备运行情况及物业服务企业消防安全履职情况检查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区物业服务企业</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2021/5/21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2021/5/31</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区住房和城乡建设局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区消防救援大队</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70"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南沙区雷电防护装置检测单位跨部门联合检查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南沙区雷电防护装置检测单位跨部门联合抽查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雷电防护装置检测活动的监督管理；</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注册在南沙区的</w:t>
            </w:r>
            <w:r>
              <w:rPr>
                <w:rFonts w:hint="eastAsia" w:ascii="宋体" w:hAnsi="宋体" w:eastAsia="宋体" w:cs="宋体"/>
                <w:i w:val="0"/>
                <w:color w:val="333333"/>
                <w:kern w:val="0"/>
                <w:sz w:val="24"/>
                <w:szCs w:val="24"/>
                <w:u w:val="none"/>
                <w:lang w:val="en-US" w:eastAsia="zh-CN" w:bidi="ar"/>
              </w:rPr>
              <w:t>雷电防护装置检测单位</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2021/6/1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2021/11/30</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南沙区气象局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南沙区市场监督管理局；南沙区综合行政执法局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7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营业执照（登记证）规范使用情况、名称规范使用情况、经营（驻在）期限、经营（业务）范围中无需审批的经营（业务）项目、住所（经营场所）或驻在场所、法定代表人（负责人）任职情况、法定代表人、自然人股东身份真实性、年度报告公示信息、即时公示信息；检验检测机构检查。</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70"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南沙区旅游景区跨部门联合检查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南沙区旅游景区跨部门联合抽查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防雷减灾工作的监督管理；</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南沙区A级景区</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2021/6/1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2021/7/31</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南沙区气象局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南沙区文广旅体局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85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区内A级景区服务经营情况；安全生产落实情况等。</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开展2021年在建水务工程执法专项检查的通知</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第二季度，开展2021年在建水务工程执法专项检查的通知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重点对在建水务工程安全生产执法及应急管理、消防、农民工工资支付、违法发包、转包或违法分包等情况进行检查。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在建水务项目</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2021/5/27</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2021/6/13</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南沙区水务局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南沙区综合行政执法局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第三季度，开展2021年在建水务工程执法专项检查的通知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重点对在建水务工程安全生产执法及应急管理、消防、农民工工资支付、违法发包、转包或违法分包等情况进行检查。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在建水务项目</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2021/9/1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2021/9/30</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南沙区水务局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南沙区综合行政执法局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第四季度，开展2021年在建水务工程执法专项检查的通知</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定向抽查</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重点对在建水务工程安全生产执法及应急管理、消防、农民工工资支付、违法发包、转包或违法分包等情况进行检查。</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在建水务项目</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2021/12/1</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2021/12/30</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南沙区水务局</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南沙区综合行政执法局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2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2021年南沙区持证卷烟零售户经营情况联合检查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2021年南沙区持证卷烟零售户经营情况联合检查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不定向</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证卷烟零售户守法经营情况；营业执照（登记证）规范使用情况的检查名称规范使用情况检查；经营（驻在）期限的检查；经营（业务）范围中无需审批的经营（业务）项目的检查；住所（经营场所）或驻在场所的检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南沙区持证卷烟零售户</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2021/12/31</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广州市南沙区烟草专卖局</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广州市南沙区市场监督管理局、广州市南沙区综合行政执法局</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10户</w:t>
            </w:r>
          </w:p>
        </w:tc>
      </w:tr>
      <w:tr>
        <w:tblPrEx>
          <w:tblLayout w:type="fixed"/>
          <w:tblCellMar>
            <w:top w:w="0" w:type="dxa"/>
            <w:left w:w="0" w:type="dxa"/>
            <w:bottom w:w="0" w:type="dxa"/>
            <w:right w:w="0" w:type="dxa"/>
          </w:tblCellMar>
        </w:tblPrEx>
        <w:trPr>
          <w:trHeight w:val="11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南沙海关2021年度跨部门抽查工作计划</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南沙海关核查领域联合抽查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出口备案食品生产企业核查、食品生产监督检查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出口备案食品生产企业</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2021/5/10</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2021/11/30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南沙海关</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南沙区市场监管局、南沙区综合行政执法局</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2户</w:t>
            </w:r>
          </w:p>
        </w:tc>
      </w:tr>
    </w:tbl>
    <w:p>
      <w:pPr>
        <w:keepNext w:val="0"/>
        <w:keepLines w:val="0"/>
        <w:pageBreakBefore w:val="0"/>
        <w:widowControl w:val="0"/>
        <w:kinsoku/>
        <w:wordWrap/>
        <w:overflowPunct/>
        <w:topLinePunct w:val="0"/>
        <w:autoSpaceDE/>
        <w:autoSpaceDN/>
        <w:bidi w:val="0"/>
        <w:adjustRightInd/>
        <w:snapToGrid/>
        <w:ind w:left="2398" w:leftChars="304" w:hanging="1760" w:hangingChars="400"/>
        <w:jc w:val="both"/>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C3C66"/>
    <w:rsid w:val="460C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2021-07-01T02:02:00Z</dcterms:created>
  <dc:creator>区市场监督管理局（区知识产权局）</dc:creator>
  <cp:lastModifiedBy>区市场监督管理局（区知识产权局）</cp:lastModifiedBy>
  <dcterms:modified xsi:type="dcterms:W3CDTF">2021-07-01T02:02:54Z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