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520" w:lineRule="atLeast"/>
        <w:rPr>
          <w:rFonts w:hint="default" w:ascii="仿宋_GB2312" w:eastAsia="仿宋_GB2312"/>
          <w:szCs w:val="32"/>
        </w:rPr>
      </w:pPr>
    </w:p>
    <w:p>
      <w:pPr>
        <w:pStyle w:val="5"/>
        <w:snapToGrid w:val="0"/>
        <w:spacing w:line="520" w:lineRule="atLeast"/>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 政 处 罚 决 定 书</w:t>
      </w:r>
    </w:p>
    <w:p>
      <w:pPr>
        <w:tabs>
          <w:tab w:val="center" w:pos="4416"/>
          <w:tab w:val="left" w:pos="7036"/>
        </w:tabs>
        <w:snapToGrid w:val="0"/>
        <w:spacing w:line="520" w:lineRule="atLeast"/>
        <w:jc w:val="left"/>
        <w:rPr>
          <w:rFonts w:hint="default" w:ascii="仿宋_GB2312" w:eastAsia="仿宋_GB2312"/>
          <w:szCs w:val="32"/>
        </w:rPr>
      </w:pPr>
      <w:r>
        <w:rPr>
          <w:rFonts w:ascii="仿宋_GB2312" w:hAnsi="仿宋_GB2312" w:eastAsia="仿宋_GB2312" w:cs="仿宋_GB2312"/>
          <w:szCs w:val="32"/>
        </w:rPr>
        <w:tab/>
      </w:r>
      <w:r>
        <w:rPr>
          <w:rFonts w:ascii="仿宋_GB2312" w:hAnsi="仿宋_GB2312" w:eastAsia="仿宋_GB2312" w:cs="仿宋_GB2312"/>
          <w:szCs w:val="32"/>
        </w:rPr>
        <w:t>南环罚字〔2021〕</w:t>
      </w:r>
      <w:r>
        <w:rPr>
          <w:rFonts w:hint="eastAsia" w:ascii="仿宋_GB2312" w:hAnsi="仿宋_GB2312" w:eastAsia="仿宋_GB2312" w:cs="仿宋_GB2312"/>
          <w:szCs w:val="32"/>
          <w:lang w:val="en-US" w:eastAsia="zh-CN"/>
        </w:rPr>
        <w:t>15</w:t>
      </w:r>
      <w:r>
        <w:rPr>
          <w:rFonts w:ascii="仿宋_GB2312" w:hAnsi="仿宋_GB2312" w:eastAsia="仿宋_GB2312" w:cs="仿宋_GB2312"/>
          <w:szCs w:val="32"/>
        </w:rPr>
        <w:t>号</w:t>
      </w:r>
      <w:r>
        <w:rPr>
          <w:rFonts w:ascii="仿宋_GB2312" w:hAnsi="仿宋_GB2312" w:eastAsia="仿宋_GB2312" w:cs="仿宋_GB2312"/>
          <w:szCs w:val="32"/>
        </w:rPr>
        <w:tab/>
      </w:r>
    </w:p>
    <w:p>
      <w:pPr>
        <w:pStyle w:val="6"/>
        <w:snapToGrid w:val="0"/>
        <w:spacing w:line="520" w:lineRule="atLeast"/>
        <w:rPr>
          <w:rFonts w:ascii="仿宋_GB2312" w:eastAsia="仿宋_GB2312"/>
          <w:sz w:val="32"/>
          <w:szCs w:val="30"/>
        </w:rPr>
      </w:pPr>
    </w:p>
    <w:p>
      <w:pPr>
        <w:pStyle w:val="7"/>
        <w:snapToGrid w:val="0"/>
        <w:spacing w:line="520" w:lineRule="atLeast"/>
        <w:rPr>
          <w:rFonts w:hint="eastAsia" w:ascii="仿宋_GB2312" w:eastAsia="仿宋_GB2312"/>
          <w:sz w:val="32"/>
          <w:szCs w:val="32"/>
        </w:rPr>
      </w:pPr>
      <w:r>
        <w:rPr>
          <w:rFonts w:hint="eastAsia" w:ascii="仿宋_GB2312" w:eastAsia="仿宋_GB2312"/>
          <w:sz w:val="32"/>
          <w:szCs w:val="32"/>
        </w:rPr>
        <w:t>当事人：广州光和皮革制品有限公司</w:t>
      </w:r>
    </w:p>
    <w:p>
      <w:pPr>
        <w:pStyle w:val="7"/>
        <w:snapToGrid w:val="0"/>
        <w:spacing w:line="520" w:lineRule="atLeast"/>
        <w:rPr>
          <w:rFonts w:hint="eastAsia" w:ascii="仿宋_GB2312" w:eastAsia="仿宋_GB2312"/>
          <w:sz w:val="32"/>
          <w:szCs w:val="32"/>
        </w:rPr>
      </w:pPr>
    </w:p>
    <w:p>
      <w:pPr>
        <w:pStyle w:val="7"/>
        <w:snapToGrid w:val="0"/>
        <w:spacing w:line="520" w:lineRule="atLeast"/>
        <w:rPr>
          <w:rFonts w:hint="eastAsia" w:ascii="仿宋_GB2312" w:eastAsia="仿宋_GB2312"/>
          <w:sz w:val="32"/>
          <w:szCs w:val="32"/>
        </w:rPr>
      </w:pPr>
    </w:p>
    <w:p>
      <w:pPr>
        <w:pStyle w:val="7"/>
        <w:snapToGrid w:val="0"/>
        <w:spacing w:line="520" w:lineRule="atLeast"/>
        <w:rPr>
          <w:rFonts w:ascii="仿宋_GB2312" w:eastAsia="仿宋_GB2312"/>
          <w:sz w:val="32"/>
          <w:szCs w:val="32"/>
        </w:rPr>
      </w:pPr>
      <w:r>
        <w:rPr>
          <w:rFonts w:hint="eastAsia" w:ascii="仿宋_GB2312" w:eastAsia="仿宋_GB2312"/>
          <w:sz w:val="32"/>
          <w:szCs w:val="32"/>
        </w:rPr>
        <w:t xml:space="preserve">    一、环境违法事实和证据</w:t>
      </w:r>
    </w:p>
    <w:p>
      <w:pPr>
        <w:spacing w:line="580" w:lineRule="exact"/>
        <w:ind w:firstLine="624" w:firstLineChars="200"/>
        <w:rPr>
          <w:rFonts w:hint="default" w:ascii="仿宋_GB2312" w:eastAsia="仿宋_GB2312"/>
          <w:szCs w:val="32"/>
        </w:rPr>
      </w:pPr>
      <w:r>
        <w:rPr>
          <w:rFonts w:ascii="仿宋_GB2312" w:hAnsi="仿宋_GB2312" w:eastAsia="仿宋_GB2312" w:cs="仿宋_GB2312"/>
          <w:szCs w:val="32"/>
        </w:rPr>
        <w:t>经查，</w:t>
      </w:r>
      <w:r>
        <w:rPr>
          <w:rFonts w:hint="eastAsia" w:ascii="仿宋_GB2312" w:hAnsi="仿宋_GB2312" w:eastAsia="仿宋_GB2312" w:cs="仿宋_GB2312"/>
          <w:szCs w:val="32"/>
          <w:lang w:eastAsia="zh-CN"/>
        </w:rPr>
        <w:t>当事人</w:t>
      </w:r>
      <w:bookmarkStart w:id="0" w:name="_GoBack"/>
      <w:bookmarkEnd w:id="0"/>
      <w:r>
        <w:rPr>
          <w:rFonts w:ascii="仿宋_GB2312" w:hAnsi="仿宋_GB2312" w:eastAsia="仿宋_GB2312" w:cs="仿宋_GB2312"/>
          <w:szCs w:val="32"/>
        </w:rPr>
        <w:t>建成一个皮革制品制造项目</w:t>
      </w:r>
      <w:r>
        <w:rPr>
          <w:rFonts w:hint="eastAsia" w:ascii="仿宋_GB2312" w:hAnsi="仿宋_GB2312" w:eastAsia="仿宋_GB2312" w:cs="仿宋_GB2312"/>
          <w:szCs w:val="32"/>
          <w:lang w:eastAsia="zh-CN"/>
        </w:rPr>
        <w:t>，</w:t>
      </w:r>
      <w:r>
        <w:rPr>
          <w:rFonts w:ascii="仿宋_GB2312" w:hAnsi="仿宋_GB2312" w:eastAsia="仿宋_GB2312" w:cs="仿宋_GB2312"/>
          <w:szCs w:val="32"/>
          <w:highlight w:val="none"/>
        </w:rPr>
        <w:t>于2017年3月</w:t>
      </w:r>
      <w:r>
        <w:rPr>
          <w:rFonts w:hint="eastAsia" w:ascii="仿宋_GB2312" w:hAnsi="仿宋_GB2312" w:eastAsia="仿宋_GB2312" w:cs="仿宋_GB2312"/>
          <w:szCs w:val="32"/>
          <w:highlight w:val="none"/>
          <w:lang w:eastAsia="zh-CN"/>
        </w:rPr>
        <w:t>建成</w:t>
      </w:r>
      <w:r>
        <w:rPr>
          <w:rFonts w:ascii="仿宋_GB2312" w:hAnsi="仿宋_GB2312" w:eastAsia="仿宋_GB2312" w:cs="仿宋_GB2312"/>
          <w:szCs w:val="32"/>
          <w:highlight w:val="none"/>
        </w:rPr>
        <w:t>并投入生产。</w:t>
      </w:r>
      <w:r>
        <w:rPr>
          <w:rFonts w:hint="eastAsia" w:ascii="仿宋_GB2312" w:hAnsi="仿宋_GB2312" w:eastAsia="仿宋_GB2312" w:cs="仿宋_GB2312"/>
          <w:szCs w:val="32"/>
          <w:lang w:eastAsia="zh-CN"/>
        </w:rPr>
        <w:t>当事人</w:t>
      </w:r>
      <w:r>
        <w:rPr>
          <w:rFonts w:ascii="仿宋_GB2312" w:hAnsi="仿宋_GB2312" w:eastAsia="仿宋_GB2312" w:cs="仿宋_GB2312"/>
          <w:szCs w:val="32"/>
        </w:rPr>
        <w:t>现有员工42名，2020年营业额为380万元。</w:t>
      </w:r>
      <w:r>
        <w:rPr>
          <w:rFonts w:hint="eastAsia" w:ascii="仿宋_GB2312" w:hAnsi="仿宋_GB2312" w:eastAsia="仿宋_GB2312" w:cs="仿宋_GB2312"/>
          <w:szCs w:val="32"/>
          <w:lang w:eastAsia="zh-CN"/>
        </w:rPr>
        <w:t>当事人</w:t>
      </w:r>
      <w:r>
        <w:rPr>
          <w:rFonts w:ascii="仿宋_GB2312" w:hAnsi="仿宋_GB2312" w:eastAsia="仿宋_GB2312" w:cs="仿宋_GB2312"/>
          <w:szCs w:val="32"/>
        </w:rPr>
        <w:t>生产工艺流程为：板房制模→产生样板→检验→裁床→裱</w:t>
      </w:r>
      <w:r>
        <w:rPr>
          <w:rFonts w:ascii="仿宋_GB2312" w:eastAsia="仿宋_GB2312"/>
          <w:szCs w:val="32"/>
        </w:rPr>
        <w:t>料→备料→成型→成品包装→入库；主要生产设备有：冲床1台、烫金机1台、起沟机1台、切纸机1台、平压压痕切纸机2台、发热贴合机1台、喷胶房1个、自动上胶折边机1台 、强力上胶机4台；主要原辅材料：纸皮、人造皮革、无纺布、</w:t>
      </w:r>
      <w:r>
        <w:rPr>
          <w:rFonts w:ascii="仿宋_GB2312" w:hAnsi="仿宋_GB2312" w:eastAsia="仿宋_GB2312" w:cs="仿宋_GB2312"/>
          <w:szCs w:val="32"/>
        </w:rPr>
        <w:t>白乳胶、果冻胶、氯丁橡皮胶粘剂（黄糊）。</w:t>
      </w:r>
      <w:r>
        <w:rPr>
          <w:rFonts w:hint="eastAsia" w:ascii="仿宋_GB2312" w:hAnsi="仿宋_GB2312" w:eastAsia="仿宋_GB2312" w:cs="仿宋_GB2312"/>
          <w:szCs w:val="32"/>
          <w:lang w:eastAsia="zh-CN"/>
        </w:rPr>
        <w:t>当事人</w:t>
      </w:r>
      <w:r>
        <w:rPr>
          <w:rFonts w:ascii="仿宋_GB2312" w:hAnsi="仿宋_GB2312" w:eastAsia="仿宋_GB2312" w:cs="仿宋_GB2312"/>
          <w:szCs w:val="32"/>
        </w:rPr>
        <w:t>生产过程中</w:t>
      </w:r>
      <w:r>
        <w:rPr>
          <w:rFonts w:hint="eastAsia" w:ascii="仿宋_GB2312" w:hAnsi="仿宋_GB2312" w:eastAsia="仿宋_GB2312" w:cs="仿宋_GB2312"/>
          <w:szCs w:val="32"/>
          <w:lang w:eastAsia="zh-CN"/>
        </w:rPr>
        <w:t>主要</w:t>
      </w:r>
      <w:r>
        <w:rPr>
          <w:rFonts w:ascii="仿宋_GB2312" w:hAnsi="仿宋_GB2312" w:eastAsia="仿宋_GB2312" w:cs="仿宋_GB2312"/>
          <w:szCs w:val="32"/>
        </w:rPr>
        <w:t>产生的污染物为有机废气，经配套活性炭吸附器处理后高空排放。2020年11月12日</w:t>
      </w:r>
      <w:r>
        <w:rPr>
          <w:rFonts w:hint="eastAsia" w:ascii="仿宋_GB2312" w:hAnsi="仿宋_GB2312" w:eastAsia="仿宋_GB2312" w:cs="仿宋_GB2312"/>
          <w:szCs w:val="32"/>
          <w:highlight w:val="none"/>
          <w:lang w:eastAsia="zh-CN"/>
        </w:rPr>
        <w:t>经本局执法人员</w:t>
      </w:r>
      <w:r>
        <w:rPr>
          <w:rFonts w:ascii="仿宋_GB2312" w:hAnsi="仿宋_GB2312" w:eastAsia="仿宋_GB2312" w:cs="仿宋_GB2312"/>
          <w:szCs w:val="32"/>
          <w:highlight w:val="none"/>
        </w:rPr>
        <w:t>现场检查发现，</w:t>
      </w:r>
      <w:r>
        <w:rPr>
          <w:rFonts w:hint="eastAsia" w:ascii="仿宋_GB2312" w:hAnsi="仿宋_GB2312" w:eastAsia="仿宋_GB2312" w:cs="仿宋_GB2312"/>
          <w:szCs w:val="32"/>
          <w:highlight w:val="none"/>
          <w:lang w:eastAsia="zh-CN"/>
        </w:rPr>
        <w:t>当事人</w:t>
      </w:r>
      <w:r>
        <w:rPr>
          <w:rFonts w:ascii="仿宋_GB2312" w:hAnsi="仿宋_GB2312" w:eastAsia="仿宋_GB2312" w:cs="仿宋_GB2312"/>
          <w:szCs w:val="32"/>
          <w:highlight w:val="none"/>
        </w:rPr>
        <w:t>二楼生产车间粘合生产工序有2个点胶工位和2台强力上胶机均使用氯丁橡皮胶粘剂（黄糊）进行粘合作业</w:t>
      </w:r>
      <w:r>
        <w:rPr>
          <w:rFonts w:ascii="仿宋_GB2312" w:hAnsi="仿宋_GB2312" w:eastAsia="仿宋_GB2312" w:cs="仿宋_GB2312"/>
          <w:szCs w:val="32"/>
        </w:rPr>
        <w:t>，该工序</w:t>
      </w:r>
      <w:r>
        <w:rPr>
          <w:rFonts w:ascii="仿宋_GB2312" w:eastAsia="仿宋_GB2312"/>
          <w:szCs w:val="32"/>
        </w:rPr>
        <w:t>未在密闭空间进行，未安装污染防治设施，产生的挥发性有机废气未进行收集和处理，无组织排放。</w:t>
      </w:r>
    </w:p>
    <w:p>
      <w:pPr>
        <w:snapToGrid w:val="0"/>
        <w:spacing w:line="560" w:lineRule="atLeast"/>
        <w:ind w:firstLine="622"/>
        <w:rPr>
          <w:rFonts w:hint="default" w:ascii="仿宋_GB2312" w:eastAsia="仿宋_GB2312"/>
          <w:szCs w:val="32"/>
        </w:rPr>
      </w:pPr>
      <w:r>
        <w:rPr>
          <w:rFonts w:ascii="仿宋_GB2312" w:eastAsia="仿宋_GB2312"/>
          <w:szCs w:val="32"/>
        </w:rPr>
        <w:t>以上事实，有《现场检查笔录》、《调查询问笔录》、现场检查照片、《安全技术说明书（MSDS）》</w:t>
      </w:r>
      <w:r>
        <w:rPr>
          <w:rFonts w:hint="eastAsia" w:ascii="仿宋_GB2312" w:eastAsia="仿宋_GB2312"/>
          <w:szCs w:val="32"/>
          <w:lang w:eastAsia="zh-CN"/>
        </w:rPr>
        <w:t>、</w:t>
      </w:r>
      <w:r>
        <w:rPr>
          <w:rFonts w:hint="eastAsia" w:ascii="仿宋_GB2312" w:eastAsia="仿宋_GB2312"/>
          <w:szCs w:val="32"/>
          <w:highlight w:val="none"/>
          <w:lang w:eastAsia="zh-CN"/>
        </w:rPr>
        <w:t>视频资料</w:t>
      </w:r>
      <w:r>
        <w:rPr>
          <w:rFonts w:ascii="仿宋_GB2312" w:eastAsia="仿宋_GB2312"/>
          <w:szCs w:val="32"/>
        </w:rPr>
        <w:t>等证据为证。</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二、行政处罚的依据、种类及其履行方式和期限</w:t>
      </w:r>
    </w:p>
    <w:p>
      <w:pPr>
        <w:snapToGrid w:val="0"/>
        <w:spacing w:line="560" w:lineRule="atLeast"/>
        <w:ind w:firstLine="622"/>
        <w:rPr>
          <w:rFonts w:hint="default" w:ascii="仿宋_GB2312" w:eastAsia="仿宋_GB2312"/>
          <w:szCs w:val="32"/>
        </w:rPr>
      </w:pPr>
      <w:r>
        <w:rPr>
          <w:rFonts w:hint="eastAsia" w:ascii="仿宋_GB2312" w:eastAsia="仿宋_GB2312"/>
          <w:sz w:val="32"/>
          <w:szCs w:val="32"/>
        </w:rPr>
        <w:t>当事人上述行为违反了</w:t>
      </w:r>
      <w:r>
        <w:rPr>
          <w:rFonts w:ascii="仿宋_GB2312" w:eastAsia="仿宋_GB2312"/>
          <w:szCs w:val="32"/>
        </w:rPr>
        <w:t>《中华人民共和国大气污染防治法》第四十五条的规定。</w:t>
      </w:r>
    </w:p>
    <w:p>
      <w:pPr>
        <w:pStyle w:val="7"/>
        <w:snapToGrid w:val="0"/>
        <w:spacing w:line="520" w:lineRule="atLeast"/>
        <w:ind w:firstLine="624" w:firstLineChars="200"/>
        <w:rPr>
          <w:rFonts w:hint="eastAsia" w:ascii="仿宋_GB2312" w:eastAsia="仿宋_GB2312"/>
          <w:sz w:val="32"/>
          <w:szCs w:val="32"/>
          <w:lang w:eastAsia="zh-CN"/>
        </w:rPr>
      </w:pPr>
      <w:r>
        <w:rPr>
          <w:rFonts w:hint="eastAsia" w:ascii="仿宋_GB2312" w:eastAsia="仿宋_GB2312"/>
          <w:sz w:val="32"/>
          <w:szCs w:val="32"/>
          <w:highlight w:val="none"/>
        </w:rPr>
        <w:t>2021年</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日，本局向</w:t>
      </w:r>
      <w:r>
        <w:rPr>
          <w:rFonts w:hint="eastAsia" w:ascii="仿宋_GB2312" w:eastAsia="仿宋_GB2312"/>
          <w:sz w:val="32"/>
          <w:szCs w:val="32"/>
        </w:rPr>
        <w:t>当事人送达了《行政处罚事先告知书》（南环罚告字〔2021〕</w:t>
      </w:r>
      <w:r>
        <w:rPr>
          <w:rFonts w:hint="eastAsia" w:ascii="仿宋_GB2312" w:eastAsia="仿宋_GB2312"/>
          <w:sz w:val="32"/>
          <w:szCs w:val="32"/>
          <w:lang w:val="en-US" w:eastAsia="zh-CN"/>
        </w:rPr>
        <w:t>5</w:t>
      </w:r>
      <w:r>
        <w:rPr>
          <w:rFonts w:hint="eastAsia" w:ascii="仿宋_GB2312" w:eastAsia="仿宋_GB2312"/>
          <w:sz w:val="32"/>
          <w:szCs w:val="32"/>
        </w:rPr>
        <w:t>号），同月</w:t>
      </w:r>
      <w:r>
        <w:rPr>
          <w:rFonts w:hint="eastAsia" w:ascii="仿宋_GB2312" w:eastAsia="仿宋_GB2312"/>
          <w:sz w:val="32"/>
          <w:szCs w:val="32"/>
          <w:lang w:val="en-US" w:eastAsia="zh-CN"/>
        </w:rPr>
        <w:t>2</w:t>
      </w:r>
      <w:r>
        <w:rPr>
          <w:rFonts w:hint="eastAsia" w:ascii="仿宋_GB2312" w:eastAsia="仿宋_GB2312"/>
          <w:sz w:val="32"/>
          <w:szCs w:val="32"/>
        </w:rPr>
        <w:t>日，当事人向本局递交了书面申辩书。当事人提出如下申辩意见：</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首先我公司会定期聘请第三方机构进行废气检测 (有组织和无组织废气),检测结果都是达标的；2、我公司所使用的胶水都有环保标准的,而且使用的地方是在生产车间,但贵局认为车间不属于密闭空间,生产作业必须在密闭空间进行；3、贵局提出整改通知后,我公司第一时间马上进行了改正,后续没有发生类似问题,(后附整改后的图 片)；4、贵局2020年9月29日下发的文件【关于限期完成生态环境部挥发性有机物督办问题整改工作的通知】,我公司认真阅读并执行的,其中提到对企业进行帮扶,我公司认为,之前出现的问题,只是理解不到位,贵局提出整改后,我公司马上进行了整改,所以对于贵局2021年5月28日下发的行政处罚告知书有异议,望领导酌情处理,帮企业渡过难</w:t>
      </w:r>
      <w:r>
        <w:rPr>
          <w:rFonts w:hint="eastAsia" w:ascii="仿宋_GB2312" w:eastAsia="仿宋_GB2312"/>
          <w:sz w:val="32"/>
          <w:szCs w:val="32"/>
          <w:lang w:val="en-US" w:eastAsia="zh-CN"/>
        </w:rPr>
        <w:t>关。此致敬礼!</w:t>
      </w:r>
      <w:r>
        <w:rPr>
          <w:rFonts w:hint="eastAsia" w:ascii="仿宋_GB2312" w:eastAsia="仿宋_GB2312"/>
          <w:sz w:val="32"/>
          <w:szCs w:val="32"/>
          <w:lang w:eastAsia="zh-CN"/>
        </w:rPr>
        <w:t>”</w:t>
      </w:r>
    </w:p>
    <w:p>
      <w:pPr>
        <w:pStyle w:val="7"/>
        <w:snapToGrid w:val="0"/>
        <w:spacing w:line="560" w:lineRule="atLeast"/>
        <w:ind w:firstLine="622"/>
        <w:rPr>
          <w:rFonts w:ascii="仿宋_GB2312" w:eastAsia="仿宋_GB2312"/>
          <w:color w:val="0C0C0C"/>
          <w:sz w:val="32"/>
          <w:szCs w:val="32"/>
        </w:rPr>
      </w:pPr>
      <w:r>
        <w:rPr>
          <w:rFonts w:hint="eastAsia" w:ascii="仿宋_GB2312" w:eastAsia="仿宋_GB2312"/>
          <w:sz w:val="32"/>
          <w:szCs w:val="32"/>
        </w:rPr>
        <w:t>经审查，本局认为：当事人上述违反《中华人民共和国大气污染防治法》第四十五条规定</w:t>
      </w:r>
      <w:r>
        <w:rPr>
          <w:rFonts w:hint="eastAsia" w:ascii="仿宋_GB2312" w:eastAsia="仿宋_GB2312"/>
          <w:color w:val="0C0C0C"/>
          <w:sz w:val="32"/>
          <w:szCs w:val="32"/>
        </w:rPr>
        <w:t>的违法事实清楚，依法应予行政处罚。现本案经本局审查结束。</w:t>
      </w:r>
    </w:p>
    <w:p>
      <w:pPr>
        <w:pStyle w:val="6"/>
        <w:snapToGrid w:val="0"/>
        <w:spacing w:line="52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本局依据《中华人民共和国大气污染防治法》第一百零八条第（一）项的规定</w:t>
      </w:r>
      <w:r>
        <w:rPr>
          <w:rFonts w:hint="eastAsia" w:ascii="仿宋_GB2312" w:eastAsia="仿宋_GB2312"/>
          <w:color w:val="0C0C0C"/>
          <w:sz w:val="32"/>
          <w:szCs w:val="32"/>
          <w:lang w:eastAsia="zh-CN"/>
        </w:rPr>
        <w:t>，</w:t>
      </w:r>
      <w:r>
        <w:rPr>
          <w:rFonts w:hint="eastAsia" w:ascii="仿宋_GB2312" w:eastAsia="仿宋_GB2312"/>
          <w:color w:val="0C0C0C"/>
          <w:sz w:val="32"/>
          <w:szCs w:val="32"/>
        </w:rPr>
        <w:t>对当事人作出如下决定：</w:t>
      </w:r>
    </w:p>
    <w:p>
      <w:pPr>
        <w:pStyle w:val="6"/>
        <w:numPr>
          <w:ilvl w:val="0"/>
          <w:numId w:val="1"/>
        </w:numPr>
        <w:snapToGrid w:val="0"/>
        <w:spacing w:line="52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责令改正违法行为；</w:t>
      </w:r>
    </w:p>
    <w:p>
      <w:pPr>
        <w:pStyle w:val="6"/>
        <w:numPr>
          <w:ilvl w:val="0"/>
          <w:numId w:val="1"/>
        </w:numPr>
        <w:snapToGrid w:val="0"/>
        <w:spacing w:line="52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处罚款</w:t>
      </w:r>
      <w:r>
        <w:rPr>
          <w:rFonts w:hint="eastAsia" w:ascii="仿宋_GB2312" w:eastAsia="仿宋_GB2312"/>
          <w:color w:val="0C0C0C"/>
          <w:sz w:val="32"/>
          <w:szCs w:val="32"/>
          <w:lang w:val="en-US" w:eastAsia="zh-CN"/>
        </w:rPr>
        <w:t>40</w:t>
      </w:r>
      <w:r>
        <w:rPr>
          <w:rFonts w:hint="eastAsia" w:ascii="仿宋_GB2312" w:eastAsia="仿宋_GB2312"/>
          <w:color w:val="0C0C0C"/>
          <w:sz w:val="32"/>
          <w:szCs w:val="32"/>
        </w:rPr>
        <w:t>000元。</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限当事人于接到本行政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3124。</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三、申请行政复议或者提起行政诉讼的途径和期限</w:t>
      </w:r>
    </w:p>
    <w:p>
      <w:pPr>
        <w:pStyle w:val="6"/>
        <w:snapToGrid w:val="0"/>
        <w:spacing w:line="520" w:lineRule="atLeast"/>
        <w:ind w:firstLine="624" w:firstLineChars="200"/>
        <w:rPr>
          <w:rFonts w:hint="eastAsia" w:ascii="仿宋_GB2312" w:eastAsia="仿宋_GB2312"/>
          <w:sz w:val="32"/>
          <w:szCs w:val="32"/>
        </w:rPr>
      </w:pPr>
      <w:r>
        <w:rPr>
          <w:rFonts w:hint="eastAsia" w:ascii="仿宋_GB2312" w:eastAsia="仿宋_GB2312"/>
          <w:sz w:val="32"/>
          <w:szCs w:val="32"/>
        </w:rPr>
        <w:t>如当事人对本决定不服，可在收到本决定之日起60日内向广州市人民政府（地址：广州市越秀区小北路183号金和大厦2楼市政府行政复议办公室，电话：020-83555988），也可向广东省生态环境厅（地址：天河区龙口西路213号，电话：020-87533928、87531656）申请行政复议；或者在收到本决定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当事人向广州市人民政府提出行政复议申请。</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逾期不履行本决定，本局将申请人民法院强制执行，并每日按罚款额的百分之三加处罚款。</w:t>
      </w:r>
    </w:p>
    <w:p>
      <w:pPr>
        <w:pStyle w:val="6"/>
        <w:snapToGrid w:val="0"/>
        <w:spacing w:line="520" w:lineRule="atLeast"/>
        <w:ind w:firstLine="624" w:firstLineChars="200"/>
        <w:rPr>
          <w:rFonts w:ascii="仿宋_GB2312" w:eastAsia="仿宋_GB2312"/>
          <w:sz w:val="32"/>
          <w:szCs w:val="32"/>
        </w:rPr>
      </w:pPr>
    </w:p>
    <w:p>
      <w:pPr>
        <w:tabs>
          <w:tab w:val="left" w:pos="0"/>
        </w:tabs>
        <w:snapToGrid w:val="0"/>
        <w:spacing w:line="540" w:lineRule="atLeast"/>
        <w:ind w:right="1248" w:rightChars="400" w:firstLine="624" w:firstLineChars="200"/>
        <w:rPr>
          <w:rFonts w:hint="default" w:ascii="仿宋_GB2312" w:hAnsi="仿宋_GB2312" w:eastAsia="仿宋_GB2312" w:cs="仿宋_GB2312"/>
          <w:spacing w:val="-6"/>
          <w:szCs w:val="32"/>
        </w:rPr>
      </w:pPr>
      <w:r>
        <w:rPr>
          <w:rFonts w:ascii="仿宋_GB2312" w:hAnsi="仿宋_GB2312" w:eastAsia="仿宋_GB2312" w:cs="仿宋_GB2312"/>
          <w:szCs w:val="32"/>
        </w:rPr>
        <w:t xml:space="preserve">                         广州市生态环境局</w:t>
      </w:r>
    </w:p>
    <w:p>
      <w:pPr>
        <w:tabs>
          <w:tab w:val="left" w:pos="0"/>
        </w:tabs>
        <w:snapToGrid w:val="0"/>
        <w:spacing w:line="540" w:lineRule="atLeast"/>
        <w:ind w:right="1872" w:rightChars="600" w:firstLine="600" w:firstLineChars="200"/>
        <w:rPr>
          <w:rFonts w:hint="default" w:ascii="仿宋_GB2312" w:hAnsi="仿宋_GB2312" w:eastAsia="仿宋_GB2312" w:cs="仿宋_GB2312"/>
          <w:spacing w:val="-6"/>
          <w:szCs w:val="32"/>
          <w:highlight w:val="none"/>
          <w:lang w:val="en-US"/>
        </w:rPr>
      </w:pPr>
      <w:r>
        <w:rPr>
          <w:rFonts w:ascii="仿宋_GB2312" w:hAnsi="仿宋_GB2312" w:eastAsia="仿宋_GB2312" w:cs="仿宋_GB2312"/>
          <w:spacing w:val="-6"/>
          <w:szCs w:val="32"/>
        </w:rPr>
        <w:t xml:space="preserve">                            2021年</w:t>
      </w:r>
      <w:r>
        <w:rPr>
          <w:rFonts w:hint="eastAsia" w:ascii="仿宋_GB2312" w:hAnsi="仿宋_GB2312" w:eastAsia="仿宋_GB2312" w:cs="仿宋_GB2312"/>
          <w:spacing w:val="-6"/>
          <w:szCs w:val="32"/>
          <w:lang w:val="en-US" w:eastAsia="zh-CN"/>
        </w:rPr>
        <w:t>6</w:t>
      </w:r>
      <w:r>
        <w:rPr>
          <w:rFonts w:ascii="仿宋_GB2312" w:hAnsi="仿宋_GB2312" w:eastAsia="仿宋_GB2312" w:cs="仿宋_GB2312"/>
          <w:spacing w:val="-6"/>
          <w:szCs w:val="32"/>
        </w:rPr>
        <w:t>月</w:t>
      </w:r>
      <w:r>
        <w:rPr>
          <w:rFonts w:hint="eastAsia" w:ascii="仿宋_GB2312" w:hAnsi="仿宋_GB2312" w:eastAsia="仿宋_GB2312" w:cs="仿宋_GB2312"/>
          <w:spacing w:val="-6"/>
          <w:szCs w:val="32"/>
          <w:lang w:val="en-US" w:eastAsia="zh-CN"/>
        </w:rPr>
        <w:t>22</w:t>
      </w:r>
      <w:r>
        <w:rPr>
          <w:rFonts w:hint="eastAsia" w:ascii="仿宋_GB2312" w:hAnsi="仿宋_GB2312" w:eastAsia="仿宋_GB2312" w:cs="仿宋_GB2312"/>
          <w:spacing w:val="-6"/>
          <w:szCs w:val="32"/>
          <w:highlight w:val="none"/>
          <w:lang w:val="en-US" w:eastAsia="zh-CN"/>
        </w:rPr>
        <w:t>日</w:t>
      </w:r>
    </w:p>
    <w:p>
      <w:pPr>
        <w:tabs>
          <w:tab w:val="left" w:pos="0"/>
        </w:tabs>
        <w:snapToGrid w:val="0"/>
        <w:spacing w:line="520" w:lineRule="atLeast"/>
        <w:rPr>
          <w:rFonts w:hint="default" w:ascii="仿宋_GB2312" w:eastAsia="仿宋_GB2312"/>
          <w:szCs w:val="32"/>
        </w:rPr>
      </w:pPr>
      <w:r>
        <w:rPr>
          <w:rFonts w:ascii="仿宋_GB2312" w:eastAsia="仿宋_GB2312"/>
          <w:szCs w:val="32"/>
        </w:rPr>
        <w:t>（联系电话：020-39053008、39053079、39078029）</w:t>
      </w:r>
    </w:p>
    <w:p>
      <w:pPr>
        <w:rPr>
          <w:rFonts w:hint="default"/>
        </w:rPr>
      </w:pPr>
    </w:p>
    <w:p/>
    <w:sectPr>
      <w:footerReference r:id="rId3" w:type="default"/>
      <w:footerReference r:id="rId4" w:type="even"/>
      <w:pgSz w:w="11906" w:h="16838"/>
      <w:pgMar w:top="2097" w:right="1474" w:bottom="1984" w:left="1587" w:header="851" w:footer="1474" w:gutter="0"/>
      <w:pgNumType w:fmt="numberInDash"/>
      <w:cols w:space="72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0035"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0035" cy="233680"/>
                      </a:xfrm>
                      <a:prstGeom prst="rect">
                        <a:avLst/>
                      </a:prstGeom>
                      <a:noFill/>
                      <a:ln>
                        <a:noFill/>
                      </a:ln>
                    </wps:spPr>
                    <wps:txbx>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2</w:t>
                          </w:r>
                          <w:r>
                            <w:rPr>
                              <w:rFonts w:ascii="宋体" w:hAnsi="宋体" w:eastAsia="宋体" w:cs="宋体"/>
                              <w:sz w:val="28"/>
                              <w:szCs w:val="28"/>
                            </w:rPr>
                            <w:fldChar w:fldCharType="end"/>
                          </w:r>
                          <w:r>
                            <w:rPr>
                              <w:rFonts w:ascii="宋体" w:hAnsi="宋体" w:eastAsia="宋体" w:cs="宋体"/>
                              <w:sz w:val="28"/>
                              <w:szCs w:val="28"/>
                            </w:rPr>
                            <w:t>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22.05pt;mso-position-horizontal:outside;mso-position-horizontal-relative:margin;mso-wrap-style:none;z-index:251659264;mso-width-relative:page;mso-height-relative:page;" filled="f" stroked="f" coordsize="21600,21600" o:gfxdata="UEsDBAoAAAAAAIdO4kAAAAAAAAAAAAAAAAAEAAAAZHJzL1BLAwQUAAAACACHTuJAr8oJLt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8oJLtEAAAADAQAADwAA&#10;AAAAAAABACAAAAAiAAAAZHJzL2Rvd25yZXYueG1sUEsBAhQAFAAAAAgAh07iQL/8/3erAQAAPQMA&#10;AA4AAAAAAAAAAQAgAAAAIAEAAGRycy9lMm9Eb2MueG1sUEsFBgAAAAAGAAYAWQEAAD0FAAAAAA==&#10;">
              <v:fill on="f" focussize="0,0"/>
              <v:stroke on="f"/>
              <v:imagedata o:title=""/>
              <o:lock v:ext="edit" aspectratio="f"/>
              <v:textbox inset="0mm,0mm,0mm,0mm" style="mso-fit-shape-to-text:t;">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2</w:t>
                    </w:r>
                    <w:r>
                      <w:rPr>
                        <w:rFonts w:ascii="宋体" w:hAnsi="宋体" w:eastAsia="宋体" w:cs="宋体"/>
                        <w:sz w:val="28"/>
                        <w:szCs w:val="28"/>
                      </w:rPr>
                      <w:fldChar w:fldCharType="end"/>
                    </w:r>
                    <w:r>
                      <w:rPr>
                        <w:rFonts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16890"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16890" cy="233680"/>
                      </a:xfrm>
                      <a:prstGeom prst="rect">
                        <a:avLst/>
                      </a:prstGeom>
                      <a:noFill/>
                      <a:ln>
                        <a:noFill/>
                      </a:ln>
                    </wps:spPr>
                    <wps:txbx>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40.7pt;mso-position-horizontal:outside;mso-position-horizontal-relative:margin;mso-wrap-style:none;z-index:251660288;mso-width-relative:page;mso-height-relative:page;" filled="f" stroked="f" coordsize="21600,21600" o:gfxdata="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EUFN/RAAAAAwEAAA8A&#10;AAAAAAAAAQAgAAAAIgAAAGRycy9kb3ducmV2LnhtbFBLAQIUABQAAAAIAIdO4kDFsTPurAEAAD0D&#10;AAAOAAAAAAAAAAEAIAAAACABAABkcnMvZTJvRG9jLnhtbFBLBQYAAAAABgAGAFkBAAA+BQAAAAA=&#10;">
              <v:fill on="f" focussize="0,0"/>
              <v:stroke on="f"/>
              <v:imagedata o:title=""/>
              <o:lock v:ext="edit" aspectratio="f"/>
              <v:textbox inset="0mm,0mm,0mm,0mm" style="mso-fit-shape-to-text:t;">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7E227"/>
    <w:multiLevelType w:val="singleLevel"/>
    <w:tmpl w:val="2827E2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81C0A"/>
    <w:rsid w:val="00B0240F"/>
    <w:rsid w:val="108D1820"/>
    <w:rsid w:val="21535125"/>
    <w:rsid w:val="43081C0A"/>
    <w:rsid w:val="4E6D1307"/>
    <w:rsid w:val="63D20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ascii="宋体" w:hAnsi="宋体" w:eastAsia="汉鼎简书宋"/>
      <w:kern w:val="0"/>
      <w:sz w:val="18"/>
    </w:rPr>
  </w:style>
  <w:style w:type="paragraph" w:customStyle="1" w:styleId="5">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2021-06-01T10:10:00Z</dcterms:created>
  <dc:creator>刘倩</dc:creator>
  <cp:lastModifiedBy>Administrator</cp:lastModifiedBy>
  <dcterms:modified xsi:type="dcterms:W3CDTF">2021-06-22T08:32:50Z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D38EB2F31DEE426D88313F50A6D86EF8</vt:lpwstr>
  </property>
</Properties>
</file>