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520" w:lineRule="atLeast"/>
        <w:rPr>
          <w:rFonts w:hint="default" w:ascii="仿宋_GB2312" w:eastAsia="仿宋_GB2312"/>
          <w:szCs w:val="32"/>
        </w:rPr>
      </w:pPr>
    </w:p>
    <w:p>
      <w:pPr>
        <w:pStyle w:val="5"/>
        <w:snapToGrid w:val="0"/>
        <w:spacing w:line="520" w:lineRule="atLeast"/>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 政 处 罚 决 定 书</w:t>
      </w:r>
    </w:p>
    <w:p>
      <w:pPr>
        <w:tabs>
          <w:tab w:val="center" w:pos="4416"/>
          <w:tab w:val="left" w:pos="7036"/>
        </w:tabs>
        <w:snapToGrid w:val="0"/>
        <w:spacing w:line="520" w:lineRule="atLeast"/>
        <w:jc w:val="left"/>
        <w:rPr>
          <w:rFonts w:hint="default" w:ascii="仿宋_GB2312" w:eastAsia="仿宋_GB2312"/>
          <w:szCs w:val="32"/>
        </w:rPr>
      </w:pPr>
      <w:r>
        <w:rPr>
          <w:rFonts w:ascii="仿宋_GB2312" w:hAnsi="仿宋_GB2312" w:eastAsia="仿宋_GB2312" w:cs="仿宋_GB2312"/>
          <w:szCs w:val="32"/>
        </w:rPr>
        <w:tab/>
      </w:r>
      <w:r>
        <w:rPr>
          <w:rFonts w:ascii="仿宋_GB2312" w:hAnsi="仿宋_GB2312" w:eastAsia="仿宋_GB2312" w:cs="仿宋_GB2312"/>
          <w:szCs w:val="32"/>
        </w:rPr>
        <w:t>南环罚字〔2021〕</w:t>
      </w:r>
      <w:r>
        <w:rPr>
          <w:rFonts w:hint="eastAsia" w:ascii="仿宋_GB2312" w:hAnsi="仿宋_GB2312" w:eastAsia="仿宋_GB2312" w:cs="仿宋_GB2312"/>
          <w:szCs w:val="32"/>
          <w:highlight w:val="none"/>
          <w:lang w:val="en-US" w:eastAsia="zh-CN"/>
        </w:rPr>
        <w:t>14</w:t>
      </w:r>
      <w:r>
        <w:rPr>
          <w:rFonts w:ascii="仿宋_GB2312" w:hAnsi="仿宋_GB2312" w:eastAsia="仿宋_GB2312" w:cs="仿宋_GB2312"/>
          <w:szCs w:val="32"/>
        </w:rPr>
        <w:t>号</w:t>
      </w:r>
      <w:r>
        <w:rPr>
          <w:rFonts w:ascii="仿宋_GB2312" w:hAnsi="仿宋_GB2312" w:eastAsia="仿宋_GB2312" w:cs="仿宋_GB2312"/>
          <w:szCs w:val="32"/>
        </w:rPr>
        <w:tab/>
      </w:r>
    </w:p>
    <w:p>
      <w:pPr>
        <w:pStyle w:val="6"/>
        <w:snapToGrid w:val="0"/>
        <w:spacing w:line="520" w:lineRule="atLeast"/>
        <w:rPr>
          <w:rFonts w:ascii="仿宋_GB2312" w:eastAsia="仿宋_GB2312"/>
          <w:sz w:val="32"/>
          <w:szCs w:val="30"/>
        </w:rPr>
      </w:pPr>
    </w:p>
    <w:p>
      <w:pPr>
        <w:pStyle w:val="7"/>
        <w:snapToGrid w:val="0"/>
        <w:spacing w:line="520" w:lineRule="atLeast"/>
        <w:rPr>
          <w:rFonts w:ascii="仿宋_GB2312" w:eastAsia="仿宋_GB2312"/>
          <w:sz w:val="32"/>
          <w:szCs w:val="32"/>
        </w:rPr>
      </w:pPr>
      <w:r>
        <w:rPr>
          <w:rFonts w:hint="eastAsia" w:ascii="仿宋_GB2312" w:eastAsia="仿宋_GB2312"/>
          <w:sz w:val="32"/>
          <w:szCs w:val="32"/>
        </w:rPr>
        <w:t>当事人：广州包道食品加工有限公司</w:t>
      </w:r>
    </w:p>
    <w:p>
      <w:pPr>
        <w:pStyle w:val="7"/>
        <w:snapToGrid w:val="0"/>
        <w:spacing w:line="520" w:lineRule="atLeast"/>
        <w:ind w:firstLine="624" w:firstLineChars="200"/>
        <w:rPr>
          <w:rFonts w:hint="eastAsia" w:ascii="仿宋_GB2312" w:eastAsia="仿宋_GB2312"/>
          <w:sz w:val="32"/>
          <w:szCs w:val="32"/>
        </w:rPr>
      </w:pPr>
    </w:p>
    <w:p>
      <w:pPr>
        <w:pStyle w:val="7"/>
        <w:snapToGrid w:val="0"/>
        <w:spacing w:line="520" w:lineRule="atLeast"/>
        <w:ind w:firstLine="624" w:firstLineChars="200"/>
        <w:rPr>
          <w:rFonts w:hint="eastAsia" w:ascii="仿宋_GB2312" w:eastAsia="仿宋_GB2312"/>
          <w:sz w:val="32"/>
          <w:szCs w:val="32"/>
        </w:rPr>
      </w:pP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一、环境违法事实和证据</w:t>
      </w:r>
    </w:p>
    <w:p>
      <w:pPr>
        <w:pStyle w:val="7"/>
        <w:keepNext w:val="0"/>
        <w:keepLines w:val="0"/>
        <w:pageBreakBefore w:val="0"/>
        <w:widowControl w:val="0"/>
        <w:kinsoku/>
        <w:wordWrap/>
        <w:overflowPunct/>
        <w:topLinePunct w:val="0"/>
        <w:autoSpaceDE/>
        <w:autoSpaceDN/>
        <w:bidi w:val="0"/>
        <w:adjustRightInd/>
        <w:snapToGrid w:val="0"/>
        <w:spacing w:line="520" w:lineRule="atLeast"/>
        <w:ind w:firstLine="624" w:firstLineChars="200"/>
        <w:textAlignment w:val="auto"/>
        <w:rPr>
          <w:rFonts w:ascii="仿宋_GB2312" w:eastAsia="仿宋_GB2312"/>
          <w:sz w:val="32"/>
          <w:szCs w:val="32"/>
        </w:rPr>
      </w:pPr>
      <w:r>
        <w:rPr>
          <w:rFonts w:hint="eastAsia" w:ascii="仿宋_GB2312" w:eastAsia="仿宋_GB2312"/>
          <w:sz w:val="32"/>
          <w:szCs w:val="32"/>
        </w:rPr>
        <w:t>经查，</w:t>
      </w:r>
      <w:r>
        <w:rPr>
          <w:rFonts w:hint="eastAsia" w:ascii="仿宋_GB2312" w:eastAsia="仿宋_GB2312"/>
          <w:sz w:val="32"/>
          <w:szCs w:val="32"/>
          <w:lang w:eastAsia="zh-CN"/>
        </w:rPr>
        <w:t>当事人</w:t>
      </w:r>
      <w:bookmarkStart w:id="0" w:name="_GoBack"/>
      <w:bookmarkEnd w:id="0"/>
      <w:r>
        <w:rPr>
          <w:rFonts w:hint="eastAsia" w:ascii="仿宋_GB2312" w:eastAsia="仿宋_GB2312"/>
          <w:sz w:val="32"/>
          <w:szCs w:val="32"/>
        </w:rPr>
        <w:t>建成一个速冻食品的生产项目，于2015年9月建成并投入生产，现有73名员工，年营</w:t>
      </w:r>
      <w:r>
        <w:rPr>
          <w:rFonts w:hint="eastAsia" w:ascii="仿宋_GB2312" w:eastAsia="仿宋_GB2312"/>
          <w:sz w:val="32"/>
          <w:szCs w:val="32"/>
          <w:highlight w:val="none"/>
        </w:rPr>
        <w:t>业额</w:t>
      </w:r>
      <w:r>
        <w:rPr>
          <w:rFonts w:hint="eastAsia" w:ascii="仿宋_GB2312" w:eastAsia="仿宋_GB2312"/>
          <w:sz w:val="32"/>
          <w:szCs w:val="32"/>
          <w:highlight w:val="none"/>
          <w:lang w:eastAsia="zh-CN"/>
        </w:rPr>
        <w:t>约</w:t>
      </w:r>
      <w:r>
        <w:rPr>
          <w:rFonts w:hint="eastAsia" w:ascii="仿宋_GB2312" w:eastAsia="仿宋_GB2312"/>
          <w:sz w:val="32"/>
          <w:szCs w:val="32"/>
          <w:highlight w:val="none"/>
        </w:rPr>
        <w:t>为7800万元。</w:t>
      </w:r>
      <w:r>
        <w:rPr>
          <w:rFonts w:hint="eastAsia" w:ascii="仿宋_GB2312" w:eastAsia="仿宋_GB2312"/>
          <w:sz w:val="32"/>
          <w:szCs w:val="32"/>
          <w:highlight w:val="none"/>
          <w:lang w:eastAsia="zh-CN"/>
        </w:rPr>
        <w:t>当事人</w:t>
      </w:r>
      <w:r>
        <w:rPr>
          <w:rFonts w:hint="eastAsia" w:ascii="仿宋_GB2312" w:eastAsia="仿宋_GB2312"/>
          <w:sz w:val="32"/>
          <w:szCs w:val="32"/>
          <w:highlight w:val="none"/>
        </w:rPr>
        <w:t>主要生产设备有：切菜机2台、切条机1台、搅拌</w:t>
      </w:r>
      <w:r>
        <w:rPr>
          <w:rFonts w:hint="eastAsia" w:ascii="仿宋_GB2312" w:eastAsia="仿宋_GB2312"/>
          <w:sz w:val="32"/>
          <w:szCs w:val="32"/>
        </w:rPr>
        <w:t>机1台、肉切丁机1台、菜切丁机1台等；主要生产工艺流程为：原材料（肉、菜）→清洗→配料→切碎→搅拌→包装→产品。</w:t>
      </w:r>
      <w:r>
        <w:rPr>
          <w:rFonts w:hint="eastAsia" w:ascii="仿宋_GB2312" w:eastAsia="仿宋_GB2312"/>
          <w:sz w:val="32"/>
          <w:szCs w:val="32"/>
          <w:lang w:eastAsia="zh-CN"/>
        </w:rPr>
        <w:t>当事人</w:t>
      </w:r>
      <w:r>
        <w:rPr>
          <w:rFonts w:hint="eastAsia" w:ascii="仿宋_GB2312" w:eastAsia="仿宋_GB2312"/>
          <w:sz w:val="32"/>
          <w:szCs w:val="32"/>
        </w:rPr>
        <w:t>生产过程中主要产生生活污水、生产废水、原料残渣和废油脂等污染物，厕所生活污水排入美林实业（中国）有限公司A厂房的公用三级化粪池预处理后经美林实业（中国）有限公司污水管网汇入市政污水管网再排入东涌净水厂深度处理，生产废水和员工洗手废水经隔油隔渣池+生化处理设施处理后经美林实业（中国）有限公司污水管网汇入市政污水管网排入东涌净水厂深度处理，原料残渣和废油脂交由相关单位处置。</w:t>
      </w:r>
    </w:p>
    <w:p>
      <w:pPr>
        <w:pStyle w:val="7"/>
        <w:keepNext w:val="0"/>
        <w:keepLines w:val="0"/>
        <w:pageBreakBefore w:val="0"/>
        <w:widowControl w:val="0"/>
        <w:kinsoku/>
        <w:wordWrap/>
        <w:overflowPunct/>
        <w:topLinePunct w:val="0"/>
        <w:autoSpaceDE/>
        <w:autoSpaceDN/>
        <w:bidi w:val="0"/>
        <w:adjustRightInd/>
        <w:snapToGrid w:val="0"/>
        <w:spacing w:line="520" w:lineRule="atLeast"/>
        <w:ind w:firstLine="624" w:firstLineChars="200"/>
        <w:textAlignment w:val="auto"/>
        <w:rPr>
          <w:rFonts w:ascii="仿宋_GB2312" w:eastAsia="仿宋_GB2312"/>
          <w:sz w:val="32"/>
          <w:szCs w:val="32"/>
        </w:rPr>
      </w:pPr>
      <w:r>
        <w:rPr>
          <w:rFonts w:hint="eastAsia" w:ascii="仿宋_GB2312" w:eastAsia="仿宋_GB2312"/>
          <w:sz w:val="32"/>
          <w:szCs w:val="32"/>
        </w:rPr>
        <w:t>2020年10月22日，</w:t>
      </w:r>
      <w:r>
        <w:rPr>
          <w:rFonts w:hint="eastAsia" w:ascii="仿宋_GB2312" w:eastAsia="仿宋_GB2312"/>
          <w:sz w:val="32"/>
          <w:szCs w:val="32"/>
          <w:highlight w:val="none"/>
          <w:lang w:eastAsia="zh-CN"/>
        </w:rPr>
        <w:t>当事人正在</w:t>
      </w:r>
      <w:r>
        <w:rPr>
          <w:rFonts w:hint="eastAsia" w:ascii="仿宋_GB2312" w:eastAsia="仿宋_GB2312"/>
          <w:sz w:val="32"/>
          <w:szCs w:val="32"/>
          <w:highlight w:val="none"/>
        </w:rPr>
        <w:t>生产</w:t>
      </w:r>
      <w:r>
        <w:rPr>
          <w:rFonts w:hint="eastAsia" w:ascii="仿宋_GB2312" w:eastAsia="仿宋_GB2312"/>
          <w:sz w:val="32"/>
          <w:szCs w:val="32"/>
          <w:highlight w:val="none"/>
          <w:lang w:eastAsia="zh-CN"/>
        </w:rPr>
        <w:t>，本局</w:t>
      </w:r>
      <w:r>
        <w:rPr>
          <w:rFonts w:hint="eastAsia" w:ascii="仿宋_GB2312" w:eastAsia="仿宋_GB2312"/>
          <w:sz w:val="32"/>
          <w:szCs w:val="32"/>
          <w:highlight w:val="none"/>
        </w:rPr>
        <w:t>委托广东新创华科环保股份有限公司对</w:t>
      </w:r>
      <w:r>
        <w:rPr>
          <w:rFonts w:hint="eastAsia" w:ascii="仿宋_GB2312" w:eastAsia="仿宋_GB2312"/>
          <w:sz w:val="32"/>
          <w:szCs w:val="32"/>
          <w:highlight w:val="none"/>
          <w:lang w:eastAsia="zh-CN"/>
        </w:rPr>
        <w:t>当事人</w:t>
      </w:r>
      <w:r>
        <w:rPr>
          <w:rFonts w:hint="eastAsia" w:ascii="仿宋_GB2312" w:eastAsia="仿宋_GB2312"/>
          <w:sz w:val="32"/>
          <w:szCs w:val="32"/>
          <w:highlight w:val="none"/>
        </w:rPr>
        <w:t>开展采样监测。监测报告</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报告编号：XCDE20100250</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结果显示，</w:t>
      </w:r>
      <w:r>
        <w:rPr>
          <w:rFonts w:hint="eastAsia" w:ascii="仿宋_GB2312" w:eastAsia="仿宋_GB2312"/>
          <w:sz w:val="32"/>
          <w:szCs w:val="32"/>
          <w:highlight w:val="none"/>
          <w:lang w:eastAsia="zh-CN"/>
        </w:rPr>
        <w:t>当事人</w:t>
      </w:r>
      <w:r>
        <w:rPr>
          <w:rFonts w:hint="eastAsia" w:ascii="仿宋_GB2312" w:eastAsia="仿宋_GB2312"/>
          <w:sz w:val="32"/>
          <w:szCs w:val="32"/>
          <w:highlight w:val="none"/>
        </w:rPr>
        <w:t>废水总排放口（水-01）外排废水中的化学需氧量为650mg/L，</w:t>
      </w:r>
      <w:r>
        <w:rPr>
          <w:rFonts w:hint="eastAsia" w:ascii="仿宋_GB2312" w:eastAsia="仿宋_GB2312"/>
          <w:sz w:val="32"/>
          <w:szCs w:val="32"/>
          <w:highlight w:val="none"/>
          <w:lang w:eastAsia="zh-CN"/>
        </w:rPr>
        <w:t>超过了</w:t>
      </w:r>
      <w:r>
        <w:rPr>
          <w:rFonts w:hint="eastAsia" w:ascii="仿宋_GB2312" w:eastAsia="仿宋_GB2312"/>
          <w:sz w:val="32"/>
          <w:szCs w:val="32"/>
          <w:highlight w:val="none"/>
        </w:rPr>
        <w:t>广东省地方标准《</w:t>
      </w:r>
      <w:r>
        <w:rPr>
          <w:rFonts w:hint="eastAsia" w:ascii="仿宋_GB2312" w:eastAsia="仿宋_GB2312"/>
          <w:sz w:val="32"/>
          <w:szCs w:val="32"/>
        </w:rPr>
        <w:t>水污染物排放限值》（DB44/26-2001）中规定的第二时段三级标准污染物最高允许排放浓度限值（化学需氧量：500mg/L），水污染物超标排放。</w:t>
      </w:r>
    </w:p>
    <w:p>
      <w:pPr>
        <w:keepNext w:val="0"/>
        <w:keepLines w:val="0"/>
        <w:pageBreakBefore w:val="0"/>
        <w:widowControl w:val="0"/>
        <w:kinsoku/>
        <w:wordWrap/>
        <w:overflowPunct/>
        <w:topLinePunct w:val="0"/>
        <w:autoSpaceDE/>
        <w:autoSpaceDN/>
        <w:bidi w:val="0"/>
        <w:adjustRightInd/>
        <w:snapToGrid w:val="0"/>
        <w:spacing w:line="520" w:lineRule="atLeast"/>
        <w:ind w:firstLine="624" w:firstLineChars="200"/>
        <w:textAlignment w:val="auto"/>
        <w:rPr>
          <w:rFonts w:hint="default" w:ascii="仿宋_GB2312" w:hAnsi="仿宋_GB2312" w:eastAsia="仿宋_GB2312" w:cs="仿宋_GB2312"/>
          <w:szCs w:val="32"/>
          <w:highlight w:val="none"/>
        </w:rPr>
      </w:pPr>
      <w:r>
        <w:rPr>
          <w:rFonts w:ascii="仿宋_GB2312" w:eastAsia="仿宋_GB2312"/>
          <w:szCs w:val="32"/>
          <w:highlight w:val="none"/>
        </w:rPr>
        <w:t>以上事实有《现场检查笔录》、《调查询问笔录》、现场检查照片、</w:t>
      </w:r>
      <w:r>
        <w:rPr>
          <w:rFonts w:hint="eastAsia" w:ascii="仿宋_GB2312" w:eastAsia="仿宋_GB2312"/>
          <w:szCs w:val="32"/>
          <w:highlight w:val="none"/>
          <w:lang w:eastAsia="zh-CN"/>
        </w:rPr>
        <w:t>《</w:t>
      </w:r>
      <w:r>
        <w:rPr>
          <w:rFonts w:ascii="仿宋_GB2312" w:eastAsia="仿宋_GB2312"/>
          <w:szCs w:val="32"/>
          <w:highlight w:val="none"/>
        </w:rPr>
        <w:t>监测报告</w:t>
      </w:r>
      <w:r>
        <w:rPr>
          <w:rFonts w:hint="eastAsia" w:ascii="仿宋_GB2312" w:eastAsia="仿宋_GB2312"/>
          <w:szCs w:val="32"/>
          <w:highlight w:val="none"/>
          <w:lang w:eastAsia="zh-CN"/>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报告编号：XCDE20100250</w:t>
      </w:r>
      <w:r>
        <w:rPr>
          <w:rFonts w:hint="eastAsia" w:ascii="仿宋_GB2312" w:eastAsia="仿宋_GB2312"/>
          <w:sz w:val="32"/>
          <w:szCs w:val="32"/>
          <w:highlight w:val="none"/>
          <w:lang w:eastAsia="zh-CN"/>
        </w:rPr>
        <w:t>）</w:t>
      </w:r>
      <w:r>
        <w:rPr>
          <w:rFonts w:ascii="仿宋_GB2312" w:eastAsia="仿宋_GB2312"/>
          <w:szCs w:val="32"/>
          <w:highlight w:val="none"/>
        </w:rPr>
        <w:t>、《</w:t>
      </w:r>
      <w:r>
        <w:rPr>
          <w:rFonts w:hint="eastAsia" w:ascii="仿宋_GB2312" w:eastAsia="仿宋_GB2312"/>
          <w:szCs w:val="32"/>
          <w:highlight w:val="none"/>
          <w:lang w:val="en-US" w:eastAsia="zh-CN"/>
        </w:rPr>
        <w:t>2020年10月份</w:t>
      </w:r>
      <w:r>
        <w:rPr>
          <w:rFonts w:ascii="仿宋_GB2312" w:eastAsia="仿宋_GB2312"/>
          <w:szCs w:val="32"/>
          <w:highlight w:val="none"/>
        </w:rPr>
        <w:t>生产用水情况说明》等证据为证。</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二、行政处罚的依据、种类及其履行方式和期限</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当事人上述行为违反了《中华人民共和国水污染防治法》第十条的规定。</w:t>
      </w:r>
    </w:p>
    <w:p>
      <w:pPr>
        <w:pStyle w:val="7"/>
        <w:snapToGrid w:val="0"/>
        <w:spacing w:line="520" w:lineRule="atLeast"/>
        <w:ind w:firstLine="622"/>
        <w:rPr>
          <w:rFonts w:ascii="仿宋_GB2312" w:eastAsia="仿宋_GB2312"/>
          <w:sz w:val="32"/>
          <w:szCs w:val="32"/>
        </w:rPr>
      </w:pPr>
      <w:r>
        <w:rPr>
          <w:rFonts w:hint="eastAsia" w:ascii="仿宋_GB2312" w:eastAsia="仿宋_GB2312"/>
          <w:sz w:val="32"/>
          <w:szCs w:val="32"/>
        </w:rPr>
        <w:t>2021年5月</w:t>
      </w:r>
      <w:r>
        <w:rPr>
          <w:rFonts w:hint="eastAsia" w:ascii="仿宋_GB2312" w:eastAsia="仿宋_GB2312"/>
          <w:sz w:val="32"/>
          <w:szCs w:val="32"/>
          <w:lang w:val="en-US" w:eastAsia="zh-CN"/>
        </w:rPr>
        <w:t>26</w:t>
      </w:r>
      <w:r>
        <w:rPr>
          <w:rFonts w:hint="eastAsia" w:ascii="仿宋_GB2312" w:eastAsia="仿宋_GB2312"/>
          <w:sz w:val="32"/>
          <w:szCs w:val="32"/>
        </w:rPr>
        <w:t>日，本局向当事人送达了《行政处罚听证告知书》（南环听告字〔2021〕</w:t>
      </w:r>
      <w:r>
        <w:rPr>
          <w:rFonts w:hint="eastAsia" w:ascii="仿宋_GB2312" w:eastAsia="仿宋_GB2312"/>
          <w:sz w:val="32"/>
          <w:szCs w:val="32"/>
          <w:lang w:val="en-US" w:eastAsia="zh-CN"/>
        </w:rPr>
        <w:t>17</w:t>
      </w:r>
      <w:r>
        <w:rPr>
          <w:rFonts w:hint="eastAsia" w:ascii="仿宋_GB2312" w:eastAsia="仿宋_GB2312"/>
          <w:sz w:val="32"/>
          <w:szCs w:val="32"/>
        </w:rPr>
        <w:t>号），当事人未在有效期限内向本局提出听证申请和陈述申辩意见。</w:t>
      </w:r>
      <w:r>
        <w:rPr>
          <w:rFonts w:hint="eastAsia" w:ascii="仿宋_GB2312" w:eastAsia="仿宋_GB2312"/>
          <w:color w:val="0C0C0C"/>
          <w:sz w:val="32"/>
          <w:szCs w:val="32"/>
        </w:rPr>
        <w:t>现本案经本局审查结束。</w:t>
      </w:r>
    </w:p>
    <w:p>
      <w:pPr>
        <w:pStyle w:val="7"/>
        <w:snapToGrid w:val="0"/>
        <w:spacing w:line="520" w:lineRule="atLeast"/>
        <w:ind w:firstLine="624" w:firstLineChars="200"/>
        <w:rPr>
          <w:rFonts w:hint="eastAsia" w:ascii="仿宋_GB2312" w:eastAsia="仿宋_GB2312"/>
          <w:color w:val="0C0C0C"/>
          <w:sz w:val="32"/>
          <w:szCs w:val="32"/>
        </w:rPr>
      </w:pPr>
      <w:r>
        <w:rPr>
          <w:rFonts w:hint="eastAsia" w:ascii="仿宋_GB2312" w:eastAsia="仿宋_GB2312"/>
          <w:color w:val="0C0C0C"/>
          <w:sz w:val="32"/>
          <w:szCs w:val="32"/>
        </w:rPr>
        <w:t>本局依据《中华人民共和国水污染防治法》第八十三条第（二）项的规定，对当事人作出如下决定：</w:t>
      </w:r>
    </w:p>
    <w:p>
      <w:pPr>
        <w:pStyle w:val="7"/>
        <w:snapToGrid w:val="0"/>
        <w:spacing w:line="520" w:lineRule="atLeast"/>
        <w:ind w:firstLine="624" w:firstLineChars="200"/>
        <w:rPr>
          <w:rFonts w:hint="eastAsia" w:ascii="仿宋_GB2312" w:eastAsia="仿宋_GB2312"/>
          <w:sz w:val="32"/>
          <w:szCs w:val="32"/>
        </w:rPr>
      </w:pPr>
      <w:r>
        <w:rPr>
          <w:rFonts w:hint="eastAsia" w:ascii="仿宋_GB2312" w:eastAsia="仿宋_GB2312"/>
          <w:color w:val="0C0C0C"/>
          <w:sz w:val="32"/>
          <w:szCs w:val="32"/>
        </w:rPr>
        <w:t>1、责令改正违法行为</w:t>
      </w:r>
      <w:r>
        <w:rPr>
          <w:rFonts w:hint="eastAsia" w:ascii="仿宋_GB2312" w:eastAsia="仿宋_GB2312"/>
          <w:sz w:val="32"/>
          <w:szCs w:val="32"/>
        </w:rPr>
        <w:t>；</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2、处罚款100000元。</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限当事人于接到本行政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3124。</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三、申请行政复议或者提起行政诉讼的途径和期限</w:t>
      </w:r>
    </w:p>
    <w:p>
      <w:pPr>
        <w:pStyle w:val="6"/>
        <w:snapToGrid w:val="0"/>
        <w:spacing w:line="520" w:lineRule="atLeast"/>
        <w:ind w:firstLine="624" w:firstLineChars="200"/>
        <w:rPr>
          <w:rFonts w:hint="eastAsia" w:ascii="仿宋_GB2312" w:eastAsia="仿宋_GB2312"/>
          <w:sz w:val="32"/>
          <w:szCs w:val="32"/>
        </w:rPr>
      </w:pPr>
      <w:r>
        <w:rPr>
          <w:rFonts w:hint="eastAsia" w:ascii="仿宋_GB2312" w:eastAsia="仿宋_GB2312"/>
          <w:sz w:val="32"/>
          <w:szCs w:val="32"/>
        </w:rPr>
        <w:t>如当事人对本决定不服，可在收到本决定之日起60日内向广州市人民政府（地址：广州市越秀区小北路183号金和大厦2楼市政府行政复议办公室，电话：020-83555988），也可向广东省生态环境厅（地址：天河区龙口西路213号，电话：020-87533928、87531656）申请行政复议；或者在收到本决定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当事人向广州市人民政府提出行政复议申请。</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逾期不履行本决定，本局将申请人民法院强制执行，并每日按罚款额的百分之三加处罚款。</w:t>
      </w:r>
    </w:p>
    <w:p>
      <w:pPr>
        <w:pStyle w:val="6"/>
        <w:snapToGrid w:val="0"/>
        <w:spacing w:line="520" w:lineRule="atLeast"/>
        <w:ind w:firstLine="624" w:firstLineChars="200"/>
        <w:rPr>
          <w:rFonts w:ascii="仿宋_GB2312" w:eastAsia="仿宋_GB2312"/>
          <w:sz w:val="32"/>
          <w:szCs w:val="32"/>
        </w:rPr>
      </w:pPr>
    </w:p>
    <w:p>
      <w:pPr>
        <w:tabs>
          <w:tab w:val="left" w:pos="0"/>
        </w:tabs>
        <w:snapToGrid w:val="0"/>
        <w:spacing w:line="540" w:lineRule="atLeast"/>
        <w:ind w:right="1248" w:rightChars="400" w:firstLine="624" w:firstLineChars="200"/>
        <w:rPr>
          <w:rFonts w:hint="default" w:ascii="仿宋_GB2312" w:hAnsi="仿宋_GB2312" w:eastAsia="仿宋_GB2312" w:cs="仿宋_GB2312"/>
          <w:spacing w:val="-6"/>
          <w:szCs w:val="32"/>
        </w:rPr>
      </w:pPr>
      <w:r>
        <w:rPr>
          <w:rFonts w:ascii="仿宋_GB2312" w:hAnsi="仿宋_GB2312" w:eastAsia="仿宋_GB2312" w:cs="仿宋_GB2312"/>
          <w:szCs w:val="32"/>
        </w:rPr>
        <w:t xml:space="preserve">                         广州市生态环境局</w:t>
      </w:r>
    </w:p>
    <w:p>
      <w:pPr>
        <w:tabs>
          <w:tab w:val="left" w:pos="0"/>
        </w:tabs>
        <w:snapToGrid w:val="0"/>
        <w:spacing w:line="540" w:lineRule="atLeast"/>
        <w:ind w:right="1872" w:rightChars="600" w:firstLine="600" w:firstLineChars="200"/>
        <w:rPr>
          <w:rFonts w:hint="default" w:ascii="仿宋_GB2312" w:hAnsi="仿宋_GB2312" w:eastAsia="仿宋_GB2312" w:cs="仿宋_GB2312"/>
          <w:spacing w:val="-6"/>
          <w:szCs w:val="32"/>
        </w:rPr>
      </w:pPr>
      <w:r>
        <w:rPr>
          <w:rFonts w:ascii="仿宋_GB2312" w:hAnsi="仿宋_GB2312" w:eastAsia="仿宋_GB2312" w:cs="仿宋_GB2312"/>
          <w:spacing w:val="-6"/>
          <w:szCs w:val="32"/>
        </w:rPr>
        <w:t xml:space="preserve">                            2021年</w:t>
      </w:r>
      <w:r>
        <w:rPr>
          <w:rFonts w:hint="eastAsia" w:ascii="仿宋_GB2312" w:hAnsi="仿宋_GB2312" w:eastAsia="仿宋_GB2312" w:cs="仿宋_GB2312"/>
          <w:spacing w:val="-6"/>
          <w:szCs w:val="32"/>
          <w:lang w:val="en-US" w:eastAsia="zh-CN"/>
        </w:rPr>
        <w:t>6</w:t>
      </w:r>
      <w:r>
        <w:rPr>
          <w:rFonts w:ascii="仿宋_GB2312" w:hAnsi="仿宋_GB2312" w:eastAsia="仿宋_GB2312" w:cs="仿宋_GB2312"/>
          <w:spacing w:val="-6"/>
          <w:szCs w:val="32"/>
        </w:rPr>
        <w:t>月</w:t>
      </w:r>
      <w:r>
        <w:rPr>
          <w:rFonts w:hint="eastAsia" w:ascii="仿宋_GB2312" w:hAnsi="仿宋_GB2312" w:eastAsia="仿宋_GB2312" w:cs="仿宋_GB2312"/>
          <w:spacing w:val="-6"/>
          <w:szCs w:val="32"/>
          <w:lang w:val="en-US" w:eastAsia="zh-CN"/>
        </w:rPr>
        <w:t>22</w:t>
      </w:r>
      <w:r>
        <w:rPr>
          <w:rFonts w:ascii="仿宋_GB2312" w:hAnsi="仿宋_GB2312" w:eastAsia="仿宋_GB2312" w:cs="仿宋_GB2312"/>
          <w:spacing w:val="-6"/>
          <w:szCs w:val="32"/>
        </w:rPr>
        <w:t>日</w:t>
      </w:r>
    </w:p>
    <w:p>
      <w:pPr>
        <w:tabs>
          <w:tab w:val="left" w:pos="0"/>
        </w:tabs>
        <w:snapToGrid w:val="0"/>
        <w:spacing w:line="520" w:lineRule="atLeast"/>
        <w:rPr>
          <w:rFonts w:hint="default" w:ascii="仿宋_GB2312" w:eastAsia="仿宋_GB2312"/>
          <w:szCs w:val="32"/>
        </w:rPr>
      </w:pPr>
      <w:r>
        <w:rPr>
          <w:rFonts w:ascii="仿宋_GB2312" w:eastAsia="仿宋_GB2312"/>
          <w:szCs w:val="32"/>
        </w:rPr>
        <w:t>（联系电话：020-39053008、39053079、39078029）</w:t>
      </w:r>
    </w:p>
    <w:p>
      <w:pPr>
        <w:rPr>
          <w:rFonts w:hint="default"/>
        </w:rPr>
      </w:pPr>
    </w:p>
    <w:p/>
    <w:sectPr>
      <w:footerReference r:id="rId3" w:type="default"/>
      <w:footerReference r:id="rId4" w:type="even"/>
      <w:pgSz w:w="11906" w:h="16838"/>
      <w:pgMar w:top="2097" w:right="1474" w:bottom="1984" w:left="1587" w:header="851" w:footer="1474" w:gutter="0"/>
      <w:pgNumType w:fmt="numberInDash"/>
      <w:cols w:space="72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0035"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0035" cy="233680"/>
                      </a:xfrm>
                      <a:prstGeom prst="rect">
                        <a:avLst/>
                      </a:prstGeom>
                      <a:noFill/>
                      <a:ln>
                        <a:noFill/>
                      </a:ln>
                    </wps:spPr>
                    <wps:txbx>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3</w:t>
                          </w:r>
                          <w:r>
                            <w:rPr>
                              <w:rFonts w:ascii="宋体" w:hAnsi="宋体" w:eastAsia="宋体" w:cs="宋体"/>
                              <w:sz w:val="28"/>
                              <w:szCs w:val="28"/>
                            </w:rPr>
                            <w:fldChar w:fldCharType="end"/>
                          </w:r>
                          <w:r>
                            <w:rPr>
                              <w:rFonts w:ascii="宋体" w:hAnsi="宋体" w:eastAsia="宋体" w:cs="宋体"/>
                              <w:sz w:val="28"/>
                              <w:szCs w:val="28"/>
                            </w:rPr>
                            <w:t>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22.05pt;mso-position-horizontal:outside;mso-position-horizontal-relative:margin;mso-wrap-style:none;z-index:251659264;mso-width-relative:page;mso-height-relative:page;" filled="f" stroked="f" coordsize="21600,21600" o:gfxdata="UEsDBAoAAAAAAIdO4kAAAAAAAAAAAAAAAAAEAAAAZHJzL1BLAwQUAAAACACHTuJAr8oJLt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8oJLtEAAAADAQAADwAA&#10;AAAAAAABACAAAAAiAAAAZHJzL2Rvd25yZXYueG1sUEsBAhQAFAAAAAgAh07iQL/8/3erAQAAPQMA&#10;AA4AAAAAAAAAAQAgAAAAIAEAAGRycy9lMm9Eb2MueG1sUEsFBgAAAAAGAAYAWQEAAD0FAAAAAA==&#10;">
              <v:fill on="f" focussize="0,0"/>
              <v:stroke on="f"/>
              <v:imagedata o:title=""/>
              <o:lock v:ext="edit" aspectratio="f"/>
              <v:textbox inset="0mm,0mm,0mm,0mm" style="mso-fit-shape-to-text:t;">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3</w:t>
                    </w:r>
                    <w:r>
                      <w:rPr>
                        <w:rFonts w:ascii="宋体" w:hAnsi="宋体" w:eastAsia="宋体" w:cs="宋体"/>
                        <w:sz w:val="28"/>
                        <w:szCs w:val="28"/>
                      </w:rPr>
                      <w:fldChar w:fldCharType="end"/>
                    </w:r>
                    <w:r>
                      <w:rPr>
                        <w:rFonts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16890"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16890" cy="233680"/>
                      </a:xfrm>
                      <a:prstGeom prst="rect">
                        <a:avLst/>
                      </a:prstGeom>
                      <a:noFill/>
                      <a:ln>
                        <a:noFill/>
                      </a:ln>
                    </wps:spPr>
                    <wps:txbx>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40.7pt;mso-position-horizontal:outside;mso-position-horizontal-relative:margin;mso-wrap-style:none;z-index:251660288;mso-width-relative:page;mso-height-relative:page;" filled="f" stroked="f" coordsize="21600,21600" o:gfxdata="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EUFN/RAAAAAwEAAA8A&#10;AAAAAAAAAQAgAAAAIgAAAGRycy9kb3ducmV2LnhtbFBLAQIUABQAAAAIAIdO4kDFsTPurAEAAD0D&#10;AAAOAAAAAAAAAAEAIAAAACABAABkcnMvZTJvRG9jLnhtbFBLBQYAAAAABgAGAFkBAAA+BQAAAAA=&#10;">
              <v:fill on="f" focussize="0,0"/>
              <v:stroke on="f"/>
              <v:imagedata o:title=""/>
              <o:lock v:ext="edit" aspectratio="f"/>
              <v:textbox inset="0mm,0mm,0mm,0mm" style="mso-fit-shape-to-text:t;">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5372C"/>
    <w:rsid w:val="325334D9"/>
    <w:rsid w:val="3415372C"/>
    <w:rsid w:val="41803C72"/>
    <w:rsid w:val="474A5481"/>
    <w:rsid w:val="662E3CF4"/>
    <w:rsid w:val="75C25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ascii="宋体" w:hAnsi="宋体" w:eastAsia="汉鼎简书宋"/>
      <w:kern w:val="0"/>
      <w:sz w:val="18"/>
    </w:rPr>
  </w:style>
  <w:style w:type="paragraph" w:customStyle="1" w:styleId="5">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2021-06-03T10:39:00Z</dcterms:created>
  <dc:creator>刘倩</dc:creator>
  <cp:lastModifiedBy>Administrator</cp:lastModifiedBy>
  <dcterms:modified xsi:type="dcterms:W3CDTF">2021-06-22T08:32:23Z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F5F7790366224A969CFB2BAFEC46A90E</vt:lpwstr>
  </property>
</Properties>
</file>