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6"/>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9</w:t>
      </w:r>
      <w:r>
        <w:rPr>
          <w:rFonts w:ascii="仿宋_GB2312" w:hAnsi="仿宋_GB2312" w:eastAsia="仿宋_GB2312" w:cs="仿宋_GB2312"/>
          <w:szCs w:val="32"/>
        </w:rPr>
        <w:t>号</w:t>
      </w:r>
      <w:r>
        <w:rPr>
          <w:rFonts w:ascii="仿宋_GB2312" w:hAnsi="仿宋_GB2312" w:eastAsia="仿宋_GB2312" w:cs="仿宋_GB2312"/>
          <w:szCs w:val="32"/>
        </w:rPr>
        <w:tab/>
      </w:r>
    </w:p>
    <w:p>
      <w:pPr>
        <w:pStyle w:val="7"/>
        <w:snapToGrid w:val="0"/>
        <w:spacing w:line="520" w:lineRule="atLeast"/>
        <w:rPr>
          <w:rFonts w:ascii="仿宋_GB2312" w:eastAsia="仿宋_GB2312"/>
          <w:sz w:val="32"/>
          <w:szCs w:val="30"/>
        </w:rPr>
      </w:pPr>
    </w:p>
    <w:p>
      <w:pPr>
        <w:pStyle w:val="10"/>
        <w:snapToGrid w:val="0"/>
        <w:spacing w:line="520" w:lineRule="atLeast"/>
        <w:rPr>
          <w:rFonts w:ascii="仿宋_GB2312" w:eastAsia="仿宋_GB2312"/>
          <w:sz w:val="32"/>
          <w:szCs w:val="32"/>
        </w:rPr>
      </w:pPr>
      <w:r>
        <w:rPr>
          <w:rFonts w:hint="eastAsia" w:ascii="仿宋_GB2312" w:eastAsia="仿宋_GB2312"/>
          <w:sz w:val="32"/>
          <w:szCs w:val="32"/>
        </w:rPr>
        <w:t>当事人：广州番禺盈峰泰纺织有限公司</w:t>
      </w:r>
    </w:p>
    <w:p>
      <w:pPr>
        <w:pStyle w:val="8"/>
        <w:snapToGrid w:val="0"/>
        <w:spacing w:line="560" w:lineRule="atLeast"/>
        <w:rPr>
          <w:rFonts w:hint="eastAsia" w:ascii="仿宋_GB2312" w:eastAsia="仿宋_GB2312"/>
          <w:sz w:val="32"/>
          <w:szCs w:val="32"/>
        </w:rPr>
      </w:pPr>
    </w:p>
    <w:p>
      <w:pPr>
        <w:pStyle w:val="8"/>
        <w:snapToGrid w:val="0"/>
        <w:spacing w:line="560" w:lineRule="atLeast"/>
        <w:rPr>
          <w:rFonts w:ascii="仿宋_GB2312" w:eastAsia="仿宋_GB2312"/>
          <w:sz w:val="32"/>
          <w:szCs w:val="32"/>
        </w:rPr>
      </w:pPr>
      <w:r>
        <w:rPr>
          <w:rFonts w:hint="eastAsia" w:ascii="仿宋_GB2312" w:eastAsia="仿宋_GB2312"/>
          <w:sz w:val="32"/>
          <w:szCs w:val="32"/>
        </w:rPr>
        <w:t xml:space="preserve"> </w:t>
      </w:r>
    </w:p>
    <w:p>
      <w:pPr>
        <w:pStyle w:val="8"/>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snapToGrid w:val="0"/>
        <w:spacing w:line="540" w:lineRule="atLeast"/>
        <w:ind w:firstLine="622"/>
        <w:rPr>
          <w:rFonts w:hint="default" w:ascii="仿宋_GB2312" w:eastAsia="仿宋_GB2312"/>
          <w:szCs w:val="32"/>
        </w:rPr>
      </w:pPr>
      <w:r>
        <w:rPr>
          <w:rFonts w:ascii="仿宋_GB2312" w:eastAsia="仿宋_GB2312"/>
          <w:szCs w:val="32"/>
        </w:rPr>
        <w:t>经查，当事人</w:t>
      </w:r>
      <w:bookmarkStart w:id="0" w:name="_GoBack"/>
      <w:bookmarkEnd w:id="0"/>
      <w:r>
        <w:rPr>
          <w:rFonts w:ascii="仿宋_GB2312" w:eastAsia="仿宋_GB2312"/>
          <w:szCs w:val="32"/>
        </w:rPr>
        <w:t>主要从事布料洗染项目的生产经营，现有员工235人，2020年营业收入额5805万元。当事人主要生产工艺流程为：布料-切边-漂染-洗水-脱水-烘干及定型-包装。当事人主要生产设备有：染色机、定型机、锅炉等。当事人生产过程中使用的主要原辅料有：染料、胚布、助剂等。当事人设有自建污水处理站，配套有废水COD、氨氮、总磷、总氮在线监测仪器。经营过程中，当事人产生的危险废物主要有：废矿物油、废光管、装助剂胶桶、装助剂铁桶、装助剂袋、装天那水/枪水包装桶（铁）、装油漆包装桶（铁）、装酸性分散染料纸箱、废水在线监测仪废液（在线监控废液）等。</w:t>
      </w:r>
    </w:p>
    <w:p>
      <w:pPr>
        <w:snapToGrid w:val="0"/>
        <w:spacing w:line="540" w:lineRule="atLeast"/>
        <w:ind w:firstLine="622"/>
        <w:rPr>
          <w:rFonts w:hint="default" w:ascii="仿宋_GB2312" w:eastAsia="仿宋_GB2312"/>
          <w:szCs w:val="32"/>
        </w:rPr>
      </w:pPr>
      <w:r>
        <w:rPr>
          <w:rFonts w:ascii="仿宋_GB2312" w:eastAsia="仿宋_GB2312"/>
          <w:szCs w:val="32"/>
        </w:rPr>
        <w:t>2021年1月21日、3月11日，经本局执法人员调查发现，当事人于2020年1月2日申报了2019年度部分危险废物，未申报2019年度的废水在线监测仪废液（在线监控废液）（HW49）；当事人于2021年1月7日申报了2020年度部分危险废物，未申报2020年度的废水在线监测仪废液（在线监控废液）（HW49），均属于未按规范申报危险废物有关资料。另查明，当事人2019年、2020年分别产生废水在线监测仪废液（在线监控废液）80千克、71千克。</w:t>
      </w:r>
    </w:p>
    <w:p>
      <w:pPr>
        <w:snapToGrid w:val="0"/>
        <w:spacing w:line="540" w:lineRule="atLeast"/>
        <w:ind w:firstLine="622"/>
        <w:rPr>
          <w:rFonts w:hint="default" w:ascii="仿宋_GB2312" w:eastAsia="仿宋_GB2312"/>
          <w:szCs w:val="32"/>
        </w:rPr>
      </w:pPr>
      <w:r>
        <w:rPr>
          <w:rFonts w:hint="default" w:ascii="仿宋_GB2312" w:eastAsia="仿宋_GB2312"/>
          <w:szCs w:val="32"/>
        </w:rPr>
        <w:t>以上事实有《现场检查笔录》、《调查询问笔录》、</w:t>
      </w:r>
      <w:r>
        <w:rPr>
          <w:rFonts w:ascii="仿宋_GB2312" w:eastAsia="仿宋_GB2312"/>
          <w:szCs w:val="32"/>
        </w:rPr>
        <w:t>危险废物台账记录复印件、广东省固体废物申报登记业务数据存档表单打印件、企业污染源自动监测设施验收表复印件</w:t>
      </w:r>
      <w:r>
        <w:rPr>
          <w:rFonts w:hint="default" w:ascii="仿宋_GB2312" w:eastAsia="仿宋_GB2312"/>
          <w:szCs w:val="32"/>
        </w:rPr>
        <w:t>等证据为证。</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当事人</w:t>
      </w:r>
      <w:r>
        <w:rPr>
          <w:rFonts w:ascii="仿宋_GB2312" w:eastAsia="仿宋_GB2312"/>
          <w:sz w:val="32"/>
          <w:szCs w:val="32"/>
        </w:rPr>
        <w:t>未申报2019年度的废水在线监测仪废液（在线监控废液）的行为，违反了《中华人民共和国固体废物污染环境防治法》（2016年修正）第五十三条第一款的规定</w:t>
      </w:r>
      <w:r>
        <w:rPr>
          <w:rFonts w:hint="eastAsia" w:ascii="仿宋_GB2312" w:eastAsia="仿宋_GB2312"/>
          <w:sz w:val="32"/>
          <w:szCs w:val="32"/>
        </w:rPr>
        <w:t>；未申报2020年度的废水在线监测仪废液（在线监控废液）的行为，违反了《中华人民共和国固体废物污染环境防治法》（2020年修订）第七十八条第一款的规定。</w:t>
      </w:r>
    </w:p>
    <w:p>
      <w:pPr>
        <w:pStyle w:val="8"/>
        <w:snapToGrid w:val="0"/>
        <w:spacing w:line="560" w:lineRule="atLeast"/>
        <w:ind w:firstLine="622"/>
        <w:rPr>
          <w:rFonts w:ascii="仿宋_GB2312" w:eastAsia="仿宋_GB2312"/>
          <w:sz w:val="32"/>
          <w:szCs w:val="32"/>
        </w:rPr>
      </w:pPr>
      <w:r>
        <w:rPr>
          <w:rFonts w:hint="eastAsia" w:ascii="仿宋_GB2312" w:eastAsia="仿宋_GB2312"/>
          <w:sz w:val="32"/>
          <w:szCs w:val="32"/>
        </w:rPr>
        <w:t>2021年5月15日，本局向当事人送达了《行政处罚听证告知书》（南环听告字〔2021〕18号），同月18日，当事人向本局递交了书面申辩书。当事人提出如下申辩意见：“我司于2021年5月17日收到广州市生态环境局南沙分局南环听告字〔2021〕18号行政处罚听证告知书。环境监察大队执法人员于 2021年1月21日和2021年3月11日先后到我司检查和复查,并于 2021年1月21日开具南环责改〔2021〕160号的责令限期改正违法行为通知书附件[1],责改内容我司已于限期内进行整改,并提交相关完成整改的报告至环境监察大队[附件2]。在做笔录时提出我司未申报2019年和2020年的在线监控废液。我司按相关要求更换和新增在线监控设备,于2019年1月10日通过验收,于2019年、2020年度分别产生80千克、71千克的在线监控废液,当时不清楚在线监控废液的类别,但期间已尝试寻找过多家处置公司咨询,由于我司产生量较少,均表示量太少不愿意单独接收,因此2019年和2020年我司未申报上述危险废物,但我司也按要求做了相关台账记录,一直存放在厂区内,没有发生转移,后期经网上查询广东生态环境厅关于在线监控废液的类别回复问题,才确定在线监控废液按900-047-49代码管理,我司于是将2019年和2020年台账记录危废代码为900-349-34，按国家危险废物名录(2021年版)变更其危废代码为900-047-49,并更新相应的台账记录[附件3],并与有资质公司签订合同,合同也提交给环境监察大队[附件4]。由于我司已经分别于2021年1月7日、 2020年1月2日在广东省固体废物云申报系统办理了2020年度、2019年度危险废物申报登记,已不能再改正上述年度的危险废物申报登记内容,无法再申报登记2020年度、2019年度废水在线监控废液的产生量、流向、贮存、处置等有关资料,在后期复查笔录时也向执法人员说明了情况,但无法改正申报问题。为此,我司恳望减免处罚,恳望批复。”</w:t>
      </w:r>
    </w:p>
    <w:p>
      <w:pPr>
        <w:pStyle w:val="8"/>
        <w:snapToGrid w:val="0"/>
        <w:spacing w:line="560" w:lineRule="atLeast"/>
        <w:ind w:firstLine="622"/>
        <w:rPr>
          <w:rFonts w:ascii="仿宋_GB2312" w:eastAsia="仿宋_GB2312"/>
          <w:color w:val="0C0C0C"/>
          <w:sz w:val="32"/>
          <w:szCs w:val="32"/>
        </w:rPr>
      </w:pPr>
      <w:r>
        <w:rPr>
          <w:rFonts w:hint="eastAsia" w:ascii="仿宋_GB2312" w:eastAsia="仿宋_GB2312"/>
          <w:sz w:val="32"/>
          <w:szCs w:val="32"/>
        </w:rPr>
        <w:t>经审查，本局认为：当事人上述违反</w:t>
      </w:r>
      <w:r>
        <w:rPr>
          <w:rFonts w:ascii="仿宋_GB2312" w:eastAsia="仿宋_GB2312"/>
          <w:sz w:val="32"/>
          <w:szCs w:val="32"/>
        </w:rPr>
        <w:t>《中华人民共和国固体废物污染环境防治法》（2016年修正）第五十三条第一款</w:t>
      </w:r>
      <w:r>
        <w:rPr>
          <w:rFonts w:hint="eastAsia" w:ascii="仿宋_GB2312" w:eastAsia="仿宋_GB2312"/>
          <w:sz w:val="32"/>
          <w:szCs w:val="32"/>
        </w:rPr>
        <w:t>、《中华人民共和国固体废物污染环境防治法》（2020年修订）第七十八条第一款规定</w:t>
      </w:r>
      <w:r>
        <w:rPr>
          <w:rFonts w:hint="eastAsia" w:ascii="仿宋_GB2312" w:eastAsia="仿宋_GB2312"/>
          <w:color w:val="0C0C0C"/>
          <w:sz w:val="32"/>
          <w:szCs w:val="32"/>
        </w:rPr>
        <w:t>的违法事实清楚，依法应予行政处罚。现本案经本局审查结束。</w:t>
      </w:r>
    </w:p>
    <w:p>
      <w:pPr>
        <w:pStyle w:val="8"/>
        <w:snapToGrid w:val="0"/>
        <w:spacing w:line="56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本局依据《中华人民共和国固体废物污染环境防治法》（2016年修正）第七十五条第一款第（二）项和第二款</w:t>
      </w:r>
      <w:r>
        <w:rPr>
          <w:rFonts w:ascii="仿宋_GB2312" w:eastAsia="仿宋_GB2312"/>
          <w:color w:val="0C0C0C"/>
          <w:sz w:val="32"/>
          <w:szCs w:val="32"/>
        </w:rPr>
        <w:t>的规定</w:t>
      </w:r>
      <w:r>
        <w:rPr>
          <w:rFonts w:hint="eastAsia" w:ascii="仿宋_GB2312" w:eastAsia="仿宋_GB2312"/>
          <w:color w:val="0C0C0C"/>
          <w:sz w:val="32"/>
          <w:szCs w:val="32"/>
        </w:rPr>
        <w:t>，对当事人</w:t>
      </w:r>
      <w:r>
        <w:rPr>
          <w:rFonts w:ascii="仿宋_GB2312" w:eastAsia="仿宋_GB2312"/>
          <w:color w:val="0C0C0C"/>
          <w:sz w:val="32"/>
          <w:szCs w:val="32"/>
        </w:rPr>
        <w:t>未申报2019年度的废水在线监测仪废液（在线监控废液）的行为</w:t>
      </w:r>
      <w:r>
        <w:rPr>
          <w:rFonts w:hint="eastAsia" w:ascii="仿宋_GB2312" w:eastAsia="仿宋_GB2312"/>
          <w:color w:val="0C0C0C"/>
          <w:sz w:val="32"/>
          <w:szCs w:val="32"/>
        </w:rPr>
        <w:t>，责令改正，并处罚款</w:t>
      </w:r>
      <w:r>
        <w:rPr>
          <w:rFonts w:ascii="仿宋_GB2312" w:eastAsia="仿宋_GB2312"/>
          <w:color w:val="0C0C0C"/>
          <w:sz w:val="32"/>
          <w:szCs w:val="32"/>
        </w:rPr>
        <w:t>15000元</w:t>
      </w:r>
      <w:r>
        <w:rPr>
          <w:rFonts w:hint="eastAsia" w:ascii="仿宋_GB2312" w:eastAsia="仿宋_GB2312"/>
          <w:color w:val="0C0C0C"/>
          <w:sz w:val="32"/>
          <w:szCs w:val="32"/>
        </w:rPr>
        <w:t>；依据《中华人民共和国固体废物污染环境防治法》（2020年修订）第一百一十二条第一款第（二）项和第二款的规定，对当事人</w:t>
      </w:r>
      <w:r>
        <w:rPr>
          <w:rFonts w:ascii="仿宋_GB2312" w:eastAsia="仿宋_GB2312"/>
          <w:color w:val="0C0C0C"/>
          <w:sz w:val="32"/>
          <w:szCs w:val="32"/>
        </w:rPr>
        <w:t>未申报2020年度的废水在线监测仪废液（在线监控废液）的行为</w:t>
      </w:r>
      <w:r>
        <w:rPr>
          <w:rFonts w:hint="eastAsia" w:ascii="仿宋_GB2312" w:eastAsia="仿宋_GB2312"/>
          <w:color w:val="0C0C0C"/>
          <w:sz w:val="32"/>
          <w:szCs w:val="32"/>
        </w:rPr>
        <w:t>，责令改正，并处罚款100000元。</w:t>
      </w:r>
    </w:p>
    <w:p>
      <w:pPr>
        <w:pStyle w:val="8"/>
        <w:snapToGrid w:val="0"/>
        <w:spacing w:line="56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综上，本局对当事人作出如下决定：</w:t>
      </w:r>
    </w:p>
    <w:p>
      <w:pPr>
        <w:pStyle w:val="8"/>
        <w:snapToGrid w:val="0"/>
        <w:spacing w:line="560" w:lineRule="atLeast"/>
        <w:ind w:firstLine="624" w:firstLineChars="200"/>
        <w:rPr>
          <w:rFonts w:ascii="仿宋_GB2312" w:eastAsia="仿宋_GB2312"/>
          <w:sz w:val="32"/>
          <w:szCs w:val="32"/>
        </w:rPr>
      </w:pPr>
      <w:r>
        <w:rPr>
          <w:rFonts w:hint="eastAsia" w:ascii="仿宋_GB2312" w:eastAsia="仿宋_GB2312"/>
          <w:color w:val="0C0C0C"/>
          <w:sz w:val="32"/>
          <w:szCs w:val="32"/>
        </w:rPr>
        <w:t>1、</w:t>
      </w:r>
      <w:r>
        <w:rPr>
          <w:rFonts w:hint="eastAsia" w:ascii="仿宋_GB2312" w:eastAsia="仿宋_GB2312"/>
          <w:color w:val="0C0C0C"/>
          <w:sz w:val="32"/>
          <w:szCs w:val="32"/>
          <w:highlight w:val="none"/>
        </w:rPr>
        <w:t>责令改正违法行为</w:t>
      </w:r>
      <w:r>
        <w:rPr>
          <w:rFonts w:hint="eastAsia" w:ascii="仿宋_GB2312" w:eastAsia="仿宋_GB2312"/>
          <w:sz w:val="32"/>
          <w:szCs w:val="32"/>
          <w:highlight w:val="none"/>
        </w:rPr>
        <w:t>；</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2、处罚款115000元。</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7"/>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7"/>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9</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tabs>
          <w:tab w:val="left" w:pos="0"/>
        </w:tabs>
        <w:snapToGrid w:val="0"/>
        <w:spacing w:line="560" w:lineRule="atLeast"/>
        <w:rPr>
          <w:rFonts w:hint="default" w:ascii="仿宋_GB2312" w:eastAsia="仿宋_GB2312"/>
          <w:szCs w:val="32"/>
        </w:rPr>
      </w:pPr>
    </w:p>
    <w:p>
      <w:pPr>
        <w:rPr>
          <w:rFonts w:hint="default"/>
        </w:rPr>
      </w:pP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Bic920rAEAAD0DAAAOAAAAZHJzL2Uyb0RvYy54bWytUktu2zAQ3Rfo&#10;HQjuayoyEhiC5aBFkCJA0QZIcwCaIi0CJIcgGUu+QHuDrrrJPufyOTKkZbufXdENNRyO3rz3ZpbX&#10;ozVkK0PU4Fp6MasokU5Ap92mpY9fb98tKImJu44bcLKlOxnp9ertm+XgG1lDD6aTgSCIi83gW9qn&#10;5BvGouil5XEGXjp8VBAsT3gNG9YFPiC6Nayuqis2QOh8ACFjxOzN4ZGuCr5SUqQvSkWZiGkpckvl&#10;DOVc55OtlrzZBO57LSYa/B9YWK4dNj1B3fDEyVPQf0FZLQJEUGkmwDJQSgtZNKCai+oPNQ8997Jo&#10;QXOiP9kU/x+s+Ly9D0R3La0pcdziiPY/vu9/vuyfv5E62zP42GDVg8e6NH6AEcd8zEdMZtWjCjZ/&#10;UQ/BdzR6dzJXjokITNaLqppfUiLwqZ7PrxbFfHb+2YeYPkqwJActDTi7YinffooJiWDpsST3cnCr&#10;jSnzM+63BBbmDMvMDwxzlMb1OMlZQ7dDNQOOvaUO95ISc+fQ1bwhxyAcg/UU5B7Rv39K2LjwyagH&#10;qKkZzqjQnPYpL8Gv91J13vr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KCS7RAAAAAwEAAA8A&#10;AAAAAAAAAQAgAAAAIgAAAGRycy9kb3ducmV2LnhtbFBLAQIUABQAAAAIAIdO4kBic920rAEAAD0D&#10;AAAOAAAAAAAAAAEAIAAAACABAABkcnMvZTJvRG9jLnhtbFBLBQYAAAAABgAGAFkBAAA+BQ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AYPhEtqwEAAD0DAAAOAAAAZHJzL2Uyb0RvYy54bWytUsFOGzEQvVfi&#10;HyzfGydBjdJVNogKgSpVBYn2AxyvnbVkeyzbZDc/UP6gJy7c+a58B2NnE2i5IS6z45nZN2/ezOKs&#10;t4ZsZIgaXE0nozEl0glotFvX9Pevy89zSmLiruEGnKzpVkZ6tjz5tOh8JafQgmlkIAjiYtX5mrYp&#10;+YqxKFppeRyBlw6TCoLlCZ9hzZrAO0S3hk3H4xnrIDQ+gJAxYvRin6TLgq+UFOlaqSgTMTVFbqnY&#10;UOwqW7Zc8GoduG+1GGjwd7CwXDtseoS64ImTu6DfQFktAkRQaSTAMlBKC1lmwGkm4/+muW25l2UW&#10;FCf6o0zx42DFz81NILrB3VHiuMUV7f7e7x6edo9/yCTL0/lYYdWtx7rUf4M+lw7xiME8da+CzV+c&#10;h2Aehd4exZV9IgKDXyaz+VfMCExNT09n8yI+e/nZh5iuJFiSnZoG3F2RlG9+xIQNsfRQkns5uNTG&#10;lP0Z908AC3OEZeZ7htlL/aofaK+g2eI0Ha69pg7vkhLz3aGq+UIOTjg4q8HJPaI/v0vYuPDJqHuo&#10;oRnuqNAc7ikfwet3qXq5+u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RQU39EAAAADAQAADwAA&#10;AAAAAAABACAAAAAiAAAAZHJzL2Rvd25yZXYueG1sUEsBAhQAFAAAAAgAh07iQBg+ES2rAQAAPQMA&#10;AA4AAAAAAAAAAQAgAAAAIAEAAGRycy9lMm9Eb2MueG1sUEsFBgAAAAAGAAYAWQEAAD0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429CC"/>
    <w:rsid w:val="0007535F"/>
    <w:rsid w:val="00646D45"/>
    <w:rsid w:val="00950146"/>
    <w:rsid w:val="124A2265"/>
    <w:rsid w:val="14336575"/>
    <w:rsid w:val="35BD1BBC"/>
    <w:rsid w:val="3953383E"/>
    <w:rsid w:val="3AEE0545"/>
    <w:rsid w:val="3F040894"/>
    <w:rsid w:val="41DB39B8"/>
    <w:rsid w:val="475A4EF3"/>
    <w:rsid w:val="582821AA"/>
    <w:rsid w:val="65B92F57"/>
    <w:rsid w:val="6AF429CC"/>
    <w:rsid w:val="72D814A7"/>
    <w:rsid w:val="7525375C"/>
    <w:rsid w:val="7EDA37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rFonts w:ascii="Heiti SC Light" w:eastAsia="Heiti SC Light"/>
      <w:sz w:val="18"/>
      <w:szCs w:val="18"/>
    </w:rPr>
  </w:style>
  <w:style w:type="paragraph" w:styleId="3">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框文本字符"/>
    <w:basedOn w:val="5"/>
    <w:link w:val="2"/>
    <w:qFormat/>
    <w:uiPriority w:val="0"/>
    <w:rPr>
      <w:rFonts w:ascii="Heiti SC Light" w:hAnsi="Times New Roman" w:eastAsia="Heiti SC Light"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424</Words>
  <Characters>2421</Characters>
  <Lines>20</Lines>
  <Paragraphs>5</Paragraphs>
  <TotalTime>9</TotalTime>
  <ScaleCrop>false</ScaleCrop>
  <LinksUpToDate>false</LinksUpToDate>
  <CharactersWithSpaces>2840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2021-05-26T04:49:00Z</dcterms:created>
  <dc:creator>刘倩</dc:creator>
  <cp:lastModifiedBy>Administrator</cp:lastModifiedBy>
  <cp:lastPrinted>2021-06-08T01:53:00Z</cp:lastPrinted>
  <dcterms:modified xsi:type="dcterms:W3CDTF">2021-06-22T08:31:20Z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524DA829EDAA4805AA1FF8C2611876C7</vt:lpwstr>
  </property>
</Properties>
</file>