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360" w:lineRule="auto"/>
        <w:jc w:val="right"/>
        <w:rPr>
          <w:rFonts w:hint="default" w:ascii="仿宋_GB2312" w:hAnsi="仿宋_GB2312" w:eastAsia="仿宋_GB2312" w:cs="仿宋_GB2312"/>
          <w:szCs w:val="32"/>
        </w:rPr>
      </w:pPr>
    </w:p>
    <w:p>
      <w:pPr>
        <w:spacing w:line="520" w:lineRule="atLeast"/>
        <w:rPr>
          <w:rFonts w:hint="default" w:ascii="仿宋_GB2312" w:eastAsia="仿宋_GB2312"/>
          <w:szCs w:val="32"/>
        </w:rPr>
      </w:pPr>
    </w:p>
    <w:p>
      <w:pPr>
        <w:pStyle w:val="5"/>
        <w:snapToGrid w:val="0"/>
        <w:spacing w:line="520" w:lineRule="atLeast"/>
        <w:jc w:val="center"/>
        <w:rPr>
          <w:rFonts w:hint="default" w:ascii="方正小标宋" w:hAnsi="方正小标宋" w:eastAsia="方正小标宋" w:cs="方正小标宋"/>
          <w:b/>
          <w:bCs/>
          <w:sz w:val="44"/>
          <w:szCs w:val="44"/>
        </w:rPr>
      </w:pPr>
      <w:r>
        <w:rPr>
          <w:rFonts w:ascii="方正小标宋" w:hAnsi="方正小标宋" w:eastAsia="方正小标宋" w:cs="方正小标宋"/>
          <w:b/>
          <w:bCs/>
          <w:sz w:val="44"/>
          <w:szCs w:val="44"/>
        </w:rPr>
        <w:t>行 政 处 罚 决 定 书</w:t>
      </w:r>
    </w:p>
    <w:p>
      <w:pPr>
        <w:tabs>
          <w:tab w:val="center" w:pos="4416"/>
          <w:tab w:val="left" w:pos="7036"/>
        </w:tabs>
        <w:snapToGrid w:val="0"/>
        <w:spacing w:line="520" w:lineRule="atLeast"/>
        <w:jc w:val="left"/>
        <w:rPr>
          <w:rFonts w:hint="default" w:ascii="仿宋_GB2312" w:eastAsia="仿宋_GB2312"/>
          <w:szCs w:val="32"/>
        </w:rPr>
      </w:pPr>
      <w:r>
        <w:rPr>
          <w:rFonts w:ascii="仿宋_GB2312" w:hAnsi="仿宋_GB2312" w:eastAsia="仿宋_GB2312" w:cs="仿宋_GB2312"/>
          <w:szCs w:val="32"/>
        </w:rPr>
        <w:tab/>
      </w:r>
      <w:r>
        <w:rPr>
          <w:rFonts w:ascii="仿宋_GB2312" w:hAnsi="仿宋_GB2312" w:eastAsia="仿宋_GB2312" w:cs="仿宋_GB2312"/>
          <w:szCs w:val="32"/>
        </w:rPr>
        <w:t>南环罚字〔2021〕</w:t>
      </w:r>
      <w:r>
        <w:rPr>
          <w:rFonts w:hint="eastAsia" w:ascii="仿宋_GB2312" w:hAnsi="仿宋_GB2312" w:eastAsia="仿宋_GB2312" w:cs="仿宋_GB2312"/>
          <w:szCs w:val="32"/>
          <w:lang w:val="en-US" w:eastAsia="zh-CN"/>
        </w:rPr>
        <w:t>8</w:t>
      </w:r>
      <w:r>
        <w:rPr>
          <w:rFonts w:ascii="仿宋_GB2312" w:hAnsi="仿宋_GB2312" w:eastAsia="仿宋_GB2312" w:cs="仿宋_GB2312"/>
          <w:szCs w:val="32"/>
        </w:rPr>
        <w:t>号</w:t>
      </w:r>
      <w:r>
        <w:rPr>
          <w:rFonts w:ascii="仿宋_GB2312" w:hAnsi="仿宋_GB2312" w:eastAsia="仿宋_GB2312" w:cs="仿宋_GB2312"/>
          <w:szCs w:val="32"/>
        </w:rPr>
        <w:tab/>
      </w:r>
    </w:p>
    <w:p>
      <w:pPr>
        <w:pStyle w:val="6"/>
        <w:snapToGrid w:val="0"/>
        <w:spacing w:line="520" w:lineRule="atLeast"/>
        <w:rPr>
          <w:rFonts w:ascii="仿宋_GB2312" w:eastAsia="仿宋_GB2312"/>
          <w:sz w:val="32"/>
          <w:szCs w:val="30"/>
        </w:rPr>
      </w:pPr>
    </w:p>
    <w:p>
      <w:pPr>
        <w:pStyle w:val="7"/>
        <w:snapToGrid w:val="0"/>
        <w:spacing w:line="520" w:lineRule="atLeast"/>
        <w:rPr>
          <w:rFonts w:ascii="仿宋_GB2312" w:eastAsia="仿宋_GB2312"/>
          <w:sz w:val="32"/>
          <w:szCs w:val="32"/>
        </w:rPr>
      </w:pPr>
      <w:r>
        <w:rPr>
          <w:rFonts w:hint="eastAsia" w:ascii="仿宋_GB2312" w:eastAsia="仿宋_GB2312"/>
          <w:sz w:val="32"/>
          <w:szCs w:val="32"/>
        </w:rPr>
        <w:t>当事人：广州番禺盈峰泰纺织有限公司</w:t>
      </w:r>
    </w:p>
    <w:p>
      <w:pPr>
        <w:pStyle w:val="7"/>
        <w:snapToGrid w:val="0"/>
        <w:spacing w:line="520" w:lineRule="atLeast"/>
        <w:rPr>
          <w:rFonts w:hint="eastAsia" w:ascii="仿宋_GB2312" w:eastAsia="仿宋_GB2312"/>
          <w:sz w:val="32"/>
          <w:szCs w:val="32"/>
        </w:rPr>
      </w:pPr>
    </w:p>
    <w:p>
      <w:pPr>
        <w:pStyle w:val="7"/>
        <w:snapToGrid w:val="0"/>
        <w:spacing w:line="520" w:lineRule="atLeast"/>
        <w:rPr>
          <w:rFonts w:ascii="仿宋_GB2312" w:eastAsia="仿宋_GB2312"/>
          <w:sz w:val="32"/>
          <w:szCs w:val="32"/>
        </w:rPr>
      </w:pPr>
      <w:r>
        <w:rPr>
          <w:rFonts w:hint="eastAsia" w:ascii="仿宋_GB2312" w:eastAsia="仿宋_GB2312"/>
          <w:sz w:val="32"/>
          <w:szCs w:val="32"/>
        </w:rPr>
        <w:t xml:space="preserve">   </w:t>
      </w:r>
    </w:p>
    <w:p>
      <w:pPr>
        <w:pStyle w:val="7"/>
        <w:snapToGrid w:val="0"/>
        <w:spacing w:line="520" w:lineRule="atLeast"/>
        <w:ind w:firstLine="624" w:firstLineChars="200"/>
        <w:rPr>
          <w:rFonts w:ascii="仿宋_GB2312" w:eastAsia="仿宋_GB2312"/>
          <w:sz w:val="32"/>
          <w:szCs w:val="32"/>
        </w:rPr>
      </w:pPr>
      <w:r>
        <w:rPr>
          <w:rFonts w:hint="eastAsia" w:ascii="仿宋_GB2312" w:eastAsia="仿宋_GB2312"/>
          <w:sz w:val="32"/>
          <w:szCs w:val="32"/>
        </w:rPr>
        <w:t>一、环境违法事实和证据</w:t>
      </w:r>
    </w:p>
    <w:p>
      <w:pPr>
        <w:snapToGrid w:val="0"/>
        <w:spacing w:line="520" w:lineRule="atLeast"/>
        <w:ind w:firstLine="640"/>
        <w:rPr>
          <w:rFonts w:hint="default" w:ascii="仿宋_GB2312" w:eastAsia="仿宋_GB2312"/>
          <w:szCs w:val="32"/>
        </w:rPr>
      </w:pPr>
      <w:r>
        <w:rPr>
          <w:rFonts w:ascii="仿宋_GB2312" w:eastAsia="仿宋_GB2312"/>
          <w:szCs w:val="32"/>
        </w:rPr>
        <w:t>经查，当事人</w:t>
      </w:r>
      <w:bookmarkStart w:id="0" w:name="_GoBack"/>
      <w:bookmarkEnd w:id="0"/>
      <w:r>
        <w:rPr>
          <w:rFonts w:ascii="仿宋_GB2312" w:eastAsia="仿宋_GB2312"/>
          <w:szCs w:val="32"/>
        </w:rPr>
        <w:t>建成布料洗染项目，于2003年建成并投入生产。当事人设有COD、氨氮、总磷总氮三套废水在线监控且均已通过验收并与环保部门联网。</w:t>
      </w:r>
    </w:p>
    <w:p>
      <w:pPr>
        <w:snapToGrid w:val="0"/>
        <w:spacing w:line="520" w:lineRule="atLeast"/>
        <w:ind w:firstLine="640"/>
        <w:rPr>
          <w:rFonts w:hint="default" w:ascii="仿宋_GB2312" w:eastAsia="仿宋_GB2312"/>
          <w:szCs w:val="32"/>
        </w:rPr>
      </w:pPr>
      <w:r>
        <w:rPr>
          <w:rFonts w:ascii="仿宋_GB2312" w:eastAsia="仿宋_GB2312"/>
          <w:szCs w:val="32"/>
        </w:rPr>
        <w:t>2020年12月23日上午，当事人正常生产，废水排放口正在排水，本局委托力合科技（湖南）股份有限公司对当事人废水在线监控运维情况进行巡查，现场巡查发现当事人COD废水在线监控设备后方水样杯附近悬挂着两瓶装满水的矿泉水瓶，COD废水在线监控采样管插入其中一个矿泉水瓶，氨氮和总磷总氮废水在线监控的采样管插入另外一个矿泉水瓶。被发现上述情况后，当事人工作人员立即取下矿泉水瓶并将其丢弃。经查，2020年12月23日上午，当事人工作人员发现采样抽水泵损坏，无法抽取水样，遂将上述3个废水在线监控的采样管插入两个矿泉水瓶中，以矿泉水瓶中的水代替了实时排放的废水。经查实，当事人存在未保障自动监控设施正常运行的违法行为。</w:t>
      </w:r>
    </w:p>
    <w:p>
      <w:pPr>
        <w:snapToGrid w:val="0"/>
        <w:spacing w:line="520" w:lineRule="atLeast"/>
        <w:ind w:firstLine="624" w:firstLineChars="200"/>
        <w:rPr>
          <w:rFonts w:hint="default" w:ascii="仿宋_GB2312" w:eastAsia="仿宋_GB2312"/>
          <w:szCs w:val="32"/>
        </w:rPr>
      </w:pPr>
      <w:r>
        <w:rPr>
          <w:rFonts w:ascii="仿宋_GB2312" w:eastAsia="仿宋_GB2312"/>
          <w:szCs w:val="32"/>
        </w:rPr>
        <w:t>以上事实有《现场检查笔录》、《调查询问笔录》、废水在线监控平台导出数据表、现场检查照片、视频资料等证据为证。</w:t>
      </w:r>
    </w:p>
    <w:p>
      <w:pPr>
        <w:pStyle w:val="6"/>
        <w:snapToGrid w:val="0"/>
        <w:spacing w:line="520" w:lineRule="atLeast"/>
        <w:ind w:firstLine="624" w:firstLineChars="200"/>
        <w:rPr>
          <w:rFonts w:ascii="仿宋_GB2312" w:eastAsia="仿宋_GB2312"/>
          <w:sz w:val="32"/>
          <w:szCs w:val="32"/>
        </w:rPr>
      </w:pPr>
      <w:r>
        <w:rPr>
          <w:rFonts w:hint="eastAsia" w:ascii="仿宋_GB2312" w:eastAsia="仿宋_GB2312"/>
          <w:sz w:val="32"/>
          <w:szCs w:val="32"/>
        </w:rPr>
        <w:t>二、行政处罚的依据、种类及其履行方式和期限</w:t>
      </w:r>
    </w:p>
    <w:p>
      <w:pPr>
        <w:pStyle w:val="6"/>
        <w:snapToGrid w:val="0"/>
        <w:spacing w:line="520" w:lineRule="atLeast"/>
        <w:ind w:firstLine="624" w:firstLineChars="200"/>
        <w:rPr>
          <w:rFonts w:ascii="仿宋_GB2312" w:eastAsia="仿宋_GB2312"/>
          <w:sz w:val="32"/>
          <w:szCs w:val="32"/>
        </w:rPr>
      </w:pPr>
      <w:r>
        <w:rPr>
          <w:rFonts w:hint="eastAsia" w:ascii="仿宋_GB2312" w:eastAsia="仿宋_GB2312"/>
          <w:sz w:val="32"/>
          <w:szCs w:val="32"/>
        </w:rPr>
        <w:t>当事人上述行为违反了《中华人民共和国水污染防治法》第二十三条第一款的规定。</w:t>
      </w:r>
    </w:p>
    <w:p>
      <w:pPr>
        <w:pStyle w:val="7"/>
        <w:snapToGrid w:val="0"/>
        <w:spacing w:line="520" w:lineRule="atLeast"/>
        <w:ind w:firstLine="622"/>
        <w:rPr>
          <w:rFonts w:ascii="仿宋_GB2312" w:eastAsia="仿宋_GB2312"/>
          <w:sz w:val="32"/>
          <w:szCs w:val="32"/>
        </w:rPr>
      </w:pPr>
      <w:r>
        <w:rPr>
          <w:rFonts w:hint="eastAsia" w:ascii="仿宋_GB2312" w:eastAsia="仿宋_GB2312"/>
          <w:sz w:val="32"/>
          <w:szCs w:val="32"/>
        </w:rPr>
        <w:t>2021年4月29日，本局向当事人送达了《行政处罚听证告知书》（南环听告字〔2021〕6号），当事人未在有效期限内向本局提出听证申请和陈述申辩意见。</w:t>
      </w:r>
      <w:r>
        <w:rPr>
          <w:rFonts w:hint="eastAsia" w:ascii="仿宋_GB2312" w:eastAsia="仿宋_GB2312"/>
          <w:color w:val="0C0C0C"/>
          <w:sz w:val="32"/>
          <w:szCs w:val="32"/>
        </w:rPr>
        <w:t>现本案经本局审查结束。</w:t>
      </w:r>
    </w:p>
    <w:p>
      <w:pPr>
        <w:pStyle w:val="6"/>
        <w:snapToGrid w:val="0"/>
        <w:spacing w:line="520" w:lineRule="atLeast"/>
        <w:ind w:firstLine="624" w:firstLineChars="200"/>
        <w:rPr>
          <w:rFonts w:hint="eastAsia" w:ascii="仿宋_GB2312" w:eastAsia="仿宋_GB2312"/>
          <w:color w:val="0C0C0C"/>
          <w:sz w:val="32"/>
          <w:szCs w:val="32"/>
        </w:rPr>
      </w:pPr>
      <w:r>
        <w:rPr>
          <w:rFonts w:hint="eastAsia" w:ascii="仿宋_GB2312" w:eastAsia="仿宋_GB2312"/>
          <w:color w:val="0C0C0C"/>
          <w:sz w:val="32"/>
          <w:szCs w:val="32"/>
        </w:rPr>
        <w:t>本局依据《中华人民共和国水污染防治法》第八十二条第（二）项的规定，对当事人作出如下决定：</w:t>
      </w:r>
    </w:p>
    <w:p>
      <w:pPr>
        <w:pStyle w:val="6"/>
        <w:snapToGrid w:val="0"/>
        <w:spacing w:line="520" w:lineRule="atLeast"/>
        <w:ind w:firstLine="624" w:firstLineChars="200"/>
        <w:rPr>
          <w:rFonts w:hint="eastAsia" w:ascii="仿宋_GB2312" w:eastAsia="仿宋_GB2312"/>
          <w:sz w:val="32"/>
          <w:szCs w:val="32"/>
        </w:rPr>
      </w:pPr>
      <w:r>
        <w:rPr>
          <w:rFonts w:hint="eastAsia" w:ascii="仿宋_GB2312" w:eastAsia="仿宋_GB2312"/>
          <w:color w:val="0C0C0C"/>
          <w:sz w:val="32"/>
          <w:szCs w:val="32"/>
        </w:rPr>
        <w:t>1、责令立即改正违法行为</w:t>
      </w:r>
    </w:p>
    <w:p>
      <w:pPr>
        <w:pStyle w:val="6"/>
        <w:snapToGrid w:val="0"/>
        <w:spacing w:line="520" w:lineRule="atLeast"/>
        <w:ind w:firstLine="624" w:firstLineChars="200"/>
        <w:rPr>
          <w:rFonts w:ascii="仿宋_GB2312" w:eastAsia="仿宋_GB2312"/>
          <w:sz w:val="32"/>
          <w:szCs w:val="32"/>
        </w:rPr>
      </w:pPr>
      <w:r>
        <w:rPr>
          <w:rFonts w:hint="eastAsia" w:ascii="仿宋_GB2312" w:eastAsia="仿宋_GB2312"/>
          <w:sz w:val="32"/>
          <w:szCs w:val="32"/>
        </w:rPr>
        <w:t>2、处罚款120000元。</w:t>
      </w:r>
    </w:p>
    <w:p>
      <w:pPr>
        <w:pStyle w:val="6"/>
        <w:snapToGrid w:val="0"/>
        <w:spacing w:line="520" w:lineRule="atLeast"/>
        <w:ind w:firstLine="624" w:firstLineChars="200"/>
        <w:rPr>
          <w:rFonts w:ascii="仿宋_GB2312" w:eastAsia="仿宋_GB2312"/>
          <w:sz w:val="32"/>
          <w:szCs w:val="32"/>
        </w:rPr>
      </w:pPr>
      <w:r>
        <w:rPr>
          <w:rFonts w:hint="eastAsia" w:ascii="仿宋_GB2312" w:eastAsia="仿宋_GB2312"/>
          <w:sz w:val="32"/>
          <w:szCs w:val="32"/>
        </w:rPr>
        <w:t>限当事人于接到本行政处罚决定书之日起15日内，按照《广州市非税收入缴款通知书》的要求，将上述罚款缴到非税收入代收银行（工商银行、建设银行、广州银行、广州农村商业银行、中国银行、农业银行、邮政储蓄银行、交通银行、光大银行、中信银行、广发银行、浦发银行、华夏银行、招商银行、民生银行、兴业银行、平安银行、广东华兴银行、创兴银行、浙商银行、渤海银行、珠海华润银行、九江银行），收入项目编码：3124。</w:t>
      </w:r>
    </w:p>
    <w:p>
      <w:pPr>
        <w:pStyle w:val="6"/>
        <w:snapToGrid w:val="0"/>
        <w:spacing w:line="520" w:lineRule="atLeast"/>
        <w:ind w:firstLine="624" w:firstLineChars="200"/>
        <w:rPr>
          <w:rFonts w:ascii="仿宋_GB2312" w:eastAsia="仿宋_GB2312"/>
          <w:sz w:val="32"/>
          <w:szCs w:val="32"/>
        </w:rPr>
      </w:pPr>
      <w:r>
        <w:rPr>
          <w:rFonts w:hint="eastAsia" w:ascii="仿宋_GB2312" w:eastAsia="仿宋_GB2312"/>
          <w:sz w:val="32"/>
          <w:szCs w:val="32"/>
        </w:rPr>
        <w:t>三、申请行政复议或者提起行政诉讼的途径和期限</w:t>
      </w:r>
    </w:p>
    <w:p>
      <w:pPr>
        <w:pStyle w:val="6"/>
        <w:snapToGrid w:val="0"/>
        <w:spacing w:line="520" w:lineRule="atLeast"/>
        <w:ind w:firstLine="624" w:firstLineChars="200"/>
        <w:rPr>
          <w:rFonts w:hint="eastAsia" w:ascii="仿宋_GB2312" w:eastAsia="仿宋_GB2312"/>
          <w:sz w:val="32"/>
          <w:szCs w:val="32"/>
        </w:rPr>
      </w:pPr>
      <w:r>
        <w:rPr>
          <w:rFonts w:hint="eastAsia" w:ascii="仿宋_GB2312" w:eastAsia="仿宋_GB2312"/>
          <w:sz w:val="32"/>
          <w:szCs w:val="32"/>
        </w:rPr>
        <w:t>如当事人对本决定不服，可在收到本决定之日起60日内向广州市人民政府（地址：广州市越秀区小北路183号金和大厦2楼市政府行政复议办公室，电话：020-83555988），也可向广东省生态环境厅（地址：天河区龙口西路213号，电话：020-87533928、87531656）申请行政复议；或者在收到本决定之日起6个月内直接向广州铁路运输法院提起行政诉讼。根据《广东省人民政府关于县级以上人民政府统一行使行政复议职责有关事项的通告》（粤府函〔2021〕99号）的规定，自2021年6月1日起县级以上人民政府统一行使行政复议职责，建议当事人向广州市人民政府提出行政复议申请。</w:t>
      </w:r>
    </w:p>
    <w:p>
      <w:pPr>
        <w:pStyle w:val="6"/>
        <w:snapToGrid w:val="0"/>
        <w:spacing w:line="520" w:lineRule="atLeast"/>
        <w:ind w:firstLine="624" w:firstLineChars="200"/>
        <w:rPr>
          <w:rFonts w:ascii="仿宋_GB2312" w:eastAsia="仿宋_GB2312"/>
          <w:sz w:val="32"/>
          <w:szCs w:val="32"/>
        </w:rPr>
      </w:pPr>
      <w:r>
        <w:rPr>
          <w:rFonts w:hint="eastAsia" w:ascii="仿宋_GB2312" w:eastAsia="仿宋_GB2312"/>
          <w:sz w:val="32"/>
          <w:szCs w:val="32"/>
        </w:rPr>
        <w:t>逾期不履行本决定，本局将申请人民法院强制执行，并每日按罚款额的百分之三加处罚款。</w:t>
      </w:r>
    </w:p>
    <w:p>
      <w:pPr>
        <w:pStyle w:val="6"/>
        <w:snapToGrid w:val="0"/>
        <w:spacing w:line="520" w:lineRule="atLeast"/>
        <w:ind w:firstLine="624" w:firstLineChars="200"/>
        <w:rPr>
          <w:rFonts w:ascii="仿宋_GB2312" w:eastAsia="仿宋_GB2312"/>
          <w:sz w:val="32"/>
          <w:szCs w:val="32"/>
        </w:rPr>
      </w:pPr>
    </w:p>
    <w:p>
      <w:pPr>
        <w:tabs>
          <w:tab w:val="left" w:pos="0"/>
        </w:tabs>
        <w:snapToGrid w:val="0"/>
        <w:spacing w:line="540" w:lineRule="atLeast"/>
        <w:ind w:right="1248" w:rightChars="400" w:firstLine="624" w:firstLineChars="200"/>
        <w:rPr>
          <w:rFonts w:hint="default" w:ascii="仿宋_GB2312" w:hAnsi="仿宋_GB2312" w:eastAsia="仿宋_GB2312" w:cs="仿宋_GB2312"/>
          <w:spacing w:val="-6"/>
          <w:szCs w:val="32"/>
        </w:rPr>
      </w:pPr>
      <w:r>
        <w:rPr>
          <w:rFonts w:ascii="仿宋_GB2312" w:hAnsi="仿宋_GB2312" w:eastAsia="仿宋_GB2312" w:cs="仿宋_GB2312"/>
          <w:szCs w:val="32"/>
        </w:rPr>
        <w:t xml:space="preserve">                         广州市生态环境局</w:t>
      </w:r>
    </w:p>
    <w:p>
      <w:pPr>
        <w:tabs>
          <w:tab w:val="left" w:pos="0"/>
        </w:tabs>
        <w:snapToGrid w:val="0"/>
        <w:spacing w:line="540" w:lineRule="atLeast"/>
        <w:ind w:right="1872" w:rightChars="600" w:firstLine="600" w:firstLineChars="200"/>
        <w:rPr>
          <w:rFonts w:hint="default" w:ascii="仿宋_GB2312" w:hAnsi="仿宋_GB2312" w:eastAsia="仿宋_GB2312" w:cs="仿宋_GB2312"/>
          <w:spacing w:val="-6"/>
          <w:szCs w:val="32"/>
        </w:rPr>
      </w:pPr>
      <w:r>
        <w:rPr>
          <w:rFonts w:ascii="仿宋_GB2312" w:hAnsi="仿宋_GB2312" w:eastAsia="仿宋_GB2312" w:cs="仿宋_GB2312"/>
          <w:spacing w:val="-6"/>
          <w:szCs w:val="32"/>
        </w:rPr>
        <w:t xml:space="preserve">                            2021年</w:t>
      </w:r>
      <w:r>
        <w:rPr>
          <w:rFonts w:hint="eastAsia" w:ascii="仿宋_GB2312" w:hAnsi="仿宋_GB2312" w:eastAsia="仿宋_GB2312" w:cs="仿宋_GB2312"/>
          <w:spacing w:val="-6"/>
          <w:szCs w:val="32"/>
          <w:lang w:val="en-US" w:eastAsia="zh-CN"/>
        </w:rPr>
        <w:t>6</w:t>
      </w:r>
      <w:r>
        <w:rPr>
          <w:rFonts w:ascii="仿宋_GB2312" w:hAnsi="仿宋_GB2312" w:eastAsia="仿宋_GB2312" w:cs="仿宋_GB2312"/>
          <w:spacing w:val="-6"/>
          <w:szCs w:val="32"/>
        </w:rPr>
        <w:t>月</w:t>
      </w:r>
      <w:r>
        <w:rPr>
          <w:rFonts w:hint="eastAsia" w:ascii="仿宋_GB2312" w:hAnsi="仿宋_GB2312" w:eastAsia="仿宋_GB2312" w:cs="仿宋_GB2312"/>
          <w:spacing w:val="-6"/>
          <w:szCs w:val="32"/>
          <w:lang w:val="en-US" w:eastAsia="zh-CN"/>
        </w:rPr>
        <w:t>9</w:t>
      </w:r>
      <w:r>
        <w:rPr>
          <w:rFonts w:ascii="仿宋_GB2312" w:hAnsi="仿宋_GB2312" w:eastAsia="仿宋_GB2312" w:cs="仿宋_GB2312"/>
          <w:spacing w:val="-6"/>
          <w:szCs w:val="32"/>
        </w:rPr>
        <w:t>日</w:t>
      </w:r>
    </w:p>
    <w:p>
      <w:pPr>
        <w:tabs>
          <w:tab w:val="left" w:pos="0"/>
        </w:tabs>
        <w:snapToGrid w:val="0"/>
        <w:spacing w:line="520" w:lineRule="atLeast"/>
        <w:rPr>
          <w:rFonts w:hint="default" w:ascii="仿宋_GB2312" w:eastAsia="仿宋_GB2312"/>
          <w:szCs w:val="32"/>
        </w:rPr>
      </w:pPr>
      <w:r>
        <w:rPr>
          <w:rFonts w:ascii="仿宋_GB2312" w:eastAsia="仿宋_GB2312"/>
          <w:szCs w:val="32"/>
        </w:rPr>
        <w:t>（联系电话：020-39053008、39053079、39078029）</w:t>
      </w:r>
    </w:p>
    <w:p>
      <w:pPr>
        <w:rPr>
          <w:rFonts w:hint="default"/>
        </w:rPr>
      </w:pPr>
    </w:p>
    <w:sectPr>
      <w:footerReference r:id="rId3" w:type="default"/>
      <w:footerReference r:id="rId4" w:type="even"/>
      <w:pgSz w:w="11906" w:h="16838"/>
      <w:pgMar w:top="2097" w:right="1474" w:bottom="1984" w:left="1587" w:header="851" w:footer="1474" w:gutter="0"/>
      <w:pgNumType w:fmt="numberInDash"/>
      <w:cols w:space="720" w:num="1"/>
      <w:titlePg/>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汉鼎简书宋">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
    <w:altName w:val="宋体"/>
    <w:panose1 w:val="00000000000000000000"/>
    <w:charset w:val="00"/>
    <w:family w:val="auto"/>
    <w:pitch w:val="default"/>
    <w:sig w:usb0="00000000" w:usb1="00000000" w:usb2="00000000" w:usb3="00000000" w:csb0="00040001" w:csb1="00000000"/>
  </w:font>
  <w:font w:name="Palatino Linotype">
    <w:panose1 w:val="02040502050505030304"/>
    <w:charset w:val="00"/>
    <w:family w:val="auto"/>
    <w:pitch w:val="default"/>
    <w:sig w:usb0="E00002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280035" cy="2336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80035" cy="233680"/>
                      </a:xfrm>
                      <a:prstGeom prst="rect">
                        <a:avLst/>
                      </a:prstGeom>
                      <a:noFill/>
                      <a:ln>
                        <a:noFill/>
                      </a:ln>
                    </wps:spPr>
                    <wps:txbx>
                      <w:txbxContent>
                        <w:p>
                          <w:pPr>
                            <w:wordWrap w:val="0"/>
                            <w:snapToGrid w:val="0"/>
                            <w:jc w:val="right"/>
                            <w:rPr>
                              <w:rFonts w:hint="default" w:ascii="宋体" w:hAnsi="宋体" w:eastAsia="宋体" w:cs="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hint="default"/>
                            </w:rPr>
                            <w:t>2</w:t>
                          </w:r>
                          <w:r>
                            <w:rPr>
                              <w:rFonts w:ascii="宋体" w:hAnsi="宋体" w:eastAsia="宋体" w:cs="宋体"/>
                              <w:sz w:val="28"/>
                              <w:szCs w:val="28"/>
                            </w:rPr>
                            <w:fldChar w:fldCharType="end"/>
                          </w:r>
                          <w:r>
                            <w:rPr>
                              <w:rFonts w:ascii="宋体" w:hAnsi="宋体" w:eastAsia="宋体" w:cs="宋体"/>
                              <w:sz w:val="28"/>
                              <w:szCs w:val="28"/>
                            </w:rPr>
                            <w:t>　</w:t>
                          </w:r>
                        </w:p>
                      </w:txbxContent>
                    </wps:txbx>
                    <wps:bodyPr wrap="none" lIns="0" tIns="0" rIns="0" bIns="0">
                      <a:spAutoFit/>
                    </wps:bodyPr>
                  </wps:wsp>
                </a:graphicData>
              </a:graphic>
            </wp:anchor>
          </w:drawing>
        </mc:Choice>
        <mc:Fallback>
          <w:pict>
            <v:shape id="_x0000_s1026" o:spid="_x0000_s1026" o:spt="202" type="#_x0000_t202" style="position:absolute;left:0pt;margin-top:0pt;height:18.4pt;width:22.05pt;mso-position-horizontal:outside;mso-position-horizontal-relative:margin;mso-wrap-style:none;z-index:251659264;mso-width-relative:page;mso-height-relative:page;" filled="f" stroked="f" coordsize="21600,21600" o:gfxdata="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r8oJLtEAAAADAQAADwAA&#10;AAAAAAABACAAAAAiAAAAZHJzL2Rvd25yZXYueG1sUEsBAhQAFAAAAAgAh07iQL/8/3erAQAAPQMA&#10;AA4AAAAAAAAAAQAgAAAAIAEAAGRycy9lMm9Eb2MueG1sUEsFBgAAAAAGAAYAWQEAAD0FAAAAAA==&#10;">
              <v:fill on="f" focussize="0,0"/>
              <v:stroke on="f"/>
              <v:imagedata o:title=""/>
              <o:lock v:ext="edit" aspectratio="f"/>
              <v:textbox inset="0mm,0mm,0mm,0mm" style="mso-fit-shape-to-text:t;">
                <w:txbxContent>
                  <w:p>
                    <w:pPr>
                      <w:wordWrap w:val="0"/>
                      <w:snapToGrid w:val="0"/>
                      <w:jc w:val="right"/>
                      <w:rPr>
                        <w:rFonts w:hint="default" w:ascii="宋体" w:hAnsi="宋体" w:eastAsia="宋体" w:cs="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hint="default"/>
                      </w:rPr>
                      <w:t>2</w:t>
                    </w:r>
                    <w:r>
                      <w:rPr>
                        <w:rFonts w:ascii="宋体" w:hAnsi="宋体" w:eastAsia="宋体" w:cs="宋体"/>
                        <w:sz w:val="28"/>
                        <w:szCs w:val="28"/>
                      </w:rPr>
                      <w:fldChar w:fldCharType="end"/>
                    </w:r>
                    <w:r>
                      <w:rPr>
                        <w:rFonts w:ascii="宋体" w:hAnsi="宋体" w:eastAsia="宋体" w:cs="宋体"/>
                        <w:sz w:val="28"/>
                        <w:szCs w:val="28"/>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16890" cy="23368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16890" cy="233680"/>
                      </a:xfrm>
                      <a:prstGeom prst="rect">
                        <a:avLst/>
                      </a:prstGeom>
                      <a:noFill/>
                      <a:ln>
                        <a:noFill/>
                      </a:ln>
                    </wps:spPr>
                    <wps:txbx>
                      <w:txbxContent>
                        <w:p>
                          <w:pPr>
                            <w:snapToGrid w:val="0"/>
                            <w:rPr>
                              <w:rFonts w:hint="default" w:ascii="Palatino Linotype" w:hAnsi="Palatino Linotype" w:eastAsia="仿宋_GB2312" w:cs="Palatino Linotype"/>
                              <w:sz w:val="28"/>
                              <w:szCs w:val="28"/>
                            </w:rPr>
                          </w:pPr>
                          <w:r>
                            <w:rPr>
                              <w:rFonts w:ascii="宋体" w:hAnsi="宋体" w:eastAsia="宋体" w:cs="宋体"/>
                              <w:sz w:val="28"/>
                              <w:szCs w:val="28"/>
                            </w:rPr>
                            <w:t>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hint="default"/>
                            </w:rPr>
                            <w:t>- 2 -</w:t>
                          </w:r>
                          <w:r>
                            <w:rPr>
                              <w:rFonts w:ascii="宋体" w:hAnsi="宋体" w:eastAsia="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4pt;width:40.7pt;mso-position-horizontal:outside;mso-position-horizontal-relative:margin;mso-wrap-style:none;z-index:251660288;mso-width-relative:page;mso-height-relative:page;" filled="f" stroked="f" coordsize="21600,21600" o:gfxdata="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LEUFN/RAAAAAwEAAA8A&#10;AAAAAAAAAQAgAAAAIgAAAGRycy9kb3ducmV2LnhtbFBLAQIUABQAAAAIAIdO4kDFsTPurAEAAD0D&#10;AAAOAAAAAAAAAAEAIAAAACABAABkcnMvZTJvRG9jLnhtbFBLBQYAAAAABgAGAFkBAAA+BQAAAAA=&#10;">
              <v:fill on="f" focussize="0,0"/>
              <v:stroke on="f"/>
              <v:imagedata o:title=""/>
              <o:lock v:ext="edit" aspectratio="f"/>
              <v:textbox inset="0mm,0mm,0mm,0mm" style="mso-fit-shape-to-text:t;">
                <w:txbxContent>
                  <w:p>
                    <w:pPr>
                      <w:snapToGrid w:val="0"/>
                      <w:rPr>
                        <w:rFonts w:hint="default" w:ascii="Palatino Linotype" w:hAnsi="Palatino Linotype" w:eastAsia="仿宋_GB2312" w:cs="Palatino Linotype"/>
                        <w:sz w:val="28"/>
                        <w:szCs w:val="28"/>
                      </w:rPr>
                    </w:pPr>
                    <w:r>
                      <w:rPr>
                        <w:rFonts w:ascii="宋体" w:hAnsi="宋体" w:eastAsia="宋体" w:cs="宋体"/>
                        <w:sz w:val="28"/>
                        <w:szCs w:val="28"/>
                      </w:rPr>
                      <w:t>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hint="default"/>
                      </w:rPr>
                      <w:t>- 2 -</w:t>
                    </w:r>
                    <w:r>
                      <w:rPr>
                        <w:rFonts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8B5580"/>
    <w:rsid w:val="00F50F81"/>
    <w:rsid w:val="00FF5451"/>
    <w:rsid w:val="174B2138"/>
    <w:rsid w:val="1CDF10F8"/>
    <w:rsid w:val="1DEC73F4"/>
    <w:rsid w:val="408B5580"/>
    <w:rsid w:val="4200222E"/>
    <w:rsid w:val="457827B9"/>
    <w:rsid w:val="579527DA"/>
    <w:rsid w:val="63C14C03"/>
    <w:rsid w:val="65D96CBC"/>
    <w:rsid w:val="739B0EBC"/>
    <w:rsid w:val="75513FF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Times New Roman" w:hAnsi="Times New Roman" w:eastAsia="Calibri" w:cs="Times New Roman"/>
      <w:kern w:val="2"/>
      <w:sz w:val="3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hint="default" w:ascii="宋体" w:hAnsi="宋体" w:eastAsia="汉鼎简书宋"/>
      <w:kern w:val="0"/>
      <w:sz w:val="18"/>
    </w:rPr>
  </w:style>
  <w:style w:type="paragraph" w:customStyle="1" w:styleId="5">
    <w:name w:val="Normal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15"/>
      <w:szCs w:val="24"/>
      <w:lang w:val="en-US" w:eastAsia="zh-CN" w:bidi="ar-SA"/>
    </w:rPr>
  </w:style>
  <w:style w:type="paragraph" w:customStyle="1" w:styleId="7">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209</Words>
  <Characters>1193</Characters>
  <Lines>9</Lines>
  <Paragraphs>2</Paragraphs>
  <TotalTime>5</TotalTime>
  <ScaleCrop>false</ScaleCrop>
  <LinksUpToDate>false</LinksUpToDate>
  <CharactersWithSpaces>1400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2021-05-26T01:54:00Z</dcterms:created>
  <dc:creator>刘倩</dc:creator>
  <cp:lastModifiedBy>Administrator</cp:lastModifiedBy>
  <dcterms:modified xsi:type="dcterms:W3CDTF">2021-06-22T08:30:55Z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7AA2D02ADE9C48A7B4B477F95435D61D</vt:lpwstr>
  </property>
</Properties>
</file>