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right"/>
        <w:rPr>
          <w:rFonts w:hint="default" w:ascii="仿宋_GB2312" w:hAnsi="仿宋_GB2312" w:eastAsia="仿宋_GB2312" w:cs="仿宋_GB2312"/>
          <w:szCs w:val="32"/>
        </w:rPr>
      </w:pPr>
    </w:p>
    <w:p>
      <w:pPr>
        <w:spacing w:line="520" w:lineRule="atLeast"/>
        <w:rPr>
          <w:rFonts w:hint="default" w:ascii="仿宋_GB2312" w:eastAsia="仿宋_GB2312"/>
          <w:szCs w:val="32"/>
        </w:rPr>
      </w:pPr>
    </w:p>
    <w:p>
      <w:pPr>
        <w:pStyle w:val="5"/>
        <w:snapToGrid w:val="0"/>
        <w:spacing w:line="520" w:lineRule="atLeast"/>
        <w:jc w:val="center"/>
        <w:rPr>
          <w:rFonts w:hint="default" w:ascii="方正小标宋" w:hAnsi="方正小标宋" w:eastAsia="方正小标宋" w:cs="方正小标宋"/>
          <w:b/>
          <w:bCs/>
          <w:sz w:val="44"/>
          <w:szCs w:val="44"/>
        </w:rPr>
      </w:pPr>
      <w:r>
        <w:rPr>
          <w:rFonts w:ascii="方正小标宋" w:hAnsi="方正小标宋" w:eastAsia="方正小标宋" w:cs="方正小标宋"/>
          <w:b/>
          <w:bCs/>
          <w:sz w:val="44"/>
          <w:szCs w:val="44"/>
        </w:rPr>
        <w:t>行 政 处 罚 决 定 书</w:t>
      </w:r>
    </w:p>
    <w:p>
      <w:pPr>
        <w:tabs>
          <w:tab w:val="center" w:pos="4416"/>
          <w:tab w:val="left" w:pos="7036"/>
        </w:tabs>
        <w:snapToGrid w:val="0"/>
        <w:spacing w:line="520" w:lineRule="atLeast"/>
        <w:jc w:val="left"/>
        <w:rPr>
          <w:rFonts w:hint="default" w:ascii="仿宋_GB2312" w:eastAsia="仿宋_GB2312"/>
          <w:szCs w:val="32"/>
        </w:rPr>
      </w:pPr>
      <w:r>
        <w:rPr>
          <w:rFonts w:ascii="仿宋_GB2312" w:hAnsi="仿宋_GB2312" w:eastAsia="仿宋_GB2312" w:cs="仿宋_GB2312"/>
          <w:szCs w:val="32"/>
        </w:rPr>
        <w:tab/>
      </w:r>
      <w:r>
        <w:rPr>
          <w:rFonts w:ascii="仿宋_GB2312" w:hAnsi="仿宋_GB2312" w:eastAsia="仿宋_GB2312" w:cs="仿宋_GB2312"/>
          <w:szCs w:val="32"/>
        </w:rPr>
        <w:t>南环罚字〔2021〕</w:t>
      </w:r>
      <w:r>
        <w:rPr>
          <w:rFonts w:ascii="仿宋_GB2312" w:hAnsi="仿宋_GB2312" w:eastAsia="仿宋_GB2312" w:cs="仿宋_GB2312"/>
          <w:color w:val="auto"/>
          <w:szCs w:val="32"/>
        </w:rPr>
        <w:t>7</w:t>
      </w:r>
      <w:r>
        <w:rPr>
          <w:rFonts w:ascii="仿宋_GB2312" w:hAnsi="仿宋_GB2312" w:eastAsia="仿宋_GB2312" w:cs="仿宋_GB2312"/>
          <w:szCs w:val="32"/>
        </w:rPr>
        <w:t>号</w:t>
      </w:r>
      <w:r>
        <w:rPr>
          <w:rFonts w:ascii="仿宋_GB2312" w:hAnsi="仿宋_GB2312" w:eastAsia="仿宋_GB2312" w:cs="仿宋_GB2312"/>
          <w:szCs w:val="32"/>
        </w:rPr>
        <w:tab/>
      </w:r>
    </w:p>
    <w:p>
      <w:pPr>
        <w:pStyle w:val="6"/>
        <w:snapToGrid w:val="0"/>
        <w:spacing w:line="520" w:lineRule="atLeast"/>
        <w:rPr>
          <w:rFonts w:ascii="仿宋_GB2312" w:eastAsia="仿宋_GB2312"/>
          <w:sz w:val="32"/>
          <w:szCs w:val="30"/>
        </w:rPr>
      </w:pPr>
    </w:p>
    <w:p>
      <w:pPr>
        <w:pStyle w:val="7"/>
        <w:snapToGrid w:val="0"/>
        <w:spacing w:line="560" w:lineRule="atLeast"/>
        <w:rPr>
          <w:rFonts w:ascii="仿宋_GB2312" w:eastAsia="仿宋_GB2312"/>
          <w:sz w:val="32"/>
          <w:szCs w:val="32"/>
        </w:rPr>
      </w:pPr>
      <w:r>
        <w:rPr>
          <w:rFonts w:hint="eastAsia" w:ascii="仿宋_GB2312" w:eastAsia="仿宋_GB2312"/>
          <w:sz w:val="32"/>
          <w:szCs w:val="32"/>
        </w:rPr>
        <w:t>当事人：广州森道食品有限公司</w:t>
      </w:r>
    </w:p>
    <w:p>
      <w:pPr>
        <w:pStyle w:val="7"/>
        <w:snapToGrid w:val="0"/>
        <w:spacing w:line="560" w:lineRule="atLeast"/>
        <w:ind w:firstLine="624" w:firstLineChars="200"/>
        <w:rPr>
          <w:rFonts w:hint="eastAsia" w:ascii="仿宋_GB2312" w:eastAsia="仿宋_GB2312"/>
          <w:sz w:val="32"/>
          <w:szCs w:val="32"/>
        </w:rPr>
      </w:pPr>
    </w:p>
    <w:p>
      <w:pPr>
        <w:pStyle w:val="7"/>
        <w:snapToGrid w:val="0"/>
        <w:spacing w:line="560" w:lineRule="atLeast"/>
        <w:ind w:firstLine="624" w:firstLineChars="200"/>
        <w:rPr>
          <w:rFonts w:hint="eastAsia" w:ascii="仿宋_GB2312" w:eastAsia="仿宋_GB2312"/>
          <w:sz w:val="32"/>
          <w:szCs w:val="32"/>
        </w:rPr>
      </w:pP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一、环境违法事实和证据</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经查，当事人</w:t>
      </w:r>
      <w:bookmarkStart w:id="0" w:name="_GoBack"/>
      <w:bookmarkEnd w:id="0"/>
      <w:r>
        <w:rPr>
          <w:rFonts w:hint="eastAsia" w:ascii="仿宋_GB2312" w:eastAsia="仿宋_GB2312"/>
          <w:sz w:val="32"/>
          <w:szCs w:val="32"/>
        </w:rPr>
        <w:t>建成一个叉烧包、流沙包、蔬菜包及馒头的生产项目，于2018年12月建成并投入生产，现有员工52人，年营业额约为2000万元。当事人主要生产设备有：B40搅拌机1台、全自动螺旋式和面机4台、精牌和面机2台、新麦和面机1台、双动双速和面机1台、全自动连续压面机4台、半自动压面机1台、供馅机4台、分割整形机1台、成型机 (包子、馒头)2台、钢刀捏花机2台、捏花机2台、醒发间1个、蒸柜3台、自动化包装机1台、封口机1台、金检/重检机1台、封箱机1台、冷水机1台、天然气锅炉3台等；生产工艺流程为：原材料(面粉、糖、大豆油等)→拆包→称量、配料→投料→和面→压面→供馅→成型→醒发→蒸煮→凉冻→速冻→内包装→检测→外包装→产品。当事人生产过程主要产生生活污水、生产废水、天然气锅炉燃烧废气、粉尘、臭气等污染物,厕所生活污水排入工业园的公用三级化粪池预处理后，经工业园污水管网汇入市政污水管网，再排入东涌净水厂深度处理,生产废水经隔油隔渣池处理后，经专管汇入市政污水管网，排入东涌净水厂深度处理;天然气锅炉燃烧废气高空排放;和面粉尘经车间加强通风无组织排放;蒸煮工序臭气经车间加强通风无组织排放。</w:t>
      </w:r>
    </w:p>
    <w:p>
      <w:pPr>
        <w:pStyle w:val="8"/>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2020年12月3日，当事人在清洗生产设备时有废水排放。我局委托广东新创华科环保股份有限公司对当事人综合废水排放口(WS-01)外排废水进行采样监测。《监测报告</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报告编号：XCDE20100252</w:t>
      </w:r>
      <w:r>
        <w:rPr>
          <w:rFonts w:hint="eastAsia" w:ascii="仿宋_GB2312" w:eastAsia="仿宋_GB2312"/>
          <w:sz w:val="32"/>
          <w:szCs w:val="32"/>
          <w:highlight w:val="none"/>
        </w:rPr>
        <w:t>）</w:t>
      </w:r>
      <w:r>
        <w:rPr>
          <w:rFonts w:hint="eastAsia" w:ascii="仿宋_GB2312" w:eastAsia="仿宋_GB2312"/>
          <w:sz w:val="32"/>
          <w:szCs w:val="32"/>
        </w:rPr>
        <w:t>结果显示，当事人综合废水排放口（WS-01）外排废水中的化学需氧量为1.76×10</w:t>
      </w:r>
      <w:r>
        <w:rPr>
          <w:rFonts w:hint="eastAsia" w:ascii="仿宋_GB2312" w:eastAsia="仿宋_GB2312"/>
          <w:sz w:val="32"/>
          <w:szCs w:val="32"/>
          <w:vertAlign w:val="superscript"/>
        </w:rPr>
        <w:t>3</w:t>
      </w:r>
      <w:r>
        <w:rPr>
          <w:rFonts w:hint="eastAsia" w:ascii="仿宋_GB2312" w:eastAsia="仿宋_GB2312"/>
          <w:sz w:val="32"/>
          <w:szCs w:val="32"/>
        </w:rPr>
        <w:t>mg/L，五日生化需氧量为498mg/L，动植物油类为163mg/L，均超过了广东省地方标准《水污染物排放限值》（DB44/26-2001）中规定的第二时段三级标准污染物最高允许排放浓度限值（化学需氧量：500mg/L，五日生化需氧量：300mg/L，动植物油类：100mg/L），水污染物超标排放。</w:t>
      </w:r>
    </w:p>
    <w:p>
      <w:pPr>
        <w:pStyle w:val="6"/>
        <w:snapToGrid w:val="0"/>
        <w:spacing w:line="560" w:lineRule="atLeast"/>
        <w:ind w:firstLine="624" w:firstLineChars="200"/>
        <w:rPr>
          <w:rFonts w:ascii="仿宋_GB2312" w:eastAsia="仿宋_GB2312"/>
          <w:sz w:val="32"/>
          <w:szCs w:val="32"/>
          <w:highlight w:val="none"/>
        </w:rPr>
      </w:pPr>
      <w:r>
        <w:rPr>
          <w:rFonts w:hint="eastAsia" w:ascii="仿宋_GB2312" w:eastAsia="仿宋_GB2312"/>
          <w:sz w:val="32"/>
          <w:szCs w:val="32"/>
          <w:highlight w:val="none"/>
        </w:rPr>
        <w:t>以上事实有《现场检查笔录》、《调查询问笔录》、现场检查照片、《监测报告》等证据为证。</w:t>
      </w:r>
    </w:p>
    <w:p>
      <w:pPr>
        <w:pStyle w:val="6"/>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二、行政处罚的依据、种类及其履行方式和期限</w:t>
      </w:r>
    </w:p>
    <w:p>
      <w:pPr>
        <w:pStyle w:val="6"/>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当事人上述行为违反了《中华人民共和国水污染防治法》第十条的规定。</w:t>
      </w:r>
    </w:p>
    <w:p>
      <w:pPr>
        <w:pStyle w:val="7"/>
        <w:snapToGrid w:val="0"/>
        <w:spacing w:line="560" w:lineRule="atLeast"/>
        <w:ind w:firstLine="622"/>
        <w:rPr>
          <w:rFonts w:ascii="仿宋_GB2312" w:eastAsia="仿宋_GB2312"/>
          <w:sz w:val="32"/>
          <w:szCs w:val="32"/>
        </w:rPr>
      </w:pPr>
      <w:r>
        <w:rPr>
          <w:rFonts w:hint="eastAsia" w:ascii="仿宋_GB2312" w:eastAsia="仿宋_GB2312"/>
          <w:sz w:val="32"/>
          <w:szCs w:val="32"/>
        </w:rPr>
        <w:t>2021年4月8日，本局向当事人送达了《行政处罚听证告知书》（南环听告字〔2021〕2号），同月15日，当事人向本局递交了书面陈述和申辩。当事人提出如下申辩意见：“1、2021年2月5日已进行第三方污水抽干处理；2、实行每月(中旬、下旬)2次污水交第三方抽干处理；3、公司已建三级沉淀池并进行定期清理；4、每月进行两次清洗沉淀池和化粪池；5、我司于2021年4月12日正式运行新的污水处理系统,保证达到三级污水排放标准要求；6、我司于2021年4月16日收到《行政处罚听证告知书》（南环听告字〔2021〕2号）,现将污水处理状况提出陈述和申辩，望贵局取消行政处罚。”</w:t>
      </w:r>
    </w:p>
    <w:p>
      <w:pPr>
        <w:pStyle w:val="7"/>
        <w:snapToGrid w:val="0"/>
        <w:spacing w:line="560" w:lineRule="atLeast"/>
        <w:ind w:firstLine="622"/>
        <w:rPr>
          <w:rFonts w:ascii="仿宋_GB2312" w:eastAsia="仿宋_GB2312"/>
          <w:color w:val="0C0C0C"/>
          <w:sz w:val="32"/>
          <w:szCs w:val="32"/>
        </w:rPr>
      </w:pPr>
      <w:r>
        <w:rPr>
          <w:rFonts w:hint="eastAsia" w:ascii="仿宋_GB2312" w:eastAsia="仿宋_GB2312"/>
          <w:sz w:val="32"/>
          <w:szCs w:val="32"/>
        </w:rPr>
        <w:t>经审查，本局认为：当事人上述违反《中华人民共和国水污染防治法》第十条规定</w:t>
      </w:r>
      <w:r>
        <w:rPr>
          <w:rFonts w:hint="eastAsia" w:ascii="仿宋_GB2312" w:eastAsia="仿宋_GB2312"/>
          <w:color w:val="0C0C0C"/>
          <w:sz w:val="32"/>
          <w:szCs w:val="32"/>
        </w:rPr>
        <w:t>的违法事实清楚，依法应予行政处罚。现本案经本局审查结束。</w:t>
      </w:r>
    </w:p>
    <w:p>
      <w:pPr>
        <w:pStyle w:val="7"/>
        <w:snapToGrid w:val="0"/>
        <w:spacing w:line="560" w:lineRule="atLeast"/>
        <w:ind w:firstLine="624" w:firstLineChars="200"/>
        <w:rPr>
          <w:rFonts w:hint="eastAsia" w:ascii="仿宋_GB2312" w:eastAsia="仿宋_GB2312"/>
          <w:color w:val="0C0C0C"/>
          <w:sz w:val="32"/>
          <w:szCs w:val="32"/>
        </w:rPr>
      </w:pPr>
      <w:r>
        <w:rPr>
          <w:rFonts w:hint="eastAsia" w:ascii="仿宋_GB2312" w:eastAsia="仿宋_GB2312"/>
          <w:color w:val="0C0C0C"/>
          <w:sz w:val="32"/>
          <w:szCs w:val="32"/>
        </w:rPr>
        <w:t>本局依据《中华人民共和国水污染防治法》第八十三条第（二）项的规定，对当事人作出如下决定：</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color w:val="0C0C0C"/>
          <w:sz w:val="32"/>
          <w:szCs w:val="32"/>
        </w:rPr>
        <w:t>1、责令当事人</w:t>
      </w:r>
      <w:r>
        <w:rPr>
          <w:rFonts w:hint="eastAsia" w:ascii="仿宋_GB2312" w:eastAsia="仿宋_GB2312"/>
          <w:sz w:val="32"/>
          <w:szCs w:val="32"/>
        </w:rPr>
        <w:t>广州森道食品有限公司</w:t>
      </w:r>
      <w:r>
        <w:rPr>
          <w:rFonts w:hint="eastAsia" w:ascii="仿宋_GB2312" w:eastAsia="仿宋_GB2312"/>
          <w:color w:val="0C0C0C"/>
          <w:sz w:val="32"/>
          <w:szCs w:val="32"/>
        </w:rPr>
        <w:t>改正超标排放水污染物的违法行为</w:t>
      </w:r>
      <w:r>
        <w:rPr>
          <w:rFonts w:hint="eastAsia" w:ascii="仿宋_GB2312" w:eastAsia="仿宋_GB2312"/>
          <w:sz w:val="32"/>
          <w:szCs w:val="32"/>
        </w:rPr>
        <w:t>；</w:t>
      </w:r>
    </w:p>
    <w:p>
      <w:pPr>
        <w:pStyle w:val="7"/>
        <w:snapToGrid w:val="0"/>
        <w:spacing w:line="560" w:lineRule="atLeast"/>
        <w:ind w:firstLine="624" w:firstLineChars="200"/>
        <w:rPr>
          <w:rFonts w:ascii="仿宋_GB2312" w:eastAsia="仿宋_GB2312"/>
          <w:sz w:val="32"/>
          <w:szCs w:val="32"/>
        </w:rPr>
      </w:pPr>
      <w:r>
        <w:rPr>
          <w:rFonts w:hint="eastAsia" w:ascii="仿宋_GB2312" w:eastAsia="仿宋_GB2312"/>
          <w:sz w:val="32"/>
          <w:szCs w:val="32"/>
        </w:rPr>
        <w:t>2、对当事人广州森道食品有限公司罚款100000元。</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限当事人于接到本行政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3124。</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三、申请行政复议或者提起行政诉讼的途径和期限</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当事人如对本决定不服，可在收到本决定书之日起60日内向广州市人民政府（我市正在进行行政复议体制改革，广州市人民政府各部门被复议案件统一由广州市人民政府办理，建议当事人向广州市人民政府提出行政复议申请，地址：越秀区小北路183号金和大厦2楼，电话：83555988）或广东省生态环境厅（地址：天河区龙口西路213号，电话：87533928、87531656）提出行政复议申请，也可在6个月内直接向有管辖权的人民法院提起行政诉讼。行政复议、行政诉讼期间，不得停止本决定的履行。</w:t>
      </w:r>
    </w:p>
    <w:p>
      <w:pPr>
        <w:pStyle w:val="6"/>
        <w:snapToGrid w:val="0"/>
        <w:spacing w:line="520" w:lineRule="atLeast"/>
        <w:ind w:firstLine="624" w:firstLineChars="200"/>
        <w:rPr>
          <w:rFonts w:ascii="仿宋_GB2312" w:eastAsia="仿宋_GB2312"/>
          <w:sz w:val="32"/>
          <w:szCs w:val="32"/>
        </w:rPr>
      </w:pPr>
      <w:r>
        <w:rPr>
          <w:rFonts w:hint="eastAsia" w:ascii="仿宋_GB2312" w:eastAsia="仿宋_GB2312"/>
          <w:sz w:val="32"/>
          <w:szCs w:val="32"/>
        </w:rPr>
        <w:t>逾期不履行本决定，本局将申请人民法院强制执行，并每日按罚款额的百分之三加处罚款。</w:t>
      </w:r>
    </w:p>
    <w:p>
      <w:pPr>
        <w:pStyle w:val="6"/>
        <w:snapToGrid w:val="0"/>
        <w:spacing w:line="520" w:lineRule="atLeast"/>
        <w:ind w:firstLine="624" w:firstLineChars="200"/>
        <w:rPr>
          <w:rFonts w:ascii="仿宋_GB2312" w:eastAsia="仿宋_GB2312"/>
          <w:sz w:val="32"/>
          <w:szCs w:val="32"/>
        </w:rPr>
      </w:pPr>
    </w:p>
    <w:p>
      <w:pPr>
        <w:tabs>
          <w:tab w:val="left" w:pos="0"/>
        </w:tabs>
        <w:snapToGrid w:val="0"/>
        <w:spacing w:line="540" w:lineRule="atLeast"/>
        <w:ind w:right="1248" w:rightChars="400" w:firstLine="624" w:firstLineChars="200"/>
        <w:rPr>
          <w:rFonts w:hint="default" w:ascii="仿宋_GB2312" w:hAnsi="仿宋_GB2312" w:eastAsia="仿宋_GB2312" w:cs="仿宋_GB2312"/>
          <w:spacing w:val="-6"/>
          <w:szCs w:val="32"/>
        </w:rPr>
      </w:pPr>
      <w:r>
        <w:rPr>
          <w:rFonts w:ascii="仿宋_GB2312" w:hAnsi="仿宋_GB2312" w:eastAsia="仿宋_GB2312" w:cs="仿宋_GB2312"/>
          <w:szCs w:val="32"/>
        </w:rPr>
        <w:t xml:space="preserve">                         广州市生态环境局</w:t>
      </w:r>
    </w:p>
    <w:p>
      <w:pPr>
        <w:tabs>
          <w:tab w:val="left" w:pos="0"/>
        </w:tabs>
        <w:snapToGrid w:val="0"/>
        <w:spacing w:line="540" w:lineRule="atLeast"/>
        <w:ind w:right="1872" w:rightChars="600" w:firstLine="600" w:firstLineChars="200"/>
        <w:rPr>
          <w:rFonts w:hint="default" w:ascii="仿宋_GB2312" w:hAnsi="仿宋_GB2312" w:eastAsia="仿宋_GB2312" w:cs="仿宋_GB2312"/>
          <w:spacing w:val="-6"/>
          <w:szCs w:val="32"/>
        </w:rPr>
      </w:pPr>
      <w:r>
        <w:rPr>
          <w:rFonts w:ascii="仿宋_GB2312" w:hAnsi="仿宋_GB2312" w:eastAsia="仿宋_GB2312" w:cs="仿宋_GB2312"/>
          <w:spacing w:val="-6"/>
          <w:szCs w:val="32"/>
        </w:rPr>
        <w:t xml:space="preserve">                            2021年5月1</w:t>
      </w:r>
      <w:r>
        <w:rPr>
          <w:rFonts w:hint="eastAsia" w:ascii="仿宋_GB2312" w:hAnsi="仿宋_GB2312" w:eastAsia="仿宋_GB2312" w:cs="仿宋_GB2312"/>
          <w:spacing w:val="-6"/>
          <w:szCs w:val="32"/>
          <w:lang w:val="en-US" w:eastAsia="zh-CN"/>
        </w:rPr>
        <w:t>7</w:t>
      </w:r>
      <w:r>
        <w:rPr>
          <w:rFonts w:ascii="仿宋_GB2312" w:hAnsi="仿宋_GB2312" w:eastAsia="仿宋_GB2312" w:cs="仿宋_GB2312"/>
          <w:spacing w:val="-6"/>
          <w:szCs w:val="32"/>
        </w:rPr>
        <w:t>日</w:t>
      </w:r>
    </w:p>
    <w:p>
      <w:pPr>
        <w:tabs>
          <w:tab w:val="left" w:pos="0"/>
        </w:tabs>
        <w:snapToGrid w:val="0"/>
        <w:spacing w:line="520" w:lineRule="atLeast"/>
        <w:rPr>
          <w:rFonts w:hint="default" w:ascii="仿宋_GB2312" w:eastAsia="仿宋_GB2312"/>
          <w:szCs w:val="32"/>
        </w:rPr>
      </w:pPr>
      <w:r>
        <w:rPr>
          <w:rFonts w:ascii="仿宋_GB2312" w:eastAsia="仿宋_GB2312"/>
          <w:szCs w:val="32"/>
        </w:rPr>
        <w:t>（联系电话：020-39053008、39053079、39078029）</w:t>
      </w:r>
    </w:p>
    <w:p>
      <w:pPr>
        <w:tabs>
          <w:tab w:val="left" w:pos="0"/>
        </w:tabs>
        <w:snapToGrid w:val="0"/>
        <w:spacing w:line="560" w:lineRule="atLeast"/>
        <w:rPr>
          <w:rFonts w:hint="default" w:ascii="仿宋_GB2312" w:eastAsia="仿宋_GB2312"/>
          <w:szCs w:val="32"/>
        </w:rPr>
      </w:pPr>
    </w:p>
    <w:p>
      <w:pPr>
        <w:rPr>
          <w:rFonts w:hint="default"/>
        </w:rPr>
      </w:pPr>
    </w:p>
    <w:p>
      <w:pPr>
        <w:rPr>
          <w:rFonts w:hint="default"/>
        </w:rPr>
      </w:pPr>
    </w:p>
    <w:sectPr>
      <w:footerReference r:id="rId3" w:type="default"/>
      <w:footerReference r:id="rId4" w:type="even"/>
      <w:pgSz w:w="11906" w:h="16838"/>
      <w:pgMar w:top="2097" w:right="1474" w:bottom="1984" w:left="1587" w:header="851" w:footer="1474" w:gutter="0"/>
      <w:pgNumType w:fmt="numberInDash"/>
      <w:cols w:space="720" w:num="1"/>
      <w:titlePg/>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0035" cy="2336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0035" cy="233680"/>
                      </a:xfrm>
                      <a:prstGeom prst="rect">
                        <a:avLst/>
                      </a:prstGeom>
                      <a:noFill/>
                      <a:ln>
                        <a:noFill/>
                      </a:ln>
                    </wps:spPr>
                    <wps:txbx>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5</w:t>
                          </w:r>
                          <w:r>
                            <w:rPr>
                              <w:rFonts w:ascii="宋体" w:hAnsi="宋体" w:eastAsia="宋体" w:cs="宋体"/>
                              <w:sz w:val="28"/>
                              <w:szCs w:val="28"/>
                            </w:rPr>
                            <w:fldChar w:fldCharType="end"/>
                          </w:r>
                          <w:r>
                            <w:rPr>
                              <w:rFonts w:ascii="宋体" w:hAnsi="宋体" w:eastAsia="宋体" w:cs="宋体"/>
                              <w:sz w:val="28"/>
                              <w:szCs w:val="28"/>
                            </w:rPr>
                            <w:t>　</w:t>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22.05pt;mso-position-horizontal:outside;mso-position-horizontal-relative:margin;mso-wrap-style:none;z-index:251659264;mso-width-relative:page;mso-height-relative:page;" filled="f" stroked="f" coordsize="21600,21600" o:gfxdata="UEsDBAoAAAAAAIdO4kAAAAAAAAAAAAAAAAAEAAAAZHJzL1BLAwQUAAAACACHTuJAr8oJL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KCS7RAAAAAwEAAA8A&#10;AAAAAAAAAQAgAAAAIgAAAGRycy9kb3ducmV2LnhtbFBLAQIUABQAAAAIAIdO4kBic920rAEAAD0D&#10;AAAOAAAAAAAAAAEAIAAAACABAABkcnMvZTJvRG9jLnhtbFBLBQYAAAAABgAGAFkBAAA+BQAAAAA=&#10;">
              <v:fill on="f" focussize="0,0"/>
              <v:stroke on="f"/>
              <v:imagedata o:title=""/>
              <o:lock v:ext="edit" aspectratio="f"/>
              <v:textbox inset="0mm,0mm,0mm,0mm" style="mso-fit-shape-to-text:t;">
                <w:txbxContent>
                  <w:p>
                    <w:pPr>
                      <w:wordWrap w:val="0"/>
                      <w:snapToGrid w:val="0"/>
                      <w:jc w:val="right"/>
                      <w:rPr>
                        <w:rFonts w:hint="default"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5</w:t>
                    </w:r>
                    <w:r>
                      <w:rPr>
                        <w:rFonts w:ascii="宋体" w:hAnsi="宋体" w:eastAsia="宋体" w:cs="宋体"/>
                        <w:sz w:val="28"/>
                        <w:szCs w:val="28"/>
                      </w:rPr>
                      <w:fldChar w:fldCharType="end"/>
                    </w:r>
                    <w:r>
                      <w:rPr>
                        <w:rFonts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16890" cy="233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6890" cy="233680"/>
                      </a:xfrm>
                      <a:prstGeom prst="rect">
                        <a:avLst/>
                      </a:prstGeom>
                      <a:noFill/>
                      <a:ln>
                        <a:noFill/>
                      </a:ln>
                    </wps:spPr>
                    <wps:txbx>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4pt;width:40.7pt;mso-position-horizontal:outside;mso-position-horizontal-relative:margin;mso-wrap-style:none;z-index:251660288;mso-width-relative:page;mso-height-relative:page;" filled="f" stroked="f" coordsize="21600,21600" o:gfxdata="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RQU39EAAAADAQAADwAA&#10;AAAAAAABACAAAAAiAAAAZHJzL2Rvd25yZXYueG1sUEsBAhQAFAAAAAgAh07iQBg+ES2rAQAAPQMA&#10;AA4AAAAAAAAAAQAgAAAAIAEAAGRycy9lMm9Eb2MueG1sUEsFBgAAAAAGAAYAWQEAAD0FA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rPr>
                    </w:pPr>
                    <w:r>
                      <w:rPr>
                        <w:rFonts w:ascii="宋体" w:hAnsi="宋体" w:eastAsia="宋体" w:cs="宋体"/>
                        <w:sz w:val="28"/>
                        <w:szCs w:val="28"/>
                      </w:rPr>
                      <w:t>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rPr>
                      <w:t>- 2 -</w:t>
                    </w:r>
                    <w:r>
                      <w:rPr>
                        <w:rFonts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904BA"/>
    <w:rsid w:val="000A2313"/>
    <w:rsid w:val="00283565"/>
    <w:rsid w:val="030904BA"/>
    <w:rsid w:val="23DA52DF"/>
    <w:rsid w:val="33DD146B"/>
    <w:rsid w:val="3D44432B"/>
    <w:rsid w:val="3E554833"/>
    <w:rsid w:val="77460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w:cs="Times New Roman"/>
      <w:kern w:val="2"/>
      <w:sz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hint="default" w:ascii="宋体" w:hAnsi="宋体" w:eastAsia="汉鼎简书宋"/>
      <w:kern w:val="0"/>
      <w:sz w:val="18"/>
    </w:rPr>
  </w:style>
  <w:style w:type="paragraph" w:customStyle="1" w:styleId="5">
    <w:name w:val="Normal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328</Words>
  <Characters>1872</Characters>
  <Lines>15</Lines>
  <Paragraphs>4</Paragraphs>
  <TotalTime>6</TotalTime>
  <ScaleCrop>false</ScaleCrop>
  <LinksUpToDate>false</LinksUpToDate>
  <CharactersWithSpaces>2196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2021-05-06T06:41:00Z</dcterms:created>
  <dc:creator>刘倩</dc:creator>
  <cp:lastModifiedBy>Administrator</cp:lastModifiedBy>
  <dcterms:modified xsi:type="dcterms:W3CDTF">2021-05-24T07:11:44Z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E3F7731DEA934BF89FC63224E549B6EE</vt:lpwstr>
  </property>
</Properties>
</file>