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p>
    <w:p>
      <w:pPr>
        <w:rPr>
          <w:rFonts w:hint="eastAsia" w:ascii="仿宋_GB2312" w:eastAsia="仿宋_GB2312"/>
          <w:sz w:val="32"/>
          <w:szCs w:val="32"/>
        </w:rPr>
      </w:pPr>
      <w:r>
        <w:rPr>
          <w:rFonts w:hint="eastAsia" w:ascii="仿宋_GB2312" w:eastAsia="仿宋_GB2312"/>
          <w:sz w:val="32"/>
          <w:szCs w:val="32"/>
        </w:rPr>
        <w:t>附1：</w:t>
      </w:r>
    </w:p>
    <w:p>
      <w:pPr>
        <w:rPr>
          <w:rFonts w:ascii="方正小标宋简体" w:hAnsi="宋体" w:eastAsia="方正小标宋简体"/>
          <w:sz w:val="44"/>
          <w:szCs w:val="44"/>
        </w:rPr>
      </w:pPr>
      <w:r>
        <w:rPr>
          <w:rFonts w:hint="eastAsia" w:ascii="方正小标宋简体" w:hAnsi="宋体" w:eastAsia="方正小标宋简体"/>
          <w:sz w:val="44"/>
          <w:szCs w:val="44"/>
        </w:rPr>
        <w:t>南沙区政协三届三次会议提案选题参考提纲</w:t>
      </w:r>
    </w:p>
    <w:p>
      <w:pPr>
        <w:spacing w:line="560" w:lineRule="exact"/>
        <w:jc w:val="center"/>
        <w:rPr>
          <w:rFonts w:ascii="楷体_GB2312" w:eastAsia="楷体_GB231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一、着力提升国际化营商环境建设水平，加快构建开放型经济新体制</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自由贸易港的探索建设，加快培育国际经济合作和竞争新优势。</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尽快启动并完成南沙自由贸易港的申报准备工作，力争进入国家批准的第二批自由港序列。</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利用“南沙金改15条”，助推南沙自贸港建设。</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打造南沙现代供应链，提升南沙在粤港澳大湾区的辐射带动力。</w:t>
      </w:r>
      <w:bookmarkStart w:id="0" w:name="_GoBack"/>
      <w:bookmarkEnd w:id="0"/>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研究制定并率先实施广东自贸区对港澳服务业进一步开放的措施与政策。</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深入推进政商制度改革，进一步提升投资便利化水平。</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推进法定机构建设，深化行政审批、综合执法体制改革。</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完善“互联网+”审批服务体系，进一步打破信息孤岛，构建以信用监管为核心的新型综合监管体系。</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完善并推广全球质量溯源体系，打造自贸区进出口商品质量监管国际化规则示范区。</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积极谋划建设粤港澳大湾区核心门户城市，提升与港澳合作水平。</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继续推进海上丝绸之路沿线港口城市联盟建设。</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探索与国际接轨的营商规则法律服务体系。</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二、着力围绕粤港澳大湾区建设，不断增强对全球资源的配置能力</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按照“国际视野、全球标准、中国特色、高点定位”的要求，谋划南沙新区发展。</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在“一带一路”倡议下发挥南沙能够担当的角色作用。</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使南沙成为引领未来的新区建设标杆。</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利用好南沙作为对内、对外“两个扇面”交接点的区位条件，建设面向世界的高水平、全方位平台。</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发挥南沙区位、政策、土地资源等优势引领大湾区的发展，打造“环湾明珠”。</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使南沙在粤港澳环湾一线区域一体化发展过程中，凸现强化对粤港澳大湾区城市的协同和辐射带动作用。</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提升国际航运服务等级，助推广州港集团整合港口资源。</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建设国际航运服务集聚区，发展国际中转、船舶登记、航运交易、航运金融等现代航运服务业。</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强化国际贸易功能集成，研究制定南沙自由贸易港建设方案，探索实施国际中转“零报关”措施，加快国际中转和离岸贸易发展。</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着力构建现代化高效物流服务体系，打造临港国际大宗商品交易中心。</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加快发展国际化创新型金融服务体系，形成一批金融项目平台。</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加快发展航运金融，设立专业性机构，大力发展船舶融资租赁。</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设立融资租赁资产交易中心和产业发展基金，发展跨境融资租赁。</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建立健全区域金融风险防控体系。</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三、着力打造现代产业新高地，加快构建创新型经济发展新模式</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南沙要快速培育一个世界级先进制造业集群，增强地区发展后劲。</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补人才与创新的短板，争创发展新优势。</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做大做强先进制造业，加快新能源汽车产业，节能环保、工程机械、轨道交通、智能制造等装备制造业发展。</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集聚发展总部经济，加快金洲总部集聚区、明珠湾总部集聚区建设。</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力发展科技创新产业，大力培育创新型企业，创新型孵化器，创新型金融，聚焦人工智能产业（AI），规划建设AI产业园，加快推进广州南沙AI产业高级研究院、AI产业基金、云从AI创新总部、科大讯飞产学研用基地等领军型项目建设。</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加快发展海洋科技、大数据、物联网、云计算、区块链、生物医药、大健康、通用航空等新兴产业，形成若干科技大产业集群。</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大力支持民营企业发展，激</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rPr>
        <w:t>各类市场主体活力。</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优化科技产业发展环境，出台南沙片区双自联动工作方案和投入激励政策，打造创新型企业全成长周期服务链。</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加快引进集聚高层次国际化人才，推进全国人才管理改革试验区建设。</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加大引资引技引智力度，吸引更多优质企业和项目落户。</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加快推进租售同权及集体建设用地进入租赁住房市场建设。</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四、着力打造区域综合交通枢纽，加快形成粤港澳大湾区互联互通的核心节点</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以新加坡的标准，开放互联互通便捷规划为目标，提高道路规划的科学性和交通的高效便捷性。</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进一步优化提升综合交通规划。（南沙站枢纽方案、南沙综合交通建设实施方案及进一步优化线网规划方案）</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加快港口基础设施建设。（加快推进邮轮母港、国际通用码头、南沙港铁路等重大项目建设）</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加快轨道交通建设。（加快推进地铁18号线建设，争取深茂铁路跨江通道尽快动工建设）</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加快高快速路及区内路网建设。（</w:t>
      </w:r>
      <w:r>
        <w:rPr>
          <w:rFonts w:hint="eastAsia" w:ascii="仿宋_GB2312" w:hAnsi="仿宋_GB2312" w:eastAsia="仿宋_GB2312" w:cs="仿宋_GB2312"/>
          <w:sz w:val="32"/>
          <w:szCs w:val="32"/>
          <w:lang w:eastAsia="zh-CN"/>
        </w:rPr>
        <w:t>加快推进</w:t>
      </w:r>
      <w:r>
        <w:rPr>
          <w:rFonts w:hint="eastAsia" w:ascii="仿宋_GB2312" w:hAnsi="仿宋_GB2312" w:eastAsia="仿宋_GB2312" w:cs="仿宋_GB2312"/>
          <w:sz w:val="32"/>
          <w:szCs w:val="32"/>
        </w:rPr>
        <w:t>深中通道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“三高三快”高快速路，区内核心区域的道路、隧道等重点项目建设）</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探索完善区内智能化交通建设管理，有效提高区内通达效能。</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加快规划建设粤港澳大湾区半小时生活圈的建设，打造南沙珠三角交通中心的枢纽功能。</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五、着力打造高水平国际化滨海城市，加快形成世界一流湾区门户城市综合服务功能</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提高城市管理精细化品质化和国际化的品位。</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坚持南沙城市设计要体现南沙特色的固定元素，统一标准。</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做好环境优化，体现南沙新城的魅力。</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“像绣花一样精细管理城市”的要求，切实提高城市管理水平。</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提高港口码头现代化、精细化管理水平。</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城市建设要突出人性化设计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精细化施工、高品质管理，提升城市品位。</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坚持高标准高水平将灵山岛尖建成自贸区金融创新集聚区。</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强化规划战略引领。完善“多规合一”机制，借鉴和引入国际先进的城市规划建设标准体系以及国际一流的规划设计团队，高标准完善新区和自贸区规划体系。</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全力推进自贸区各区块建设，深化投融资体制改革，创新市场化开发建设模式。</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营造城市宜居环境，推进大气污染防治，落实河长制，推进生态廊道、绿化工程项目建设，探索建设绿色自贸试验区，建立健全更干净更整洁更平安更有序的城市环境常态化管理机制。</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六、着力发展民生社会事业，提高人民生活水平</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实施乡村振兴战略，建立健全城乡融合发展的体制机制和政策体系，加快推进农业农村现代化。</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完善农业支持保护制度，发展多种形式适度规模经营培育新型农业经营主体，健全农业社会化服务体系，促进农村一、二、三产业融合发展。</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充分发挥市属农科院站的作用，大力推动我区农业特色小镇的发展。</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加强关注“三农”工作，尤其是精准脱贫工作。</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深化农商结合，大力发展农产品电子商务。</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探索推进田园科技综合体和田园超市建设。</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发展乡村民宿，助力乡村振兴。</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加大城乡结合部及乡村环境卫生保洁。</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根据学生身高科学配置中小学生课桌椅，定期开展学生脊柱侧弯疾病筛查，预防学生脊柱侧弯疾病的发生。</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加强网络监控，重视心理干预与援助，预防未成年人沉迷网络。</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关注校园周边的危险玩具，保障学生的安全。</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放宽准入门</w:t>
      </w:r>
      <w:r>
        <w:rPr>
          <w:rFonts w:hint="eastAsia" w:ascii="仿宋_GB2312" w:hAnsi="仿宋_GB2312" w:eastAsia="仿宋_GB2312" w:cs="仿宋_GB2312"/>
          <w:sz w:val="32"/>
          <w:szCs w:val="32"/>
          <w:lang w:eastAsia="zh-CN"/>
        </w:rPr>
        <w:t>槛</w:t>
      </w:r>
      <w:r>
        <w:rPr>
          <w:rFonts w:hint="eastAsia" w:ascii="仿宋_GB2312" w:hAnsi="仿宋_GB2312" w:eastAsia="仿宋_GB2312" w:cs="仿宋_GB2312"/>
          <w:sz w:val="32"/>
          <w:szCs w:val="32"/>
        </w:rPr>
        <w:t>，切实解决南沙幼儿学位紧缺状况。</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加大教育投入，提高南沙公办幼儿园占比。</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规范中小学及幼儿园室内装修及改造流程，保障学生身心健康。</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消除学校安全隐患，全力解决公办学校无法办理消防许可证的问题。</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进一步完善小学生放学后托管制度，解决双职工父母接儿女放学难题。</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加强中学老师普及急救知识培训。</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增加南沙区教育系统临时聘用人员的待遇，细化学校临聘岗位，规范临聘人员的管理，让“人才”不再因临聘而流动。</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实施对中外合资格法人合作成立及经营的幼儿教育机构提供鼓励性的各项优惠。</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探索在社区设立托幼机构，包括照看3岁以下孩子，照看提早放学的幼儿园和小学1、2年</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的孩子。</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提高准入，规范我区中小学午间托管的建议。</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亟待完善优质民办初中选拔“小升初”生源的入学模式。</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关于破解学校用地产权难题，提高教育用地效率，保障教学公共安全的建议。</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完善中高职教育衔接贯通机制，增强职业教育吸引力，为南沙产业发展提供人才支撑。</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关于中小学校教室照明达标应列入十大民生实事的建议。</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加快社会事业发展，按照枢纽型门户城市建设目标要求，高标准推进公共服务设施建设，完善科教文卫公共配套，加大中外优质教育、医疗机构的引进力度，提高公共服务水平。</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二孩时代加强和提升南沙新生儿科医疗服务能力和水平。</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希望</w:t>
      </w:r>
      <w:r>
        <w:rPr>
          <w:rFonts w:hint="eastAsia" w:ascii="仿宋_GB2312" w:hAnsi="仿宋_GB2312" w:eastAsia="仿宋_GB2312" w:cs="仿宋_GB2312"/>
          <w:sz w:val="32"/>
          <w:szCs w:val="32"/>
          <w:lang w:eastAsia="zh-CN"/>
        </w:rPr>
        <w:t>关注</w:t>
      </w:r>
      <w:r>
        <w:rPr>
          <w:rFonts w:hint="eastAsia" w:ascii="仿宋_GB2312" w:hAnsi="仿宋_GB2312" w:eastAsia="仿宋_GB2312" w:cs="仿宋_GB2312"/>
          <w:sz w:val="32"/>
          <w:szCs w:val="32"/>
        </w:rPr>
        <w:t>老人集中托管问题，解决老人和年轻人后顾之忧。</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做好配套设施，让共享单车使用更便利。</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尽快将虎门大桥拓宽，舒缓</w:t>
      </w:r>
      <w:r>
        <w:rPr>
          <w:rFonts w:hint="eastAsia" w:ascii="仿宋_GB2312" w:hAnsi="仿宋_GB2312" w:eastAsia="仿宋_GB2312" w:cs="仿宋_GB2312"/>
          <w:sz w:val="32"/>
          <w:szCs w:val="32"/>
          <w:lang w:eastAsia="zh-CN"/>
        </w:rPr>
        <w:t>双向</w:t>
      </w:r>
      <w:r>
        <w:rPr>
          <w:rFonts w:hint="eastAsia" w:ascii="仿宋_GB2312" w:hAnsi="仿宋_GB2312" w:eastAsia="仿宋_GB2312" w:cs="仿宋_GB2312"/>
          <w:sz w:val="32"/>
          <w:szCs w:val="32"/>
        </w:rPr>
        <w:t>的塞车</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，吸引更多的投资者到广州南沙投资，增加南沙的人流与</w:t>
      </w:r>
      <w:r>
        <w:rPr>
          <w:rFonts w:hint="eastAsia" w:ascii="仿宋_GB2312" w:hAnsi="仿宋_GB2312" w:eastAsia="仿宋_GB2312" w:cs="仿宋_GB2312"/>
          <w:sz w:val="32"/>
          <w:szCs w:val="32"/>
          <w:lang w:eastAsia="zh-CN"/>
        </w:rPr>
        <w:t>资金流</w:t>
      </w:r>
      <w:r>
        <w:rPr>
          <w:rFonts w:hint="eastAsia" w:ascii="仿宋_GB2312" w:hAnsi="仿宋_GB2312" w:eastAsia="仿宋_GB2312" w:cs="仿宋_GB2312"/>
          <w:sz w:val="32"/>
          <w:szCs w:val="32"/>
        </w:rPr>
        <w:t>。</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加快推进充电桩配备，促进新能源汽车推广，倡导绿色出行。</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关于进一步规划建设立体车库及配置充电桩的</w:t>
      </w:r>
      <w:r>
        <w:rPr>
          <w:rFonts w:hint="eastAsia" w:ascii="仿宋_GB2312" w:hAnsi="仿宋_GB2312" w:eastAsia="仿宋_GB2312" w:cs="仿宋_GB2312"/>
          <w:sz w:val="32"/>
          <w:szCs w:val="32"/>
          <w:lang w:eastAsia="zh-CN"/>
        </w:rPr>
        <w:t>建议</w:t>
      </w:r>
      <w:r>
        <w:rPr>
          <w:rFonts w:hint="eastAsia" w:ascii="仿宋_GB2312" w:hAnsi="仿宋_GB2312" w:eastAsia="仿宋_GB2312" w:cs="仿宋_GB2312"/>
          <w:sz w:val="32"/>
          <w:szCs w:val="32"/>
        </w:rPr>
        <w:t>。</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关于南沙交通发展的建议。</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关于增建立体式机械停车库的建议。</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关于规划徒步登山径等户外体育运动设施的建议。</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抓住粤港澳大湾区战略机遇，推动南沙与港澳的实质性深度合作。</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加强大湾区青少年教育和文化交流，建立粤港澳教育培训基地。</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关于建设粤港澳大湾区青年文化交流中心的建议。</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加强粤港澳文化教育交流，助推粤港澳大湾区建设的建议。</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进一步完善“立体多维、便民快捷”的社保服务体系。</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加强灾害应急响应措施，确保平安南沙。</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建立监督机制，提高施工细节管理，减少市政工程给市民的困扰。</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加大投入，提高新城区的城市治理水平。</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因地制宜，管治结合，提高河涌整治水平。</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加大“白色污染”治理力度，推进南沙更干净有序。</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利用微信电子地图标示出公共厕所位置，以利广大市民出行时解决应急之需。</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以“微改造”为抓手，提升城市建设管理精细化品质化水平。</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关于河涌整治短期见效与长期保持相结合的建议。</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尽快建立城市综合信用体系，完善城市综合治理体系。</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如何让自由贸易港惠及普通老百姓。</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关于多措并举解决中小企业融资难问题的建议。</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关于促进城市广场舞健康发展，发挥其社会价值、经济价值的建议。</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关于设立“更干净、更整洁、更平安、更有序”长效机制的建议。</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利用和引导“南沙房价低”竞争优势，拉动南沙经济持续增长。</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推出南沙新区人才落户及购房的政策，改变南沙人口资源集聚缓慢现状，推动南沙城市副中心的建设。</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打通高层次人才梯队培养的通道，建立有效的保障与激励机制。</w:t>
      </w: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center"/>
        <w:rPr>
          <w:rFonts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p>
    <w:p/>
    <w:sectPr>
      <w:pgSz w:w="11906" w:h="16838"/>
      <w:pgMar w:top="1247" w:right="1474" w:bottom="1417"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C0AF"/>
    <w:multiLevelType w:val="singleLevel"/>
    <w:tmpl w:val="59A4C0A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502BD"/>
    <w:rsid w:val="50D50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2017-12-25T01:57:00Z</dcterms:created>
  <dc:creator>hp013</dc:creator>
  <cp:lastModifiedBy>hp013</cp:lastModifiedBy>
  <dcterms:modified xsi:type="dcterms:W3CDTF">2017-12-25T02:04:51Z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