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51089" w14:textId="77777777" w:rsidR="00857C9C" w:rsidRDefault="00857C9C">
      <w:pPr>
        <w:widowControl/>
        <w:spacing w:line="560" w:lineRule="exact"/>
        <w:rPr>
          <w:rFonts w:ascii="方正小标宋_GBK" w:eastAsia="方正小标宋_GBK" w:hAnsi="方正小标宋_GBK" w:cs="方正小标宋_GBK"/>
          <w:b/>
          <w:bCs/>
          <w:color w:val="000000"/>
          <w:kern w:val="0"/>
          <w:sz w:val="44"/>
          <w:szCs w:val="44"/>
          <w:lang w:bidi="ar"/>
        </w:rPr>
      </w:pPr>
    </w:p>
    <w:p w14:paraId="00080EEC" w14:textId="77777777" w:rsidR="00857C9C" w:rsidRDefault="00000000">
      <w:pPr>
        <w:widowControl/>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color w:val="000000"/>
          <w:kern w:val="0"/>
          <w:sz w:val="44"/>
          <w:szCs w:val="44"/>
          <w:lang w:bidi="ar"/>
        </w:rPr>
        <w:t>广州市南沙区明珠金融创新集聚区</w:t>
      </w:r>
    </w:p>
    <w:p w14:paraId="50311B39" w14:textId="77777777" w:rsidR="00857C9C" w:rsidRDefault="00000000">
      <w:pPr>
        <w:widowControl/>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color w:val="000000"/>
          <w:kern w:val="0"/>
          <w:sz w:val="44"/>
          <w:szCs w:val="44"/>
          <w:lang w:bidi="ar"/>
        </w:rPr>
        <w:t>入驻管理办法</w:t>
      </w:r>
    </w:p>
    <w:p w14:paraId="06EE28FD" w14:textId="77777777" w:rsidR="00857C9C" w:rsidRDefault="00857C9C"/>
    <w:p w14:paraId="79A71366" w14:textId="77777777" w:rsidR="00857C9C" w:rsidRDefault="00000000">
      <w:pPr>
        <w:widowControl/>
        <w:spacing w:line="560" w:lineRule="exact"/>
        <w:ind w:firstLineChars="200" w:firstLine="602"/>
        <w:rPr>
          <w:rFonts w:ascii="仿宋_GB2312" w:eastAsia="仿宋_GB2312" w:hAnsi="仿宋_GB2312" w:cs="仿宋_GB2312"/>
          <w:sz w:val="32"/>
          <w:szCs w:val="32"/>
        </w:rPr>
      </w:pPr>
      <w:r>
        <w:rPr>
          <w:rFonts w:ascii="楷体" w:eastAsia="楷体" w:hAnsi="楷体" w:cs="楷体"/>
          <w:b/>
          <w:bCs/>
          <w:color w:val="000000"/>
          <w:kern w:val="0"/>
          <w:sz w:val="30"/>
          <w:szCs w:val="30"/>
          <w:lang w:bidi="ar"/>
        </w:rPr>
        <w:t>第一条</w:t>
      </w:r>
      <w:r>
        <w:rPr>
          <w:rFonts w:ascii="楷体" w:eastAsia="楷体" w:hAnsi="楷体" w:cs="楷体" w:hint="eastAsia"/>
          <w:b/>
          <w:bCs/>
          <w:color w:val="000000"/>
          <w:kern w:val="0"/>
          <w:sz w:val="30"/>
          <w:szCs w:val="30"/>
          <w:lang w:bidi="ar"/>
        </w:rPr>
        <w:t xml:space="preserve"> </w:t>
      </w:r>
      <w:r>
        <w:rPr>
          <w:rFonts w:ascii="仿宋_GB2312" w:eastAsia="仿宋_GB2312" w:hAnsi="仿宋_GB2312" w:cs="仿宋_GB2312" w:hint="eastAsia"/>
          <w:sz w:val="32"/>
          <w:szCs w:val="32"/>
        </w:rPr>
        <w:t>为充分完善和发挥金融集聚优势，加快推进金融上下游高端企业在广州南沙新区(自贸片区)集聚发展，提升金融服务实体经济高质量发展能力，打造具有区域影响力的金融新标杆，设立明珠金融创新集聚区(简称“集聚区”),制定本办法。</w:t>
      </w:r>
    </w:p>
    <w:p w14:paraId="19A037AD" w14:textId="77777777" w:rsidR="00857C9C" w:rsidRDefault="00000000">
      <w:pPr>
        <w:widowControl/>
        <w:spacing w:line="560" w:lineRule="exact"/>
        <w:ind w:firstLineChars="200" w:firstLine="602"/>
        <w:rPr>
          <w:rFonts w:ascii="仿宋_GB2312" w:eastAsia="仿宋_GB2312" w:hAnsi="仿宋_GB2312" w:cs="仿宋_GB2312"/>
          <w:sz w:val="32"/>
          <w:szCs w:val="32"/>
        </w:rPr>
      </w:pPr>
      <w:r>
        <w:rPr>
          <w:rFonts w:ascii="楷体" w:eastAsia="楷体" w:hAnsi="楷体" w:cs="楷体"/>
          <w:b/>
          <w:bCs/>
          <w:color w:val="000000"/>
          <w:kern w:val="0"/>
          <w:sz w:val="30"/>
          <w:szCs w:val="30"/>
          <w:lang w:bidi="ar"/>
        </w:rPr>
        <w:t>第二条</w:t>
      </w:r>
      <w:r>
        <w:rPr>
          <w:rFonts w:ascii="楷体" w:eastAsia="楷体" w:hAnsi="楷体" w:cs="楷体" w:hint="eastAsia"/>
          <w:b/>
          <w:bCs/>
          <w:color w:val="000000"/>
          <w:kern w:val="0"/>
          <w:sz w:val="30"/>
          <w:szCs w:val="30"/>
          <w:lang w:bidi="ar"/>
        </w:rPr>
        <w:t xml:space="preserve"> </w:t>
      </w:r>
      <w:r>
        <w:rPr>
          <w:rFonts w:ascii="仿宋_GB2312" w:eastAsia="仿宋_GB2312" w:hAnsi="仿宋_GB2312" w:cs="仿宋_GB2312" w:hint="eastAsia"/>
          <w:sz w:val="32"/>
          <w:szCs w:val="32"/>
        </w:rPr>
        <w:t>明珠金融创新集聚区设在广州南沙明珠湾起步区灵山岛尖，以交通便利、商业配套成熟、办公条件完善且容易形成金融企业集聚的楼宇作为集聚区载体。</w:t>
      </w:r>
    </w:p>
    <w:p w14:paraId="3284B8FF" w14:textId="77777777" w:rsidR="00857C9C" w:rsidRDefault="00000000">
      <w:pPr>
        <w:widowControl/>
        <w:spacing w:line="560" w:lineRule="exact"/>
        <w:ind w:firstLineChars="200" w:firstLine="602"/>
        <w:rPr>
          <w:rFonts w:ascii="仿宋_GB2312" w:eastAsia="仿宋_GB2312" w:hAnsi="仿宋_GB2312" w:cs="仿宋_GB2312"/>
          <w:sz w:val="32"/>
          <w:szCs w:val="32"/>
        </w:rPr>
      </w:pPr>
      <w:r>
        <w:rPr>
          <w:rFonts w:ascii="楷体" w:eastAsia="楷体" w:hAnsi="楷体" w:cs="楷体"/>
          <w:b/>
          <w:bCs/>
          <w:color w:val="000000"/>
          <w:kern w:val="0"/>
          <w:sz w:val="30"/>
          <w:szCs w:val="30"/>
          <w:lang w:bidi="ar"/>
        </w:rPr>
        <w:t>第三条</w:t>
      </w:r>
      <w:r>
        <w:rPr>
          <w:rFonts w:ascii="楷体" w:eastAsia="楷体" w:hAnsi="楷体" w:cs="楷体" w:hint="eastAsia"/>
          <w:b/>
          <w:bCs/>
          <w:color w:val="000000"/>
          <w:kern w:val="0"/>
          <w:sz w:val="30"/>
          <w:szCs w:val="30"/>
          <w:lang w:bidi="ar"/>
        </w:rPr>
        <w:t xml:space="preserve"> </w:t>
      </w:r>
      <w:r>
        <w:rPr>
          <w:rFonts w:ascii="仿宋_GB2312" w:eastAsia="仿宋_GB2312" w:hAnsi="仿宋_GB2312" w:cs="仿宋_GB2312" w:hint="eastAsia"/>
          <w:sz w:val="32"/>
          <w:szCs w:val="32"/>
        </w:rPr>
        <w:t>集聚区入驻对象为符合下列条件的各</w:t>
      </w:r>
      <w:proofErr w:type="gramStart"/>
      <w:r>
        <w:rPr>
          <w:rFonts w:ascii="仿宋_GB2312" w:eastAsia="仿宋_GB2312" w:hAnsi="仿宋_GB2312" w:cs="仿宋_GB2312" w:hint="eastAsia"/>
          <w:sz w:val="32"/>
          <w:szCs w:val="32"/>
        </w:rPr>
        <w:t>类促进</w:t>
      </w:r>
      <w:proofErr w:type="gramEnd"/>
      <w:r>
        <w:rPr>
          <w:rFonts w:ascii="仿宋_GB2312" w:eastAsia="仿宋_GB2312" w:hAnsi="仿宋_GB2312" w:cs="仿宋_GB2312" w:hint="eastAsia"/>
          <w:sz w:val="32"/>
          <w:szCs w:val="32"/>
        </w:rPr>
        <w:t>南沙金融产业发展的企业、组织或机构(以下简称“入驻单位”),经南沙开发区金融主管部门择优遴选入驻，并享受本办法所涉及的扶持政策。</w:t>
      </w:r>
    </w:p>
    <w:p w14:paraId="28B9DD9D" w14:textId="77777777" w:rsidR="00857C9C" w:rsidRDefault="00000000">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)入驻单位实际经营地或主要业务所在地在南沙区，在南沙依法为员工缴纳个人所得税或社保，单位在集聚区实际入驻、实地办公，办公的专职人员达到3名及以上；</w:t>
      </w:r>
    </w:p>
    <w:p w14:paraId="7D7794BE" w14:textId="77777777" w:rsidR="00857C9C" w:rsidRDefault="00000000">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(二)入驻单位符合下列条件之一：</w:t>
      </w:r>
    </w:p>
    <w:p w14:paraId="6F922C84" w14:textId="77777777" w:rsidR="00857C9C" w:rsidRDefault="00000000">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1.符合《广州南沙新区（自贸片区）进一步推动金融业高质量发展扶持办法实施细则》(下称“《实施细则》”)扶持标准。</w:t>
      </w:r>
    </w:p>
    <w:p w14:paraId="55C2A895" w14:textId="77777777" w:rsidR="00857C9C" w:rsidRDefault="00000000">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2.不符合《实施细则》扶持标准的以下金融业态类型：</w:t>
      </w:r>
    </w:p>
    <w:p w14:paraId="27CA33DF" w14:textId="77777777" w:rsidR="00857C9C" w:rsidRDefault="00000000">
      <w:pPr>
        <w:pStyle w:val="2"/>
        <w:spacing w:line="560" w:lineRule="exact"/>
        <w:ind w:firstLineChars="200" w:firstLine="643"/>
        <w:rPr>
          <w:rFonts w:ascii="仿宋_GB2312" w:eastAsia="仿宋_GB2312" w:hAnsi="仿宋_GB2312" w:cs="仿宋_GB2312"/>
          <w:b w:val="0"/>
          <w:kern w:val="2"/>
        </w:rPr>
      </w:pPr>
      <w:r>
        <w:rPr>
          <w:rFonts w:ascii="仿宋_GB2312" w:eastAsia="仿宋_GB2312" w:hAnsi="仿宋_GB2312" w:cs="仿宋_GB2312" w:hint="eastAsia"/>
          <w:bCs/>
          <w:kern w:val="2"/>
        </w:rPr>
        <w:lastRenderedPageBreak/>
        <w:t>2.1金融科技类</w:t>
      </w:r>
    </w:p>
    <w:p w14:paraId="1334C064" w14:textId="77777777" w:rsidR="00857C9C"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国家相关部门批准，登记注册主营业务为金融科技或相关业务的企业、组织或机构；并且符合以下三点条件之二：①具备3名以上（含，下同）拥有3年以上金融科技方向研究或实操经验的专职人员；②拥有3套以上成熟的自主研发的金融科技产品或拥有3个以上软件著作权或已授权专利；③从事数字经济、区块链等前沿研究。</w:t>
      </w:r>
    </w:p>
    <w:p w14:paraId="69C56FA7" w14:textId="77777777" w:rsidR="00857C9C" w:rsidRDefault="00000000">
      <w:pPr>
        <w:pStyle w:val="2"/>
        <w:spacing w:line="560" w:lineRule="exact"/>
        <w:ind w:firstLineChars="200" w:firstLine="643"/>
        <w:rPr>
          <w:rFonts w:ascii="仿宋_GB2312" w:eastAsia="仿宋_GB2312" w:hAnsi="仿宋_GB2312" w:cs="仿宋_GB2312"/>
          <w:bCs/>
          <w:kern w:val="2"/>
        </w:rPr>
      </w:pPr>
      <w:r>
        <w:rPr>
          <w:rFonts w:ascii="仿宋_GB2312" w:eastAsia="仿宋_GB2312" w:hAnsi="仿宋_GB2312" w:cs="仿宋_GB2312" w:hint="eastAsia"/>
          <w:bCs/>
          <w:kern w:val="2"/>
        </w:rPr>
        <w:t>2.2投资平台类</w:t>
      </w:r>
    </w:p>
    <w:p w14:paraId="565943C4" w14:textId="77777777" w:rsidR="00857C9C" w:rsidRDefault="00000000">
      <w:pPr>
        <w:pStyle w:val="2"/>
        <w:spacing w:line="560" w:lineRule="exact"/>
        <w:ind w:firstLineChars="200" w:firstLine="640"/>
        <w:rPr>
          <w:rFonts w:ascii="仿宋_GB2312" w:eastAsia="仿宋_GB2312" w:hAnsi="仿宋_GB2312" w:cs="仿宋_GB2312"/>
          <w:b w:val="0"/>
          <w:kern w:val="2"/>
        </w:rPr>
      </w:pPr>
      <w:r>
        <w:rPr>
          <w:rFonts w:ascii="仿宋_GB2312" w:eastAsia="仿宋_GB2312" w:hAnsi="仿宋_GB2312" w:cs="仿宋_GB2312" w:hint="eastAsia"/>
          <w:b w:val="0"/>
          <w:kern w:val="2"/>
        </w:rPr>
        <w:t>依法设立，自身</w:t>
      </w:r>
      <w:proofErr w:type="gramStart"/>
      <w:r>
        <w:rPr>
          <w:rFonts w:ascii="仿宋_GB2312" w:eastAsia="仿宋_GB2312" w:hAnsi="仿宋_GB2312" w:cs="仿宋_GB2312" w:hint="eastAsia"/>
          <w:b w:val="0"/>
          <w:kern w:val="2"/>
        </w:rPr>
        <w:t>仅开展</w:t>
      </w:r>
      <w:proofErr w:type="gramEnd"/>
      <w:r>
        <w:rPr>
          <w:rFonts w:ascii="仿宋_GB2312" w:eastAsia="仿宋_GB2312" w:hAnsi="仿宋_GB2312" w:cs="仿宋_GB2312" w:hint="eastAsia"/>
          <w:b w:val="0"/>
          <w:kern w:val="2"/>
        </w:rPr>
        <w:t>股权投资管理，不直接从事商业性经营活动，或股东以自有资金出资设立及对外投资股权为主营业务的有限责任公司或股份有限公司，具备3名以上拥有3年以上具备相关业务资格证书或实操经验的专职人员，实缴出资金额或承诺入驻后半年内实现实缴出资金额不少于3000万元。</w:t>
      </w:r>
    </w:p>
    <w:p w14:paraId="398997D6" w14:textId="77777777" w:rsidR="00857C9C" w:rsidRDefault="00000000">
      <w:pPr>
        <w:pStyle w:val="2"/>
        <w:keepNext w:val="0"/>
        <w:keepLines w:val="0"/>
        <w:spacing w:line="560" w:lineRule="exact"/>
        <w:ind w:firstLineChars="200" w:firstLine="643"/>
        <w:rPr>
          <w:rFonts w:ascii="仿宋_GB2312" w:eastAsia="仿宋_GB2312" w:hAnsi="仿宋_GB2312" w:cs="仿宋_GB2312"/>
          <w:bCs/>
          <w:kern w:val="2"/>
        </w:rPr>
      </w:pPr>
      <w:r>
        <w:rPr>
          <w:rFonts w:ascii="仿宋_GB2312" w:eastAsia="仿宋_GB2312" w:hAnsi="仿宋_GB2312" w:cs="仿宋_GB2312" w:hint="eastAsia"/>
          <w:bCs/>
          <w:kern w:val="2"/>
        </w:rPr>
        <w:t>2.3私募基金类</w:t>
      </w:r>
    </w:p>
    <w:p w14:paraId="6E92BA37" w14:textId="77777777" w:rsidR="00857C9C" w:rsidRDefault="00000000">
      <w:pPr>
        <w:pStyle w:val="2"/>
        <w:keepNext w:val="0"/>
        <w:keepLines w:val="0"/>
        <w:spacing w:line="560" w:lineRule="exact"/>
        <w:ind w:firstLineChars="200" w:firstLine="640"/>
        <w:rPr>
          <w:rFonts w:ascii="仿宋_GB2312" w:eastAsia="仿宋_GB2312" w:hAnsi="sans-serif" w:cs="仿宋_GB2312"/>
          <w:b w:val="0"/>
          <w:kern w:val="2"/>
          <w:shd w:val="clear" w:color="auto" w:fill="FFFFFF"/>
        </w:rPr>
      </w:pPr>
      <w:r>
        <w:rPr>
          <w:rFonts w:ascii="仿宋_GB2312" w:eastAsia="仿宋_GB2312" w:hAnsi="sans-serif" w:cs="仿宋_GB2312" w:hint="eastAsia"/>
          <w:b w:val="0"/>
          <w:kern w:val="2"/>
          <w:shd w:val="clear" w:color="auto" w:fill="FFFFFF"/>
        </w:rPr>
        <w:t>在中国证券基金业协会登记备案的私募基金管理企业，且管理规模达到5亿元及以上。</w:t>
      </w:r>
    </w:p>
    <w:p w14:paraId="0DFEC925" w14:textId="77777777" w:rsidR="00857C9C" w:rsidRDefault="00000000">
      <w:pPr>
        <w:pStyle w:val="2"/>
        <w:spacing w:line="560" w:lineRule="exact"/>
        <w:ind w:firstLineChars="200" w:firstLine="643"/>
        <w:rPr>
          <w:rFonts w:ascii="仿宋_GB2312" w:eastAsia="仿宋_GB2312" w:hAnsi="仿宋_GB2312" w:cs="仿宋_GB2312"/>
          <w:bCs/>
          <w:kern w:val="2"/>
          <w:shd w:val="clear" w:color="auto" w:fill="FFFFFF"/>
        </w:rPr>
      </w:pPr>
      <w:r>
        <w:rPr>
          <w:rFonts w:ascii="仿宋_GB2312" w:eastAsia="仿宋_GB2312" w:hAnsi="仿宋_GB2312" w:cs="仿宋_GB2312" w:hint="eastAsia"/>
          <w:bCs/>
          <w:kern w:val="2"/>
        </w:rPr>
        <w:t>2</w:t>
      </w:r>
      <w:r>
        <w:rPr>
          <w:rFonts w:ascii="仿宋_GB2312" w:eastAsia="仿宋_GB2312" w:hAnsi="仿宋_GB2312" w:cs="仿宋_GB2312" w:hint="eastAsia"/>
          <w:bCs/>
          <w:kern w:val="2"/>
          <w:shd w:val="clear" w:color="auto" w:fill="FFFFFF"/>
        </w:rPr>
        <w:t>.</w:t>
      </w:r>
      <w:r>
        <w:rPr>
          <w:rFonts w:ascii="仿宋_GB2312" w:eastAsia="仿宋_GB2312" w:hAnsi="仿宋_GB2312" w:cs="仿宋_GB2312" w:hint="eastAsia"/>
          <w:bCs/>
          <w:kern w:val="2"/>
        </w:rPr>
        <w:t>4</w:t>
      </w:r>
      <w:r>
        <w:rPr>
          <w:rFonts w:ascii="仿宋_GB2312" w:eastAsia="仿宋_GB2312" w:hAnsi="仿宋_GB2312" w:cs="仿宋_GB2312" w:hint="eastAsia"/>
          <w:bCs/>
          <w:kern w:val="2"/>
          <w:shd w:val="clear" w:color="auto" w:fill="FFFFFF"/>
        </w:rPr>
        <w:t>商业</w:t>
      </w:r>
      <w:proofErr w:type="gramStart"/>
      <w:r>
        <w:rPr>
          <w:rFonts w:ascii="仿宋_GB2312" w:eastAsia="仿宋_GB2312" w:hAnsi="仿宋_GB2312" w:cs="仿宋_GB2312" w:hint="eastAsia"/>
          <w:bCs/>
          <w:kern w:val="2"/>
          <w:shd w:val="clear" w:color="auto" w:fill="FFFFFF"/>
        </w:rPr>
        <w:t>保理类</w:t>
      </w:r>
      <w:proofErr w:type="gramEnd"/>
    </w:p>
    <w:p w14:paraId="027738FB" w14:textId="77777777" w:rsidR="00857C9C" w:rsidRDefault="00000000">
      <w:pPr>
        <w:spacing w:line="560" w:lineRule="exact"/>
        <w:ind w:firstLineChars="200" w:firstLine="640"/>
        <w:rPr>
          <w:rFonts w:ascii="仿宋_GB2312" w:eastAsia="仿宋_GB2312" w:hAnsi="sans-serif" w:cs="仿宋_GB2312"/>
          <w:sz w:val="32"/>
          <w:szCs w:val="32"/>
          <w:shd w:val="clear" w:color="auto" w:fill="FFFFFF"/>
        </w:rPr>
      </w:pPr>
      <w:r>
        <w:rPr>
          <w:rFonts w:ascii="仿宋_GB2312" w:eastAsia="仿宋_GB2312" w:hAnsi="仿宋_GB2312" w:cs="仿宋_GB2312" w:hint="eastAsia"/>
          <w:sz w:val="32"/>
          <w:szCs w:val="32"/>
        </w:rPr>
        <w:t>经国家相关部门批准，登记注册主营业务为商业</w:t>
      </w:r>
      <w:proofErr w:type="gramStart"/>
      <w:r>
        <w:rPr>
          <w:rFonts w:ascii="仿宋_GB2312" w:eastAsia="仿宋_GB2312" w:hAnsi="仿宋_GB2312" w:cs="仿宋_GB2312" w:hint="eastAsia"/>
          <w:sz w:val="32"/>
          <w:szCs w:val="32"/>
        </w:rPr>
        <w:t>保理业务</w:t>
      </w:r>
      <w:proofErr w:type="gramEnd"/>
      <w:r>
        <w:rPr>
          <w:rFonts w:ascii="仿宋_GB2312" w:eastAsia="仿宋_GB2312" w:hAnsi="仿宋_GB2312" w:cs="仿宋_GB2312" w:hint="eastAsia"/>
          <w:sz w:val="32"/>
          <w:szCs w:val="32"/>
        </w:rPr>
        <w:t>或相关业务的企业；并且符合以下两项条件之一：①</w:t>
      </w:r>
      <w:r>
        <w:rPr>
          <w:rFonts w:ascii="仿宋_GB2312" w:eastAsia="仿宋_GB2312" w:hAnsi="sans-serif" w:cs="仿宋_GB2312" w:hint="eastAsia"/>
          <w:sz w:val="32"/>
          <w:szCs w:val="32"/>
          <w:shd w:val="clear" w:color="auto" w:fill="FFFFFF"/>
        </w:rPr>
        <w:t>经监管部门检查，列为拟纳入监管名单的</w:t>
      </w:r>
      <w:proofErr w:type="gramStart"/>
      <w:r>
        <w:rPr>
          <w:rFonts w:ascii="仿宋_GB2312" w:eastAsia="仿宋_GB2312" w:hAnsi="sans-serif" w:cs="仿宋_GB2312" w:hint="eastAsia"/>
          <w:sz w:val="32"/>
          <w:szCs w:val="32"/>
          <w:shd w:val="clear" w:color="auto" w:fill="FFFFFF"/>
        </w:rPr>
        <w:t>商业保理企业</w:t>
      </w:r>
      <w:proofErr w:type="gramEnd"/>
      <w:r>
        <w:rPr>
          <w:rFonts w:ascii="仿宋_GB2312" w:eastAsia="仿宋_GB2312" w:hAnsi="sans-serif" w:cs="仿宋_GB2312" w:hint="eastAsia"/>
          <w:sz w:val="32"/>
          <w:szCs w:val="32"/>
          <w:shd w:val="clear" w:color="auto" w:fill="FFFFFF"/>
        </w:rPr>
        <w:t>，且实缴注册资本达到5000万元及以上。</w:t>
      </w:r>
      <w:r>
        <w:rPr>
          <w:rFonts w:ascii="仿宋_GB2312" w:eastAsia="仿宋_GB2312" w:hAnsi="仿宋_GB2312" w:cs="仿宋_GB2312" w:hint="eastAsia"/>
          <w:sz w:val="32"/>
          <w:szCs w:val="32"/>
        </w:rPr>
        <w:t>②</w:t>
      </w:r>
      <w:r>
        <w:rPr>
          <w:rFonts w:ascii="仿宋_GB2312" w:eastAsia="仿宋_GB2312" w:hAnsi="sans-serif" w:cs="仿宋_GB2312" w:hint="eastAsia"/>
          <w:sz w:val="32"/>
          <w:szCs w:val="32"/>
          <w:shd w:val="clear" w:color="auto" w:fill="FFFFFF"/>
        </w:rPr>
        <w:t>有实际运营且实缴资本达到1亿元，且遵守《中国银保监会办公厅关于加强商业保理企业监督管理的通知》</w:t>
      </w:r>
      <w:r>
        <w:rPr>
          <w:rFonts w:ascii="仿宋_GB2312" w:eastAsia="仿宋_GB2312" w:hAnsi="sans-serif" w:cs="仿宋_GB2312" w:hint="eastAsia"/>
          <w:sz w:val="32"/>
          <w:szCs w:val="32"/>
          <w:shd w:val="clear" w:color="auto" w:fill="FFFFFF"/>
        </w:rPr>
        <w:lastRenderedPageBreak/>
        <w:t>（银保监办发〔2019〕205号）相关要求依法合</w:t>
      </w:r>
      <w:proofErr w:type="gramStart"/>
      <w:r>
        <w:rPr>
          <w:rFonts w:ascii="仿宋_GB2312" w:eastAsia="仿宋_GB2312" w:hAnsi="sans-serif" w:cs="仿宋_GB2312" w:hint="eastAsia"/>
          <w:sz w:val="32"/>
          <w:szCs w:val="32"/>
          <w:shd w:val="clear" w:color="auto" w:fill="FFFFFF"/>
        </w:rPr>
        <w:t>规</w:t>
      </w:r>
      <w:proofErr w:type="gramEnd"/>
      <w:r>
        <w:rPr>
          <w:rFonts w:ascii="仿宋_GB2312" w:eastAsia="仿宋_GB2312" w:hAnsi="sans-serif" w:cs="仿宋_GB2312" w:hint="eastAsia"/>
          <w:sz w:val="32"/>
          <w:szCs w:val="32"/>
          <w:shd w:val="clear" w:color="auto" w:fill="FFFFFF"/>
        </w:rPr>
        <w:t>经营。</w:t>
      </w:r>
    </w:p>
    <w:p w14:paraId="32D1B2ED" w14:textId="77777777" w:rsidR="00857C9C" w:rsidRDefault="00000000">
      <w:pPr>
        <w:pStyle w:val="2"/>
        <w:spacing w:line="560" w:lineRule="exact"/>
        <w:ind w:firstLineChars="200" w:firstLine="643"/>
        <w:rPr>
          <w:rFonts w:ascii="仿宋_GB2312" w:eastAsia="仿宋_GB2312" w:hAnsi="仿宋_GB2312" w:cs="仿宋_GB2312"/>
          <w:bCs/>
          <w:kern w:val="2"/>
        </w:rPr>
      </w:pPr>
      <w:r>
        <w:rPr>
          <w:rFonts w:ascii="仿宋_GB2312" w:eastAsia="仿宋_GB2312" w:hAnsi="仿宋_GB2312" w:cs="仿宋_GB2312" w:hint="eastAsia"/>
          <w:bCs/>
          <w:kern w:val="2"/>
        </w:rPr>
        <w:t>2.5保险中介类</w:t>
      </w:r>
    </w:p>
    <w:p w14:paraId="31C9FB5A" w14:textId="77777777" w:rsidR="00857C9C" w:rsidRDefault="00000000">
      <w:pPr>
        <w:spacing w:line="560" w:lineRule="exact"/>
        <w:ind w:firstLineChars="200" w:firstLine="640"/>
        <w:rPr>
          <w:rFonts w:ascii="仿宋_GB2312" w:eastAsia="仿宋_GB2312" w:hAnsi="sans-serif" w:cs="仿宋_GB2312"/>
          <w:sz w:val="32"/>
          <w:szCs w:val="32"/>
          <w:shd w:val="clear" w:color="auto" w:fill="FFFFFF"/>
        </w:rPr>
      </w:pPr>
      <w:r>
        <w:rPr>
          <w:rFonts w:ascii="仿宋_GB2312" w:eastAsia="仿宋_GB2312" w:hAnsi="sans-serif" w:cs="仿宋_GB2312" w:hint="eastAsia"/>
          <w:sz w:val="32"/>
          <w:szCs w:val="32"/>
          <w:shd w:val="clear" w:color="auto" w:fill="FFFFFF"/>
        </w:rPr>
        <w:t>经国家相关部门核准牌照或备案的保险经纪、保险代理、保险销售、保险公估企业，并且符合以下两项条件之一：</w:t>
      </w:r>
      <w:r>
        <w:rPr>
          <w:rFonts w:ascii="仿宋_GB2312" w:eastAsia="仿宋_GB2312" w:hAnsi="仿宋_GB2312" w:cs="仿宋_GB2312" w:hint="eastAsia"/>
          <w:sz w:val="32"/>
          <w:szCs w:val="32"/>
        </w:rPr>
        <w:t>①实缴注册资本达到1000万元及以上。②</w:t>
      </w:r>
      <w:r>
        <w:rPr>
          <w:rFonts w:ascii="仿宋_GB2312" w:eastAsia="仿宋_GB2312" w:hAnsi="sans-serif" w:cs="仿宋_GB2312" w:hint="eastAsia"/>
          <w:sz w:val="32"/>
          <w:szCs w:val="32"/>
          <w:shd w:val="clear" w:color="auto" w:fill="FFFFFF"/>
        </w:rPr>
        <w:t>营业收入达到1000万元及以上。</w:t>
      </w:r>
    </w:p>
    <w:p w14:paraId="2CBC8097" w14:textId="77777777" w:rsidR="00857C9C" w:rsidRDefault="00000000">
      <w:pPr>
        <w:spacing w:line="560" w:lineRule="exact"/>
        <w:ind w:firstLineChars="200" w:firstLine="643"/>
        <w:rPr>
          <w:rFonts w:ascii="仿宋_GB2312" w:eastAsia="仿宋_GB2312" w:hAnsi="仿宋_GB2312" w:cs="仿宋_GB2312"/>
          <w:b/>
          <w:bCs/>
        </w:rPr>
      </w:pPr>
      <w:r>
        <w:rPr>
          <w:rFonts w:ascii="仿宋_GB2312" w:eastAsia="仿宋_GB2312" w:hAnsi="仿宋_GB2312" w:cs="仿宋_GB2312" w:hint="eastAsia"/>
          <w:b/>
          <w:bCs/>
          <w:sz w:val="32"/>
          <w:szCs w:val="32"/>
        </w:rPr>
        <w:t>2.6理财和</w:t>
      </w:r>
      <w:proofErr w:type="gramStart"/>
      <w:r>
        <w:rPr>
          <w:rFonts w:ascii="仿宋_GB2312" w:eastAsia="仿宋_GB2312" w:hAnsi="仿宋_GB2312" w:cs="仿宋_GB2312" w:hint="eastAsia"/>
          <w:b/>
          <w:bCs/>
          <w:sz w:val="32"/>
          <w:szCs w:val="32"/>
        </w:rPr>
        <w:t>资管</w:t>
      </w:r>
      <w:proofErr w:type="gramEnd"/>
      <w:r>
        <w:rPr>
          <w:rFonts w:ascii="仿宋_GB2312" w:eastAsia="仿宋_GB2312" w:hAnsi="仿宋_GB2312" w:cs="仿宋_GB2312" w:hint="eastAsia"/>
          <w:b/>
          <w:bCs/>
          <w:sz w:val="32"/>
          <w:szCs w:val="32"/>
        </w:rPr>
        <w:t>类</w:t>
      </w:r>
    </w:p>
    <w:p w14:paraId="569DF2FA" w14:textId="77777777" w:rsidR="00857C9C" w:rsidRDefault="00000000">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符合相关金融监管要求，在审计、法律、会计、咨询、增信、托管、评估、投资研究、风险管理、税收筹划、基金登记、估值核算、</w:t>
      </w:r>
      <w:proofErr w:type="gramStart"/>
      <w:r>
        <w:rPr>
          <w:rFonts w:ascii="仿宋_GB2312" w:eastAsia="仿宋_GB2312" w:hAnsi="仿宋_GB2312" w:cs="仿宋_GB2312" w:hint="eastAsia"/>
          <w:bCs/>
          <w:sz w:val="32"/>
          <w:szCs w:val="32"/>
        </w:rPr>
        <w:t>资管产品</w:t>
      </w:r>
      <w:proofErr w:type="gramEnd"/>
      <w:r>
        <w:rPr>
          <w:rFonts w:ascii="仿宋_GB2312" w:eastAsia="仿宋_GB2312" w:hAnsi="仿宋_GB2312" w:cs="仿宋_GB2312" w:hint="eastAsia"/>
          <w:bCs/>
          <w:sz w:val="32"/>
          <w:szCs w:val="32"/>
        </w:rPr>
        <w:t>评价、信息技术、指数开发、运营、家族办公室等方面</w:t>
      </w:r>
      <w:proofErr w:type="gramStart"/>
      <w:r>
        <w:rPr>
          <w:rFonts w:ascii="仿宋_GB2312" w:eastAsia="仿宋_GB2312" w:hAnsi="仿宋_GB2312" w:cs="仿宋_GB2312" w:hint="eastAsia"/>
          <w:bCs/>
          <w:sz w:val="32"/>
          <w:szCs w:val="32"/>
        </w:rPr>
        <w:t>提供资管市场</w:t>
      </w:r>
      <w:proofErr w:type="gramEnd"/>
      <w:r>
        <w:rPr>
          <w:rFonts w:ascii="仿宋_GB2312" w:eastAsia="仿宋_GB2312" w:hAnsi="仿宋_GB2312" w:cs="仿宋_GB2312" w:hint="eastAsia"/>
          <w:bCs/>
          <w:sz w:val="32"/>
          <w:szCs w:val="32"/>
        </w:rPr>
        <w:t>专业服务的机构；跨国公司在南沙设立的全球或区域资金管理中心、集团财务公司；全国性或港澳、国际资产管理行业组织及其服务窗口、实践基地、培训中心、代表处、销售中心等。且具备3名以上具有相关业务资格证书或实操经验的专职人员。</w:t>
      </w:r>
    </w:p>
    <w:p w14:paraId="047F3DA9" w14:textId="77777777" w:rsidR="00857C9C" w:rsidRDefault="00000000">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2.7绿色金融（气候投融资）类</w:t>
      </w:r>
    </w:p>
    <w:p w14:paraId="206D31E5" w14:textId="77777777" w:rsidR="00857C9C" w:rsidRDefault="00000000">
      <w:pPr>
        <w:spacing w:line="560" w:lineRule="exact"/>
        <w:ind w:firstLineChars="200" w:firstLine="640"/>
        <w:rPr>
          <w:rFonts w:ascii="仿宋_GB2312" w:eastAsia="仿宋_GB2312" w:hAnsi="sans-serif" w:cs="仿宋_GB2312"/>
          <w:sz w:val="32"/>
          <w:szCs w:val="32"/>
          <w:shd w:val="clear" w:color="auto" w:fill="FFFFFF"/>
        </w:rPr>
      </w:pPr>
      <w:r>
        <w:rPr>
          <w:rFonts w:ascii="仿宋_GB2312" w:eastAsia="仿宋_GB2312" w:hAnsi="sans-serif" w:cs="仿宋_GB2312" w:hint="eastAsia"/>
          <w:sz w:val="32"/>
          <w:szCs w:val="32"/>
          <w:shd w:val="clear" w:color="auto" w:fill="FFFFFF"/>
        </w:rPr>
        <w:t>符合相关金融监管要求，具备完善的环境、社会与治理（ESG）管理体系及绿色金融（气候投融资）业务专门管理部门的企业、组织或机构，并且符合以下三项条件之一：①具备5名以上拥有3年以上实操经验的专职人员，且具备在绿色金融、气候投融资、</w:t>
      </w:r>
      <w:proofErr w:type="gramStart"/>
      <w:r>
        <w:rPr>
          <w:rFonts w:ascii="仿宋_GB2312" w:eastAsia="仿宋_GB2312" w:hAnsi="sans-serif" w:cs="仿宋_GB2312" w:hint="eastAsia"/>
          <w:sz w:val="32"/>
          <w:szCs w:val="32"/>
          <w:shd w:val="clear" w:color="auto" w:fill="FFFFFF"/>
        </w:rPr>
        <w:t>碳金融</w:t>
      </w:r>
      <w:proofErr w:type="gramEnd"/>
      <w:r>
        <w:rPr>
          <w:rFonts w:ascii="仿宋_GB2312" w:eastAsia="仿宋_GB2312" w:hAnsi="sans-serif" w:cs="仿宋_GB2312" w:hint="eastAsia"/>
          <w:sz w:val="32"/>
          <w:szCs w:val="32"/>
          <w:shd w:val="clear" w:color="auto" w:fill="FFFFFF"/>
        </w:rPr>
        <w:t>等领域的研究成果；②绿色金融（气候投融资）业务规模占总业务的50%以上；</w:t>
      </w:r>
      <w:r>
        <w:rPr>
          <w:rFonts w:ascii="仿宋_GB2312" w:eastAsia="仿宋_GB2312" w:hAnsi="仿宋_GB2312" w:cs="仿宋_GB2312" w:hint="eastAsia"/>
          <w:sz w:val="32"/>
          <w:szCs w:val="32"/>
        </w:rPr>
        <w:t>③</w:t>
      </w:r>
      <w:r>
        <w:rPr>
          <w:rFonts w:ascii="仿宋_GB2312" w:eastAsia="仿宋_GB2312" w:hAnsi="sans-serif" w:cs="仿宋_GB2312" w:hint="eastAsia"/>
          <w:sz w:val="32"/>
          <w:szCs w:val="32"/>
          <w:shd w:val="clear" w:color="auto" w:fill="FFFFFF"/>
        </w:rPr>
        <w:t>经金融监管部门认定，符合标准且纳入粤港澳大湾区气候投</w:t>
      </w:r>
      <w:proofErr w:type="gramStart"/>
      <w:r>
        <w:rPr>
          <w:rFonts w:ascii="仿宋_GB2312" w:eastAsia="仿宋_GB2312" w:hAnsi="sans-serif" w:cs="仿宋_GB2312" w:hint="eastAsia"/>
          <w:sz w:val="32"/>
          <w:szCs w:val="32"/>
          <w:shd w:val="clear" w:color="auto" w:fill="FFFFFF"/>
        </w:rPr>
        <w:t>融资共识</w:t>
      </w:r>
      <w:proofErr w:type="gramEnd"/>
      <w:r>
        <w:rPr>
          <w:rFonts w:ascii="仿宋_GB2312" w:eastAsia="仿宋_GB2312" w:hAnsi="sans-serif" w:cs="仿宋_GB2312" w:hint="eastAsia"/>
          <w:sz w:val="32"/>
          <w:szCs w:val="32"/>
          <w:shd w:val="clear" w:color="auto" w:fill="FFFFFF"/>
        </w:rPr>
        <w:t>平台的金融机构、第三</w:t>
      </w:r>
      <w:proofErr w:type="gramStart"/>
      <w:r>
        <w:rPr>
          <w:rFonts w:ascii="仿宋_GB2312" w:eastAsia="仿宋_GB2312" w:hAnsi="sans-serif" w:cs="仿宋_GB2312" w:hint="eastAsia"/>
          <w:sz w:val="32"/>
          <w:szCs w:val="32"/>
          <w:shd w:val="clear" w:color="auto" w:fill="FFFFFF"/>
        </w:rPr>
        <w:t>方服务</w:t>
      </w:r>
      <w:proofErr w:type="gramEnd"/>
      <w:r>
        <w:rPr>
          <w:rFonts w:ascii="仿宋_GB2312" w:eastAsia="仿宋_GB2312" w:hAnsi="sans-serif" w:cs="仿宋_GB2312" w:hint="eastAsia"/>
          <w:sz w:val="32"/>
          <w:szCs w:val="32"/>
          <w:shd w:val="clear" w:color="auto" w:fill="FFFFFF"/>
        </w:rPr>
        <w:t>机构、</w:t>
      </w:r>
      <w:r>
        <w:rPr>
          <w:rFonts w:ascii="仿宋_GB2312" w:eastAsia="仿宋_GB2312" w:hAnsi="sans-serif" w:cs="仿宋_GB2312" w:hint="eastAsia"/>
          <w:sz w:val="32"/>
          <w:szCs w:val="32"/>
          <w:shd w:val="clear" w:color="auto" w:fill="FFFFFF"/>
        </w:rPr>
        <w:lastRenderedPageBreak/>
        <w:t>重点研究机构、产品研发中心。</w:t>
      </w:r>
    </w:p>
    <w:p w14:paraId="181FEC32" w14:textId="77777777" w:rsidR="00857C9C" w:rsidRDefault="00000000">
      <w:pPr>
        <w:pStyle w:val="2"/>
        <w:spacing w:line="560" w:lineRule="exact"/>
        <w:ind w:firstLineChars="200" w:firstLine="643"/>
        <w:rPr>
          <w:rFonts w:ascii="仿宋_GB2312" w:eastAsia="仿宋_GB2312" w:hAnsi="仿宋_GB2312" w:cs="仿宋_GB2312"/>
          <w:bCs/>
          <w:kern w:val="2"/>
        </w:rPr>
      </w:pPr>
      <w:r>
        <w:rPr>
          <w:rFonts w:ascii="仿宋_GB2312" w:eastAsia="仿宋_GB2312" w:hAnsi="仿宋_GB2312" w:cs="仿宋_GB2312" w:hint="eastAsia"/>
          <w:bCs/>
          <w:kern w:val="2"/>
        </w:rPr>
        <w:t>2.8社会组织类</w:t>
      </w:r>
    </w:p>
    <w:p w14:paraId="1BB4F104" w14:textId="7E4EA7D0" w:rsidR="00857C9C" w:rsidRDefault="00000000">
      <w:pPr>
        <w:autoSpaceDE w:val="0"/>
        <w:spacing w:line="560" w:lineRule="exact"/>
        <w:ind w:firstLineChars="200" w:firstLine="640"/>
        <w:rPr>
          <w:rFonts w:ascii="仿宋_GB2312" w:eastAsia="仿宋_GB2312" w:hAnsi="sans-serif" w:cs="仿宋_GB2312"/>
          <w:sz w:val="32"/>
          <w:szCs w:val="32"/>
          <w:shd w:val="clear" w:color="auto" w:fill="FFFFFF"/>
        </w:rPr>
      </w:pPr>
      <w:r>
        <w:rPr>
          <w:rFonts w:ascii="仿宋_GB2312" w:eastAsia="仿宋_GB2312" w:hAnsi="仿宋_GB2312" w:cs="仿宋_GB2312" w:hint="eastAsia"/>
          <w:sz w:val="32"/>
          <w:szCs w:val="32"/>
        </w:rPr>
        <w:t>经相关管理机关批准依法成立的金融类或投融资类商协会等社会团体，业务范围为服务金融（类金融）非</w:t>
      </w:r>
      <w:r w:rsidR="00B97D97">
        <w:rPr>
          <w:rFonts w:ascii="仿宋_GB2312" w:eastAsia="仿宋_GB2312" w:hAnsi="仿宋_GB2312" w:cs="仿宋_GB2312" w:hint="eastAsia"/>
          <w:sz w:val="32"/>
          <w:szCs w:val="32"/>
        </w:rPr>
        <w:t>营</w:t>
      </w:r>
      <w:r>
        <w:rPr>
          <w:rFonts w:ascii="仿宋_GB2312" w:eastAsia="仿宋_GB2312" w:hAnsi="仿宋_GB2312" w:cs="仿宋_GB2312" w:hint="eastAsia"/>
          <w:sz w:val="32"/>
          <w:szCs w:val="32"/>
        </w:rPr>
        <w:t>利性组织机构，提供人才培训、政策研究、活动举办、技术研发、产品应用、标准制定等服务的专家顾问智库、金融产业研究院、金融培训学院/基地、金融行业协会等，具备3名以上拥有3年以上具备相关业务资格证书或实操经验的专职人员</w:t>
      </w:r>
      <w:r>
        <w:rPr>
          <w:rFonts w:ascii="仿宋_GB2312" w:eastAsia="仿宋_GB2312" w:cs="仿宋_GB2312" w:hint="eastAsia"/>
          <w:sz w:val="32"/>
          <w:szCs w:val="32"/>
          <w:lang w:bidi="ar"/>
        </w:rPr>
        <w:t>。</w:t>
      </w:r>
    </w:p>
    <w:p w14:paraId="078ED86F" w14:textId="77777777" w:rsidR="00857C9C" w:rsidRDefault="00000000">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3.其他特殊情况：</w:t>
      </w:r>
    </w:p>
    <w:p w14:paraId="0E11D3B9" w14:textId="77777777" w:rsidR="00857C9C" w:rsidRDefault="00000000">
      <w:pPr>
        <w:numPr>
          <w:ilvl w:val="255"/>
          <w:numId w:val="0"/>
        </w:numPr>
        <w:spacing w:line="560" w:lineRule="exact"/>
        <w:ind w:firstLineChars="200" w:firstLine="640"/>
        <w:rPr>
          <w:bCs/>
        </w:rPr>
      </w:pPr>
      <w:r>
        <w:rPr>
          <w:rFonts w:ascii="仿宋_GB2312" w:eastAsia="仿宋_GB2312" w:hAnsi="仿宋_GB2312" w:cs="仿宋_GB2312" w:hint="eastAsia"/>
          <w:sz w:val="32"/>
          <w:szCs w:val="32"/>
        </w:rPr>
        <w:t>不符合条件1、2的其他情况，需与南沙开发区金融主管部门或南沙开发区管委会签订合作协议，如办公面积需求为1000平方米以上的，需向南沙开发区管委会报备。</w:t>
      </w:r>
    </w:p>
    <w:p w14:paraId="5CF418ED" w14:textId="77777777" w:rsidR="00857C9C" w:rsidRDefault="00000000">
      <w:pPr>
        <w:pStyle w:val="2"/>
        <w:keepNext w:val="0"/>
        <w:keepLines w:val="0"/>
        <w:spacing w:line="560" w:lineRule="exact"/>
        <w:ind w:firstLineChars="200" w:firstLine="602"/>
        <w:rPr>
          <w:rFonts w:ascii="仿宋_GB2312" w:eastAsia="仿宋_GB2312" w:hAnsi="仿宋_GB2312" w:cs="仿宋_GB2312"/>
          <w:b w:val="0"/>
          <w:kern w:val="2"/>
        </w:rPr>
      </w:pPr>
      <w:r>
        <w:rPr>
          <w:rFonts w:ascii="楷体" w:eastAsia="楷体" w:hAnsi="楷体" w:cs="楷体"/>
          <w:bCs/>
          <w:color w:val="000000"/>
          <w:sz w:val="30"/>
          <w:szCs w:val="30"/>
          <w:lang w:bidi="ar"/>
        </w:rPr>
        <w:t>第</w:t>
      </w:r>
      <w:r>
        <w:rPr>
          <w:rFonts w:ascii="楷体" w:eastAsia="楷体" w:hAnsi="楷体" w:cs="楷体" w:hint="eastAsia"/>
          <w:bCs/>
          <w:color w:val="000000"/>
          <w:sz w:val="30"/>
          <w:szCs w:val="30"/>
          <w:lang w:bidi="ar"/>
        </w:rPr>
        <w:t>四</w:t>
      </w:r>
      <w:r>
        <w:rPr>
          <w:rFonts w:ascii="楷体" w:eastAsia="楷体" w:hAnsi="楷体" w:cs="楷体"/>
          <w:bCs/>
          <w:color w:val="000000"/>
          <w:sz w:val="30"/>
          <w:szCs w:val="30"/>
          <w:lang w:bidi="ar"/>
        </w:rPr>
        <w:t>条</w:t>
      </w:r>
      <w:r>
        <w:rPr>
          <w:rFonts w:ascii="楷体" w:eastAsia="楷体" w:hAnsi="楷体" w:cs="楷体" w:hint="eastAsia"/>
          <w:bCs/>
          <w:color w:val="000000"/>
          <w:sz w:val="30"/>
          <w:szCs w:val="30"/>
          <w:lang w:bidi="ar"/>
        </w:rPr>
        <w:t xml:space="preserve"> </w:t>
      </w:r>
      <w:r>
        <w:rPr>
          <w:rFonts w:ascii="仿宋_GB2312" w:eastAsia="仿宋_GB2312" w:hAnsi="仿宋_GB2312" w:cs="仿宋_GB2312" w:hint="eastAsia"/>
          <w:b w:val="0"/>
          <w:kern w:val="2"/>
        </w:rPr>
        <w:t>在南沙区无自建或购置自用办公用房（临时性用房除外）的入驻单位可免租入驻集聚区，面积标准为人均最高20平方米，免租期限以入驻集聚区时约定的租赁期限、租赁面积为准，最高期限为3年。</w:t>
      </w:r>
    </w:p>
    <w:p w14:paraId="1B6D2932" w14:textId="77777777" w:rsidR="00857C9C" w:rsidRDefault="00000000">
      <w:pPr>
        <w:spacing w:line="560" w:lineRule="exact"/>
        <w:ind w:firstLineChars="200" w:firstLine="602"/>
        <w:rPr>
          <w:rFonts w:ascii="仿宋_GB2312" w:eastAsia="仿宋_GB2312" w:hAnsi="仿宋_GB2312" w:cs="仿宋_GB2312"/>
          <w:sz w:val="32"/>
          <w:szCs w:val="32"/>
        </w:rPr>
      </w:pPr>
      <w:r>
        <w:rPr>
          <w:rFonts w:ascii="楷体" w:eastAsia="楷体" w:hAnsi="楷体" w:cs="楷体"/>
          <w:b/>
          <w:bCs/>
          <w:color w:val="000000"/>
          <w:kern w:val="0"/>
          <w:sz w:val="30"/>
          <w:szCs w:val="30"/>
          <w:lang w:bidi="ar"/>
        </w:rPr>
        <w:t>第五条</w:t>
      </w:r>
      <w:r>
        <w:rPr>
          <w:rFonts w:ascii="楷体" w:eastAsia="楷体" w:hAnsi="楷体" w:cs="楷体" w:hint="eastAsia"/>
          <w:b/>
          <w:bCs/>
          <w:color w:val="000000"/>
          <w:kern w:val="0"/>
          <w:sz w:val="30"/>
          <w:szCs w:val="30"/>
          <w:lang w:bidi="ar"/>
        </w:rPr>
        <w:t xml:space="preserve"> </w:t>
      </w:r>
      <w:r>
        <w:rPr>
          <w:rFonts w:ascii="仿宋_GB2312" w:eastAsia="仿宋_GB2312" w:hAnsi="仿宋_GB2312" w:cs="仿宋_GB2312" w:hint="eastAsia"/>
          <w:sz w:val="32"/>
          <w:szCs w:val="32"/>
        </w:rPr>
        <w:t>对于符合《实施细则》扶持标准的企业、组织或机构，入驻集聚区后不再享受办公用房租金补贴。</w:t>
      </w:r>
    </w:p>
    <w:p w14:paraId="45D2289F" w14:textId="77777777" w:rsidR="00857C9C" w:rsidRDefault="00000000">
      <w:pPr>
        <w:spacing w:line="560" w:lineRule="exact"/>
        <w:ind w:firstLineChars="200" w:firstLine="602"/>
        <w:rPr>
          <w:rFonts w:ascii="仿宋_GB2312" w:eastAsia="仿宋_GB2312" w:hAnsi="仿宋_GB2312" w:cs="仿宋_GB2312"/>
          <w:sz w:val="32"/>
          <w:szCs w:val="32"/>
        </w:rPr>
      </w:pPr>
      <w:r>
        <w:rPr>
          <w:rFonts w:ascii="楷体" w:eastAsia="楷体" w:hAnsi="楷体" w:cs="楷体"/>
          <w:b/>
          <w:bCs/>
          <w:color w:val="000000"/>
          <w:kern w:val="0"/>
          <w:sz w:val="30"/>
          <w:szCs w:val="30"/>
          <w:lang w:bidi="ar"/>
        </w:rPr>
        <w:t>第六条</w:t>
      </w:r>
      <w:r>
        <w:rPr>
          <w:rFonts w:ascii="楷体" w:eastAsia="楷体" w:hAnsi="楷体" w:cs="楷体" w:hint="eastAsia"/>
          <w:b/>
          <w:bCs/>
          <w:color w:val="000000"/>
          <w:kern w:val="0"/>
          <w:sz w:val="30"/>
          <w:szCs w:val="30"/>
          <w:lang w:bidi="ar"/>
        </w:rPr>
        <w:t xml:space="preserve"> </w:t>
      </w:r>
      <w:r>
        <w:rPr>
          <w:rFonts w:ascii="仿宋_GB2312" w:eastAsia="仿宋_GB2312" w:hAnsi="仿宋_GB2312" w:cs="仿宋_GB2312" w:hint="eastAsia"/>
          <w:sz w:val="32"/>
          <w:szCs w:val="32"/>
        </w:rPr>
        <w:t>入驻单位应每年向集聚区运营机构提交入驻单位经营情况、运作情况、技术研发情况、集聚区制度执行情况等情况报告，由集聚区运营机构进行监督及考核。</w:t>
      </w:r>
    </w:p>
    <w:p w14:paraId="2A6D4437" w14:textId="77777777" w:rsidR="00857C9C" w:rsidRDefault="00000000">
      <w:pPr>
        <w:spacing w:line="560" w:lineRule="exact"/>
        <w:ind w:firstLineChars="200" w:firstLine="602"/>
        <w:rPr>
          <w:rFonts w:ascii="仿宋_GB2312" w:eastAsia="仿宋_GB2312" w:hAnsi="仿宋_GB2312" w:cs="仿宋_GB2312"/>
          <w:sz w:val="32"/>
          <w:szCs w:val="32"/>
        </w:rPr>
      </w:pPr>
      <w:r>
        <w:rPr>
          <w:rFonts w:ascii="楷体" w:eastAsia="楷体" w:hAnsi="楷体" w:cs="楷体"/>
          <w:b/>
          <w:bCs/>
          <w:color w:val="000000"/>
          <w:kern w:val="0"/>
          <w:sz w:val="30"/>
          <w:szCs w:val="30"/>
          <w:lang w:bidi="ar"/>
        </w:rPr>
        <w:t>第七条</w:t>
      </w:r>
      <w:r>
        <w:rPr>
          <w:rFonts w:ascii="楷体" w:eastAsia="楷体" w:hAnsi="楷体" w:cs="楷体" w:hint="eastAsia"/>
          <w:b/>
          <w:bCs/>
          <w:color w:val="000000"/>
          <w:kern w:val="0"/>
          <w:sz w:val="30"/>
          <w:szCs w:val="30"/>
          <w:lang w:bidi="ar"/>
        </w:rPr>
        <w:t xml:space="preserve"> </w:t>
      </w:r>
      <w:r>
        <w:rPr>
          <w:rFonts w:ascii="仿宋_GB2312" w:eastAsia="仿宋_GB2312" w:hAnsi="仿宋_GB2312" w:cs="仿宋_GB2312" w:hint="eastAsia"/>
          <w:sz w:val="32"/>
          <w:szCs w:val="32"/>
        </w:rPr>
        <w:t>入驻单位出现存在以下情况之一的，不再享受扶持</w:t>
      </w:r>
      <w:r>
        <w:rPr>
          <w:rFonts w:ascii="仿宋_GB2312" w:eastAsia="仿宋_GB2312" w:hAnsi="仿宋_GB2312" w:cs="仿宋_GB2312" w:hint="eastAsia"/>
          <w:sz w:val="32"/>
          <w:szCs w:val="32"/>
        </w:rPr>
        <w:lastRenderedPageBreak/>
        <w:t>政策，启动退出机制：</w:t>
      </w:r>
    </w:p>
    <w:p w14:paraId="3CDEAD66" w14:textId="77777777" w:rsidR="00857C9C"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)未通过考核评估；</w:t>
      </w:r>
    </w:p>
    <w:p w14:paraId="45AEFD78" w14:textId="77777777" w:rsidR="00857C9C"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(二)严重违法违规或违反集聚区管理规定； </w:t>
      </w:r>
    </w:p>
    <w:p w14:paraId="653EAF25" w14:textId="77777777" w:rsidR="00857C9C"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(三)被市场监管部门勒令停止营业或吊销营业执照；</w:t>
      </w:r>
    </w:p>
    <w:p w14:paraId="30D21461" w14:textId="77777777" w:rsidR="00857C9C"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(四)被司法机关裁定破产或执行清算； </w:t>
      </w:r>
    </w:p>
    <w:p w14:paraId="0664A356" w14:textId="77777777" w:rsidR="00857C9C"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(五)经南沙开发区金融主管部门认定的其他事项。</w:t>
      </w:r>
    </w:p>
    <w:p w14:paraId="5DDAC267" w14:textId="77777777" w:rsidR="00857C9C" w:rsidRDefault="00000000">
      <w:pPr>
        <w:spacing w:line="560" w:lineRule="exact"/>
        <w:ind w:firstLineChars="200" w:firstLine="602"/>
        <w:rPr>
          <w:rFonts w:ascii="仿宋_GB2312" w:eastAsia="仿宋_GB2312" w:hAnsi="仿宋_GB2312" w:cs="仿宋_GB2312"/>
          <w:sz w:val="32"/>
          <w:szCs w:val="32"/>
        </w:rPr>
      </w:pPr>
      <w:r>
        <w:rPr>
          <w:rFonts w:ascii="楷体" w:eastAsia="楷体" w:hAnsi="楷体" w:cs="楷体" w:hint="eastAsia"/>
          <w:b/>
          <w:bCs/>
          <w:color w:val="000000"/>
          <w:kern w:val="0"/>
          <w:sz w:val="30"/>
          <w:szCs w:val="30"/>
          <w:lang w:bidi="ar"/>
        </w:rPr>
        <w:t xml:space="preserve">第八条 </w:t>
      </w:r>
      <w:r>
        <w:rPr>
          <w:rFonts w:ascii="仿宋_GB2312" w:eastAsia="仿宋_GB2312" w:hAnsi="仿宋_GB2312" w:cs="仿宋_GB2312" w:hint="eastAsia"/>
          <w:sz w:val="32"/>
          <w:szCs w:val="32"/>
        </w:rPr>
        <w:t>对具有重要带动作用或功能的企业、组织或机构的有关扶持政策，可由南沙开发区金融主管部门或南沙开发区管委会根据具体情况研究确定。</w:t>
      </w:r>
    </w:p>
    <w:p w14:paraId="2C60D10C" w14:textId="77777777" w:rsidR="00857C9C" w:rsidRDefault="00000000">
      <w:pPr>
        <w:spacing w:line="560" w:lineRule="exact"/>
        <w:ind w:firstLineChars="200" w:firstLine="602"/>
        <w:rPr>
          <w:rFonts w:ascii="仿宋_GB2312" w:eastAsia="仿宋_GB2312" w:hAnsi="仿宋_GB2312" w:cs="仿宋_GB2312"/>
          <w:sz w:val="32"/>
          <w:szCs w:val="32"/>
        </w:rPr>
      </w:pPr>
      <w:r>
        <w:rPr>
          <w:rFonts w:ascii="楷体" w:eastAsia="楷体" w:hAnsi="楷体" w:cs="楷体"/>
          <w:b/>
          <w:bCs/>
          <w:color w:val="000000"/>
          <w:kern w:val="0"/>
          <w:sz w:val="30"/>
          <w:szCs w:val="30"/>
          <w:lang w:bidi="ar"/>
        </w:rPr>
        <w:t>第九条</w:t>
      </w:r>
      <w:r>
        <w:rPr>
          <w:rFonts w:ascii="楷体" w:eastAsia="楷体" w:hAnsi="楷体" w:cs="楷体" w:hint="eastAsia"/>
          <w:b/>
          <w:bCs/>
          <w:color w:val="000000"/>
          <w:kern w:val="0"/>
          <w:sz w:val="30"/>
          <w:szCs w:val="30"/>
          <w:lang w:bidi="ar"/>
        </w:rPr>
        <w:t xml:space="preserve"> </w:t>
      </w:r>
      <w:r>
        <w:rPr>
          <w:rFonts w:ascii="仿宋_GB2312" w:eastAsia="仿宋_GB2312" w:hAnsi="仿宋_GB2312" w:cs="仿宋_GB2312" w:hint="eastAsia"/>
          <w:sz w:val="32"/>
          <w:szCs w:val="32"/>
        </w:rPr>
        <w:t>入驻单位承诺入驻期间不得转租、转借、闲置办公用房，并且不得改变该办公用房的原有用途，在享受本政策扶持期满后，10年内不得迁出南沙区、不得擅自注销清算、不改变在南沙区的纳税义务、不减少注册资本，不变更统计关系；若违反承诺，南沙开发区金融主管部门有权单方面终止合作协议，按市场价格追缴租赁期间的租金，并追究入驻单位的相关责任。</w:t>
      </w:r>
    </w:p>
    <w:p w14:paraId="194074DB" w14:textId="77777777" w:rsidR="00857C9C" w:rsidRDefault="00000000">
      <w:pPr>
        <w:spacing w:line="560" w:lineRule="exact"/>
        <w:ind w:firstLineChars="200" w:firstLine="602"/>
        <w:rPr>
          <w:rFonts w:ascii="仿宋_GB2312" w:eastAsia="仿宋_GB2312" w:hAnsi="仿宋_GB2312" w:cs="仿宋_GB2312"/>
          <w:sz w:val="32"/>
          <w:szCs w:val="32"/>
        </w:rPr>
      </w:pPr>
      <w:r>
        <w:rPr>
          <w:rFonts w:ascii="楷体" w:eastAsia="楷体" w:hAnsi="楷体" w:cs="楷体" w:hint="eastAsia"/>
          <w:b/>
          <w:bCs/>
          <w:color w:val="000000"/>
          <w:kern w:val="0"/>
          <w:sz w:val="30"/>
          <w:szCs w:val="30"/>
          <w:lang w:bidi="ar"/>
        </w:rPr>
        <w:t xml:space="preserve">第十条 </w:t>
      </w:r>
      <w:r>
        <w:rPr>
          <w:rFonts w:ascii="仿宋_GB2312" w:eastAsia="仿宋_GB2312" w:hAnsi="仿宋_GB2312" w:cs="仿宋_GB2312" w:hint="eastAsia"/>
          <w:sz w:val="32"/>
          <w:szCs w:val="32"/>
        </w:rPr>
        <w:t>符合本办法规定的同一项目、同一事项，同时符合南沙区其他扶持政策规定(含上级部门要求区配套或承担资金的政策规定),按照就高不重复的原则予以支持，法律法规、政策另有规定的除外。</w:t>
      </w:r>
    </w:p>
    <w:p w14:paraId="58CFB193" w14:textId="77777777" w:rsidR="00857C9C" w:rsidRDefault="00000000">
      <w:pPr>
        <w:spacing w:line="560" w:lineRule="exact"/>
        <w:ind w:firstLineChars="200" w:firstLine="602"/>
        <w:rPr>
          <w:rFonts w:ascii="仿宋_GB2312" w:eastAsia="仿宋_GB2312" w:hAnsi="仿宋_GB2312" w:cs="仿宋_GB2312"/>
          <w:sz w:val="32"/>
          <w:szCs w:val="32"/>
        </w:rPr>
      </w:pPr>
      <w:r>
        <w:rPr>
          <w:rFonts w:ascii="楷体" w:eastAsia="楷体" w:hAnsi="楷体" w:cs="楷体"/>
          <w:b/>
          <w:bCs/>
          <w:color w:val="000000"/>
          <w:kern w:val="0"/>
          <w:sz w:val="30"/>
          <w:szCs w:val="30"/>
          <w:lang w:bidi="ar"/>
        </w:rPr>
        <w:t>第十</w:t>
      </w:r>
      <w:r>
        <w:rPr>
          <w:rFonts w:ascii="楷体" w:eastAsia="楷体" w:hAnsi="楷体" w:cs="楷体" w:hint="eastAsia"/>
          <w:b/>
          <w:bCs/>
          <w:color w:val="000000"/>
          <w:kern w:val="0"/>
          <w:sz w:val="30"/>
          <w:szCs w:val="30"/>
          <w:lang w:bidi="ar"/>
        </w:rPr>
        <w:t>一</w:t>
      </w:r>
      <w:r>
        <w:rPr>
          <w:rFonts w:ascii="楷体" w:eastAsia="楷体" w:hAnsi="楷体" w:cs="楷体"/>
          <w:b/>
          <w:bCs/>
          <w:color w:val="000000"/>
          <w:kern w:val="0"/>
          <w:sz w:val="30"/>
          <w:szCs w:val="30"/>
          <w:lang w:bidi="ar"/>
        </w:rPr>
        <w:t>条</w:t>
      </w:r>
      <w:r>
        <w:rPr>
          <w:rFonts w:ascii="楷体" w:eastAsia="楷体" w:hAnsi="楷体" w:cs="楷体" w:hint="eastAsia"/>
          <w:b/>
          <w:bCs/>
          <w:color w:val="000000"/>
          <w:kern w:val="0"/>
          <w:sz w:val="30"/>
          <w:szCs w:val="30"/>
          <w:lang w:bidi="ar"/>
        </w:rPr>
        <w:t xml:space="preserve"> </w:t>
      </w:r>
      <w:r>
        <w:rPr>
          <w:rFonts w:ascii="仿宋_GB2312" w:eastAsia="仿宋_GB2312" w:hAnsi="仿宋_GB2312" w:cs="仿宋_GB2312" w:hint="eastAsia"/>
          <w:sz w:val="32"/>
          <w:szCs w:val="32"/>
        </w:rPr>
        <w:t>本办法自公布之日起实施，有效期至2025年12月31日。《广州南沙经济技术开发区金融工作局关于印发广州市南沙区明珠金融创新集聚区入驻管理办法的通知》（穗南开金</w:t>
      </w:r>
      <w:r>
        <w:rPr>
          <w:rFonts w:ascii="仿宋_GB2312" w:eastAsia="仿宋_GB2312" w:hAnsi="仿宋_GB2312" w:cs="仿宋_GB2312" w:hint="eastAsia"/>
          <w:sz w:val="32"/>
          <w:szCs w:val="32"/>
        </w:rPr>
        <w:lastRenderedPageBreak/>
        <w:t>融</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字）〔2021〕2号）同步废止。</w:t>
      </w:r>
    </w:p>
    <w:p w14:paraId="32DC4133" w14:textId="77777777" w:rsidR="00857C9C" w:rsidRDefault="00000000">
      <w:pPr>
        <w:spacing w:line="560" w:lineRule="exact"/>
        <w:ind w:firstLineChars="200" w:firstLine="602"/>
        <w:rPr>
          <w:rFonts w:ascii="仿宋_GB2312" w:eastAsia="仿宋_GB2312" w:hAnsi="仿宋_GB2312" w:cs="仿宋_GB2312"/>
          <w:sz w:val="32"/>
          <w:szCs w:val="32"/>
        </w:rPr>
      </w:pPr>
      <w:r>
        <w:rPr>
          <w:rFonts w:ascii="楷体" w:eastAsia="楷体" w:hAnsi="楷体" w:cs="楷体"/>
          <w:b/>
          <w:bCs/>
          <w:color w:val="000000"/>
          <w:kern w:val="0"/>
          <w:sz w:val="30"/>
          <w:szCs w:val="30"/>
          <w:lang w:bidi="ar"/>
        </w:rPr>
        <w:t>第十三条</w:t>
      </w:r>
      <w:r>
        <w:rPr>
          <w:rFonts w:ascii="楷体" w:eastAsia="楷体" w:hAnsi="楷体" w:cs="楷体" w:hint="eastAsia"/>
          <w:b/>
          <w:bCs/>
          <w:color w:val="000000"/>
          <w:kern w:val="0"/>
          <w:sz w:val="30"/>
          <w:szCs w:val="30"/>
          <w:lang w:bidi="ar"/>
        </w:rPr>
        <w:t xml:space="preserve"> </w:t>
      </w:r>
      <w:r>
        <w:rPr>
          <w:rFonts w:ascii="仿宋_GB2312" w:eastAsia="仿宋_GB2312" w:hAnsi="仿宋_GB2312" w:cs="仿宋_GB2312" w:hint="eastAsia"/>
          <w:sz w:val="32"/>
          <w:szCs w:val="32"/>
        </w:rPr>
        <w:t>本办法有效期内如遇法律、法规或省市区相关政策调整变化的，从其规定。</w:t>
      </w:r>
    </w:p>
    <w:p w14:paraId="46BE117A" w14:textId="77777777" w:rsidR="00857C9C" w:rsidRDefault="00857C9C">
      <w:pPr>
        <w:spacing w:line="560" w:lineRule="exact"/>
      </w:pPr>
    </w:p>
    <w:p w14:paraId="04B147E5" w14:textId="77777777" w:rsidR="00857C9C" w:rsidRDefault="00857C9C"/>
    <w:p w14:paraId="201FD61D" w14:textId="77777777" w:rsidR="00857C9C" w:rsidRDefault="00857C9C"/>
    <w:p w14:paraId="0065D9AD" w14:textId="77777777" w:rsidR="00857C9C" w:rsidRDefault="00857C9C"/>
    <w:sectPr w:rsidR="00857C9C">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ans-serif">
    <w:altName w:val="微软雅黑"/>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ExMzQ3NzljYzRhOGM1MTMxYjE0M2JjNzhhM2Y1NzQifQ=="/>
  </w:docVars>
  <w:rsids>
    <w:rsidRoot w:val="614C1525"/>
    <w:rsid w:val="00857C9C"/>
    <w:rsid w:val="00B97D97"/>
    <w:rsid w:val="07922498"/>
    <w:rsid w:val="123E24E6"/>
    <w:rsid w:val="19EB461F"/>
    <w:rsid w:val="1E571F30"/>
    <w:rsid w:val="21821CC3"/>
    <w:rsid w:val="23377209"/>
    <w:rsid w:val="29171F87"/>
    <w:rsid w:val="2B985103"/>
    <w:rsid w:val="33404DE0"/>
    <w:rsid w:val="34F605A6"/>
    <w:rsid w:val="35BC359E"/>
    <w:rsid w:val="39912E1A"/>
    <w:rsid w:val="3FE86FF1"/>
    <w:rsid w:val="41FF0809"/>
    <w:rsid w:val="4AED0B8B"/>
    <w:rsid w:val="4EF25D00"/>
    <w:rsid w:val="4F314F15"/>
    <w:rsid w:val="52BF5F9B"/>
    <w:rsid w:val="56D06A51"/>
    <w:rsid w:val="5A255597"/>
    <w:rsid w:val="60F5158E"/>
    <w:rsid w:val="614C1525"/>
    <w:rsid w:val="66C647FA"/>
    <w:rsid w:val="6E9178AD"/>
    <w:rsid w:val="6FA43B73"/>
    <w:rsid w:val="715E5AF9"/>
    <w:rsid w:val="72BF209F"/>
    <w:rsid w:val="797572B9"/>
    <w:rsid w:val="7F723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30E6D"/>
  <w15:docId w15:val="{1DC4C6C9-568E-458A-A063-DE95E1AE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spacing w:line="416" w:lineRule="auto"/>
      <w:outlineLvl w:val="1"/>
    </w:pPr>
    <w:rPr>
      <w:rFonts w:ascii="Cambria" w:hAnsi="Cambria"/>
      <w:b/>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next w:val="20"/>
    <w:qFormat/>
    <w:pPr>
      <w:spacing w:after="120"/>
    </w:pPr>
    <w:rPr>
      <w:rFonts w:ascii="Calibri" w:hAnsi="Calibri"/>
      <w:szCs w:val="21"/>
    </w:rPr>
  </w:style>
  <w:style w:type="paragraph" w:styleId="20">
    <w:name w:val="Body Text 2"/>
    <w:basedOn w:val="a"/>
    <w:qFormat/>
    <w:pPr>
      <w:spacing w:after="120" w:line="480" w:lineRule="auto"/>
    </w:pPr>
  </w:style>
  <w:style w:type="paragraph" w:styleId="a5">
    <w:name w:val="Revision"/>
    <w:hidden/>
    <w:uiPriority w:val="99"/>
    <w:semiHidden/>
    <w:rsid w:val="00B97D97"/>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390</Words>
  <Characters>2225</Characters>
  <Application>Microsoft Office Word</Application>
  <DocSecurity>0</DocSecurity>
  <Lines>18</Lines>
  <Paragraphs>5</Paragraphs>
  <ScaleCrop>false</ScaleCrop>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佳俊的</dc:creator>
  <cp:lastModifiedBy>黎 剑南</cp:lastModifiedBy>
  <cp:revision>2</cp:revision>
  <cp:lastPrinted>2023-01-06T04:46:00Z</cp:lastPrinted>
  <dcterms:created xsi:type="dcterms:W3CDTF">2022-11-15T07:43:00Z</dcterms:created>
  <dcterms:modified xsi:type="dcterms:W3CDTF">2023-01-12T02:49:00Z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9F39E023D2264A9EB63E48A04FE30090</vt:lpwstr>
  </property>
</Properties>
</file>