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DE7" w:rsidRDefault="00BB0DE7" w:rsidP="00BB0DE7">
      <w:pPr>
        <w:pStyle w:val="New"/>
        <w:spacing w:line="600" w:lineRule="exact"/>
        <w:ind w:right="640"/>
        <w:jc w:val="center"/>
        <w:rPr>
          <w:rFonts w:ascii="方正小标宋简体" w:eastAsia="方正小标宋简体" w:hAnsi="方正小标宋简体" w:cs="方正小标宋简体"/>
          <w:sz w:val="44"/>
          <w:szCs w:val="44"/>
        </w:rPr>
      </w:pPr>
      <w:bookmarkStart w:id="0" w:name="_GoBack"/>
      <w:r>
        <w:rPr>
          <w:rFonts w:ascii="方正小标宋简体" w:eastAsia="方正小标宋简体" w:hAnsi="方正小标宋简体" w:cs="方正小标宋简体" w:hint="eastAsia"/>
          <w:sz w:val="44"/>
          <w:szCs w:val="44"/>
        </w:rPr>
        <w:t>规范性文件清理意见表（拟保留）</w:t>
      </w:r>
      <w:bookmarkEnd w:id="0"/>
    </w:p>
    <w:p w:rsidR="00BB0DE7" w:rsidRDefault="00BB0DE7" w:rsidP="00BB0DE7">
      <w:pPr>
        <w:pStyle w:val="New"/>
        <w:spacing w:line="600" w:lineRule="exact"/>
        <w:ind w:right="640"/>
        <w:jc w:val="center"/>
        <w:rPr>
          <w:rFonts w:ascii="仿宋_GB2312" w:eastAsia="仿宋_GB2312" w:hAnsi="宋体"/>
          <w:sz w:val="44"/>
          <w:szCs w:val="44"/>
        </w:rPr>
      </w:pPr>
    </w:p>
    <w:p w:rsidR="00BB0DE7" w:rsidRDefault="00BB0DE7" w:rsidP="00BB0DE7">
      <w:pPr>
        <w:pStyle w:val="New"/>
        <w:spacing w:afterLines="50" w:after="156" w:line="600" w:lineRule="exact"/>
        <w:ind w:right="640"/>
        <w:jc w:val="left"/>
        <w:rPr>
          <w:rFonts w:ascii="仿宋_GB2312" w:eastAsia="仿宋_GB2312" w:hAnsi="宋体"/>
          <w:sz w:val="32"/>
          <w:szCs w:val="32"/>
        </w:rPr>
      </w:pPr>
      <w:r>
        <w:rPr>
          <w:rFonts w:ascii="仿宋_GB2312" w:eastAsia="仿宋_GB2312" w:hAnsi="宋体" w:hint="eastAsia"/>
          <w:sz w:val="32"/>
          <w:szCs w:val="32"/>
        </w:rPr>
        <w:t>填写单位：区</w:t>
      </w:r>
      <w:proofErr w:type="gramStart"/>
      <w:r>
        <w:rPr>
          <w:rFonts w:ascii="仿宋_GB2312" w:eastAsia="仿宋_GB2312" w:hAnsi="宋体" w:hint="eastAsia"/>
          <w:sz w:val="32"/>
          <w:szCs w:val="32"/>
        </w:rPr>
        <w:t>人社局</w:t>
      </w:r>
      <w:proofErr w:type="gramEnd"/>
    </w:p>
    <w:tbl>
      <w:tblPr>
        <w:tblStyle w:val="a3"/>
        <w:tblW w:w="8522" w:type="dxa"/>
        <w:jc w:val="center"/>
        <w:tblLayout w:type="fixed"/>
        <w:tblLook w:val="04A0" w:firstRow="1" w:lastRow="0" w:firstColumn="1" w:lastColumn="0" w:noHBand="0" w:noVBand="1"/>
      </w:tblPr>
      <w:tblGrid>
        <w:gridCol w:w="976"/>
        <w:gridCol w:w="1940"/>
        <w:gridCol w:w="1952"/>
        <w:gridCol w:w="3654"/>
      </w:tblGrid>
      <w:tr w:rsidR="00BB0DE7" w:rsidTr="00345BB2">
        <w:trPr>
          <w:trHeight w:val="86"/>
          <w:jc w:val="center"/>
        </w:trPr>
        <w:tc>
          <w:tcPr>
            <w:tcW w:w="976" w:type="dxa"/>
          </w:tcPr>
          <w:p w:rsidR="00BB0DE7" w:rsidRDefault="00BB0DE7" w:rsidP="00345BB2">
            <w:pPr>
              <w:pStyle w:val="New"/>
              <w:spacing w:line="600" w:lineRule="exact"/>
              <w:ind w:right="96"/>
              <w:jc w:val="center"/>
              <w:rPr>
                <w:rFonts w:ascii="仿宋_GB2312" w:eastAsia="仿宋_GB2312" w:hAnsi="宋体"/>
                <w:sz w:val="24"/>
              </w:rPr>
            </w:pPr>
            <w:r>
              <w:rPr>
                <w:rFonts w:ascii="仿宋_GB2312" w:eastAsia="仿宋_GB2312" w:hAnsi="宋体" w:hint="eastAsia"/>
                <w:sz w:val="24"/>
              </w:rPr>
              <w:t>序号</w:t>
            </w:r>
          </w:p>
        </w:tc>
        <w:tc>
          <w:tcPr>
            <w:tcW w:w="1940" w:type="dxa"/>
          </w:tcPr>
          <w:p w:rsidR="00BB0DE7" w:rsidRDefault="00BB0DE7" w:rsidP="00345BB2">
            <w:pPr>
              <w:pStyle w:val="New"/>
              <w:spacing w:line="600" w:lineRule="exact"/>
              <w:ind w:right="24"/>
              <w:jc w:val="center"/>
              <w:rPr>
                <w:rFonts w:ascii="仿宋_GB2312" w:eastAsia="仿宋_GB2312" w:hAnsi="宋体"/>
                <w:sz w:val="24"/>
              </w:rPr>
            </w:pPr>
            <w:r>
              <w:rPr>
                <w:rFonts w:ascii="仿宋_GB2312" w:eastAsia="仿宋_GB2312" w:hAnsi="宋体" w:hint="eastAsia"/>
                <w:sz w:val="24"/>
              </w:rPr>
              <w:t>文件名称</w:t>
            </w:r>
          </w:p>
        </w:tc>
        <w:tc>
          <w:tcPr>
            <w:tcW w:w="1952" w:type="dxa"/>
          </w:tcPr>
          <w:p w:rsidR="00BB0DE7" w:rsidRDefault="00BB0DE7" w:rsidP="00345BB2">
            <w:pPr>
              <w:pStyle w:val="New"/>
              <w:spacing w:line="600" w:lineRule="exact"/>
              <w:ind w:right="-6"/>
              <w:jc w:val="center"/>
              <w:rPr>
                <w:rFonts w:ascii="仿宋_GB2312" w:eastAsia="仿宋_GB2312" w:hAnsi="宋体"/>
                <w:sz w:val="24"/>
              </w:rPr>
            </w:pPr>
            <w:r>
              <w:rPr>
                <w:rFonts w:ascii="仿宋_GB2312" w:eastAsia="仿宋_GB2312" w:hAnsi="宋体" w:hint="eastAsia"/>
                <w:sz w:val="24"/>
              </w:rPr>
              <w:t>文号</w:t>
            </w:r>
          </w:p>
        </w:tc>
        <w:tc>
          <w:tcPr>
            <w:tcW w:w="3654" w:type="dxa"/>
          </w:tcPr>
          <w:p w:rsidR="00BB0DE7" w:rsidRDefault="00BB0DE7" w:rsidP="00345BB2">
            <w:pPr>
              <w:pStyle w:val="New"/>
              <w:spacing w:line="600" w:lineRule="exact"/>
              <w:ind w:right="148"/>
              <w:jc w:val="center"/>
              <w:rPr>
                <w:rFonts w:ascii="仿宋_GB2312" w:eastAsia="仿宋_GB2312" w:hAnsi="宋体"/>
                <w:sz w:val="24"/>
              </w:rPr>
            </w:pPr>
            <w:r>
              <w:rPr>
                <w:rFonts w:ascii="仿宋_GB2312" w:eastAsia="仿宋_GB2312" w:hAnsi="宋体" w:hint="eastAsia"/>
                <w:sz w:val="24"/>
              </w:rPr>
              <w:t>保留的依据和理由</w:t>
            </w:r>
          </w:p>
        </w:tc>
      </w:tr>
      <w:tr w:rsidR="00BB0DE7" w:rsidTr="00345BB2">
        <w:trPr>
          <w:trHeight w:val="1826"/>
          <w:jc w:val="center"/>
        </w:trPr>
        <w:tc>
          <w:tcPr>
            <w:tcW w:w="976" w:type="dxa"/>
          </w:tcPr>
          <w:p w:rsidR="00BB0DE7" w:rsidRDefault="00BB0DE7" w:rsidP="00345BB2">
            <w:pPr>
              <w:pStyle w:val="New"/>
              <w:spacing w:before="100" w:beforeAutospacing="1" w:after="100" w:afterAutospacing="1" w:line="360" w:lineRule="atLeast"/>
              <w:jc w:val="center"/>
              <w:rPr>
                <w:rFonts w:ascii="仿宋_GB2312" w:eastAsia="仿宋_GB2312" w:hAnsi="宋体"/>
                <w:sz w:val="24"/>
              </w:rPr>
            </w:pPr>
            <w:r>
              <w:rPr>
                <w:rFonts w:ascii="仿宋_GB2312" w:eastAsia="仿宋_GB2312" w:hAnsi="宋体" w:hint="eastAsia"/>
                <w:sz w:val="24"/>
              </w:rPr>
              <w:t>1</w:t>
            </w:r>
          </w:p>
        </w:tc>
        <w:tc>
          <w:tcPr>
            <w:tcW w:w="1940" w:type="dxa"/>
          </w:tcPr>
          <w:p w:rsidR="00BB0DE7" w:rsidRDefault="00BB0DE7" w:rsidP="00345BB2">
            <w:pPr>
              <w:pStyle w:val="New"/>
              <w:spacing w:before="100" w:beforeAutospacing="1" w:after="100" w:afterAutospacing="1" w:line="360" w:lineRule="atLeast"/>
              <w:rPr>
                <w:rFonts w:ascii="仿宋_GB2312" w:eastAsia="仿宋_GB2312" w:hAnsi="宋体"/>
                <w:sz w:val="24"/>
              </w:rPr>
            </w:pPr>
            <w:r>
              <w:rPr>
                <w:rFonts w:ascii="仿宋_GB2312" w:eastAsia="仿宋_GB2312" w:hAnsi="宋体" w:hint="eastAsia"/>
                <w:sz w:val="24"/>
              </w:rPr>
              <w:t>关于印发《广州市南沙区促进就业创业补贴办法》的通知</w:t>
            </w:r>
          </w:p>
        </w:tc>
        <w:tc>
          <w:tcPr>
            <w:tcW w:w="1952" w:type="dxa"/>
          </w:tcPr>
          <w:p w:rsidR="00BB0DE7" w:rsidRDefault="00BB0DE7" w:rsidP="00345BB2">
            <w:pPr>
              <w:pStyle w:val="New"/>
              <w:spacing w:before="100" w:beforeAutospacing="1" w:after="100" w:afterAutospacing="1" w:line="360" w:lineRule="atLeast"/>
              <w:rPr>
                <w:rFonts w:ascii="仿宋_GB2312" w:eastAsia="仿宋_GB2312" w:hAnsi="宋体"/>
                <w:sz w:val="24"/>
              </w:rPr>
            </w:pPr>
            <w:r>
              <w:rPr>
                <w:rFonts w:ascii="仿宋_GB2312" w:eastAsia="仿宋_GB2312" w:hAnsi="宋体" w:hint="eastAsia"/>
                <w:sz w:val="24"/>
              </w:rPr>
              <w:t>穗南人社〔2016〕212号</w:t>
            </w:r>
          </w:p>
        </w:tc>
        <w:tc>
          <w:tcPr>
            <w:tcW w:w="3654" w:type="dxa"/>
          </w:tcPr>
          <w:p w:rsidR="00BB0DE7" w:rsidRDefault="00BB0DE7" w:rsidP="00345BB2">
            <w:pPr>
              <w:pStyle w:val="New"/>
              <w:spacing w:before="100" w:beforeAutospacing="1" w:after="100" w:afterAutospacing="1" w:line="360" w:lineRule="atLeast"/>
              <w:rPr>
                <w:rFonts w:ascii="仿宋_GB2312" w:eastAsia="仿宋_GB2312" w:hAnsi="宋体"/>
                <w:sz w:val="24"/>
              </w:rPr>
            </w:pPr>
            <w:r>
              <w:rPr>
                <w:rFonts w:ascii="仿宋_GB2312" w:eastAsia="仿宋_GB2312" w:hAnsi="宋体" w:hint="eastAsia"/>
                <w:sz w:val="24"/>
              </w:rPr>
              <w:t xml:space="preserve">  根据《中华人民共和国就业促进法》的规定，实行有利于促进就业的财政政策，加大资金投入，改善就业环境，扩大就业。</w:t>
            </w:r>
          </w:p>
        </w:tc>
      </w:tr>
      <w:tr w:rsidR="00BB0DE7" w:rsidTr="00345BB2">
        <w:trPr>
          <w:trHeight w:val="86"/>
          <w:jc w:val="center"/>
        </w:trPr>
        <w:tc>
          <w:tcPr>
            <w:tcW w:w="976" w:type="dxa"/>
          </w:tcPr>
          <w:p w:rsidR="00BB0DE7" w:rsidRDefault="00BB0DE7" w:rsidP="00345BB2">
            <w:pPr>
              <w:pStyle w:val="New"/>
              <w:spacing w:line="360" w:lineRule="atLeast"/>
              <w:jc w:val="center"/>
              <w:rPr>
                <w:rFonts w:ascii="仿宋_GB2312" w:eastAsia="仿宋_GB2312" w:hAnsi="宋体"/>
                <w:sz w:val="24"/>
              </w:rPr>
            </w:pPr>
            <w:r>
              <w:rPr>
                <w:rFonts w:ascii="仿宋_GB2312" w:eastAsia="仿宋_GB2312" w:hAnsi="宋体" w:hint="eastAsia"/>
                <w:sz w:val="24"/>
              </w:rPr>
              <w:t>2</w:t>
            </w:r>
          </w:p>
        </w:tc>
        <w:tc>
          <w:tcPr>
            <w:tcW w:w="1940" w:type="dxa"/>
          </w:tcPr>
          <w:p w:rsidR="00BB0DE7" w:rsidRDefault="00BB0DE7" w:rsidP="00345BB2">
            <w:pPr>
              <w:pStyle w:val="New"/>
              <w:spacing w:line="360" w:lineRule="atLeast"/>
              <w:rPr>
                <w:rFonts w:ascii="仿宋_GB2312" w:eastAsia="仿宋_GB2312" w:hAnsi="宋体"/>
                <w:sz w:val="24"/>
              </w:rPr>
            </w:pPr>
            <w:r>
              <w:rPr>
                <w:rFonts w:ascii="仿宋_GB2312" w:eastAsia="仿宋_GB2312" w:hAnsi="宋体" w:hint="eastAsia"/>
                <w:sz w:val="24"/>
              </w:rPr>
              <w:t>关于进一步做好劳动力技能晋升培训补贴工作的通知</w:t>
            </w:r>
          </w:p>
        </w:tc>
        <w:tc>
          <w:tcPr>
            <w:tcW w:w="1952" w:type="dxa"/>
          </w:tcPr>
          <w:p w:rsidR="00BB0DE7" w:rsidRDefault="00BB0DE7" w:rsidP="00345BB2">
            <w:pPr>
              <w:pStyle w:val="New"/>
              <w:spacing w:line="360" w:lineRule="atLeast"/>
              <w:rPr>
                <w:rFonts w:ascii="仿宋_GB2312" w:eastAsia="仿宋_GB2312" w:hAnsi="宋体"/>
                <w:sz w:val="24"/>
              </w:rPr>
            </w:pPr>
            <w:r>
              <w:rPr>
                <w:rFonts w:ascii="仿宋_GB2312" w:eastAsia="仿宋_GB2312" w:hAnsi="宋体" w:hint="eastAsia"/>
                <w:sz w:val="24"/>
              </w:rPr>
              <w:t>穗南人社〔2014〕114号</w:t>
            </w:r>
          </w:p>
        </w:tc>
        <w:tc>
          <w:tcPr>
            <w:tcW w:w="3654" w:type="dxa"/>
          </w:tcPr>
          <w:p w:rsidR="00BB0DE7" w:rsidRDefault="00BB0DE7" w:rsidP="00345BB2">
            <w:pPr>
              <w:pStyle w:val="New"/>
              <w:spacing w:line="360" w:lineRule="atLeast"/>
              <w:rPr>
                <w:rFonts w:ascii="仿宋_GB2312" w:eastAsia="仿宋_GB2312" w:hAnsi="宋体"/>
                <w:sz w:val="24"/>
              </w:rPr>
            </w:pPr>
            <w:r>
              <w:rPr>
                <w:rFonts w:ascii="仿宋_GB2312" w:eastAsia="仿宋_GB2312" w:hAnsi="宋体" w:hint="eastAsia"/>
                <w:sz w:val="24"/>
              </w:rPr>
              <w:t>根据《关于印发&lt;广东省省级劳动力培训转移就业专项资金管理办法&gt;的通知》（</w:t>
            </w:r>
            <w:proofErr w:type="gramStart"/>
            <w:r>
              <w:rPr>
                <w:rFonts w:ascii="仿宋_GB2312" w:eastAsia="仿宋_GB2312" w:hAnsi="宋体" w:hint="eastAsia"/>
                <w:sz w:val="24"/>
              </w:rPr>
              <w:t>穗财社</w:t>
            </w:r>
            <w:proofErr w:type="gramEnd"/>
            <w:r>
              <w:rPr>
                <w:rFonts w:ascii="仿宋_GB2312" w:eastAsia="仿宋_GB2312" w:hAnsi="宋体" w:hint="eastAsia"/>
                <w:sz w:val="24"/>
              </w:rPr>
              <w:t>〔2014〕128号）、《广州市财政局 市人社局关于进一步做好省级劳动力培训转移就业专项资金管理的通知》（</w:t>
            </w:r>
            <w:proofErr w:type="gramStart"/>
            <w:r>
              <w:rPr>
                <w:rFonts w:ascii="仿宋_GB2312" w:eastAsia="仿宋_GB2312" w:hAnsi="宋体" w:hint="eastAsia"/>
                <w:sz w:val="24"/>
              </w:rPr>
              <w:t>穗财社</w:t>
            </w:r>
            <w:proofErr w:type="gramEnd"/>
            <w:r>
              <w:rPr>
                <w:rFonts w:ascii="仿宋_GB2312" w:eastAsia="仿宋_GB2312" w:hAnsi="宋体" w:hint="eastAsia"/>
                <w:sz w:val="24"/>
              </w:rPr>
              <w:t>〔2014〕79号）</w:t>
            </w:r>
          </w:p>
        </w:tc>
      </w:tr>
      <w:tr w:rsidR="00BB0DE7" w:rsidTr="00345BB2">
        <w:trPr>
          <w:trHeight w:val="86"/>
          <w:jc w:val="center"/>
        </w:trPr>
        <w:tc>
          <w:tcPr>
            <w:tcW w:w="976" w:type="dxa"/>
          </w:tcPr>
          <w:p w:rsidR="00BB0DE7" w:rsidRDefault="00BB0DE7" w:rsidP="00345BB2">
            <w:pPr>
              <w:pStyle w:val="New"/>
              <w:spacing w:line="360" w:lineRule="atLeast"/>
              <w:jc w:val="center"/>
              <w:rPr>
                <w:rFonts w:ascii="仿宋_GB2312" w:eastAsia="仿宋_GB2312" w:hAnsi="宋体"/>
                <w:sz w:val="24"/>
              </w:rPr>
            </w:pPr>
            <w:r>
              <w:rPr>
                <w:rFonts w:ascii="仿宋_GB2312" w:eastAsia="仿宋_GB2312" w:hAnsi="宋体" w:hint="eastAsia"/>
                <w:sz w:val="24"/>
              </w:rPr>
              <w:t>3</w:t>
            </w:r>
          </w:p>
        </w:tc>
        <w:tc>
          <w:tcPr>
            <w:tcW w:w="1940" w:type="dxa"/>
          </w:tcPr>
          <w:p w:rsidR="00BB0DE7" w:rsidRDefault="00BB0DE7" w:rsidP="00345BB2">
            <w:pPr>
              <w:pStyle w:val="New"/>
              <w:spacing w:line="360" w:lineRule="atLeast"/>
              <w:rPr>
                <w:rFonts w:ascii="仿宋_GB2312" w:eastAsia="仿宋_GB2312" w:hAnsi="宋体"/>
                <w:sz w:val="24"/>
              </w:rPr>
            </w:pPr>
            <w:r>
              <w:rPr>
                <w:rFonts w:ascii="仿宋_GB2312" w:eastAsia="仿宋_GB2312" w:hAnsi="宋体" w:hint="eastAsia"/>
                <w:sz w:val="24"/>
              </w:rPr>
              <w:t>关于进一步明确劳动力技能晋升培训协议签订及补贴申报有关事项的通知</w:t>
            </w:r>
          </w:p>
        </w:tc>
        <w:tc>
          <w:tcPr>
            <w:tcW w:w="1952" w:type="dxa"/>
          </w:tcPr>
          <w:p w:rsidR="00BB0DE7" w:rsidRDefault="00BB0DE7" w:rsidP="00345BB2">
            <w:pPr>
              <w:pStyle w:val="New"/>
              <w:spacing w:line="360" w:lineRule="atLeast"/>
              <w:rPr>
                <w:rFonts w:ascii="仿宋_GB2312" w:eastAsia="仿宋_GB2312" w:hAnsi="宋体"/>
                <w:sz w:val="24"/>
              </w:rPr>
            </w:pPr>
            <w:r>
              <w:rPr>
                <w:rFonts w:ascii="仿宋_GB2312" w:eastAsia="仿宋_GB2312" w:hAnsi="宋体" w:hint="eastAsia"/>
                <w:sz w:val="24"/>
              </w:rPr>
              <w:t>穗南人社〔2015〕145号</w:t>
            </w:r>
          </w:p>
        </w:tc>
        <w:tc>
          <w:tcPr>
            <w:tcW w:w="3654" w:type="dxa"/>
          </w:tcPr>
          <w:p w:rsidR="00BB0DE7" w:rsidRDefault="00BB0DE7" w:rsidP="00345BB2">
            <w:pPr>
              <w:pStyle w:val="New"/>
              <w:spacing w:line="360" w:lineRule="atLeast"/>
              <w:rPr>
                <w:rFonts w:ascii="仿宋_GB2312" w:eastAsia="仿宋_GB2312" w:hAnsi="宋体"/>
                <w:sz w:val="24"/>
              </w:rPr>
            </w:pPr>
            <w:r>
              <w:rPr>
                <w:rFonts w:ascii="仿宋_GB2312" w:eastAsia="仿宋_GB2312" w:hAnsi="宋体" w:hint="eastAsia"/>
                <w:sz w:val="24"/>
              </w:rPr>
              <w:t>根据《关于印发&lt;广东省省级劳动力培训转移就业专项资金管理办法&gt;的通知》（</w:t>
            </w:r>
            <w:proofErr w:type="gramStart"/>
            <w:r>
              <w:rPr>
                <w:rFonts w:ascii="仿宋_GB2312" w:eastAsia="仿宋_GB2312" w:hAnsi="宋体" w:hint="eastAsia"/>
                <w:sz w:val="24"/>
              </w:rPr>
              <w:t>穗财社</w:t>
            </w:r>
            <w:proofErr w:type="gramEnd"/>
            <w:r>
              <w:rPr>
                <w:rFonts w:ascii="仿宋_GB2312" w:eastAsia="仿宋_GB2312" w:hAnsi="宋体" w:hint="eastAsia"/>
                <w:sz w:val="24"/>
              </w:rPr>
              <w:t>〔2014〕128号）、《广州市财政局 市人社局关于进一步做好省级劳动力培训转移就业专项资金管理的通知》（</w:t>
            </w:r>
            <w:proofErr w:type="gramStart"/>
            <w:r>
              <w:rPr>
                <w:rFonts w:ascii="仿宋_GB2312" w:eastAsia="仿宋_GB2312" w:hAnsi="宋体" w:hint="eastAsia"/>
                <w:sz w:val="24"/>
              </w:rPr>
              <w:t>穗财社</w:t>
            </w:r>
            <w:proofErr w:type="gramEnd"/>
            <w:r>
              <w:rPr>
                <w:rFonts w:ascii="仿宋_GB2312" w:eastAsia="仿宋_GB2312" w:hAnsi="宋体" w:hint="eastAsia"/>
                <w:sz w:val="24"/>
              </w:rPr>
              <w:t>〔2014〕79号）</w:t>
            </w:r>
          </w:p>
        </w:tc>
      </w:tr>
      <w:tr w:rsidR="00BB0DE7" w:rsidTr="00345BB2">
        <w:trPr>
          <w:trHeight w:val="86"/>
          <w:jc w:val="center"/>
        </w:trPr>
        <w:tc>
          <w:tcPr>
            <w:tcW w:w="976" w:type="dxa"/>
          </w:tcPr>
          <w:p w:rsidR="00BB0DE7" w:rsidRDefault="00BB0DE7" w:rsidP="00345BB2">
            <w:pPr>
              <w:pStyle w:val="New"/>
              <w:spacing w:line="360" w:lineRule="atLeast"/>
              <w:jc w:val="center"/>
              <w:rPr>
                <w:rFonts w:ascii="仿宋_GB2312" w:eastAsia="仿宋_GB2312" w:hAnsi="宋体"/>
                <w:sz w:val="24"/>
              </w:rPr>
            </w:pPr>
            <w:r>
              <w:rPr>
                <w:rFonts w:ascii="仿宋_GB2312" w:eastAsia="仿宋_GB2312" w:hAnsi="宋体" w:hint="eastAsia"/>
                <w:sz w:val="24"/>
              </w:rPr>
              <w:t>4</w:t>
            </w:r>
          </w:p>
        </w:tc>
        <w:tc>
          <w:tcPr>
            <w:tcW w:w="1940" w:type="dxa"/>
          </w:tcPr>
          <w:p w:rsidR="00BB0DE7" w:rsidRDefault="00BB0DE7" w:rsidP="00345BB2">
            <w:pPr>
              <w:pStyle w:val="New"/>
              <w:spacing w:line="360" w:lineRule="atLeast"/>
              <w:jc w:val="left"/>
              <w:rPr>
                <w:rFonts w:ascii="仿宋_GB2312" w:eastAsia="仿宋_GB2312" w:hAnsi="宋体"/>
                <w:sz w:val="24"/>
              </w:rPr>
            </w:pPr>
            <w:r>
              <w:rPr>
                <w:rFonts w:ascii="仿宋_GB2312" w:eastAsia="仿宋_GB2312" w:hAnsi="宋体" w:hint="eastAsia"/>
                <w:sz w:val="24"/>
              </w:rPr>
              <w:t>关于印发《南沙区被征地农民养老保障审核办理程序》的通知</w:t>
            </w:r>
          </w:p>
        </w:tc>
        <w:tc>
          <w:tcPr>
            <w:tcW w:w="1952" w:type="dxa"/>
          </w:tcPr>
          <w:p w:rsidR="00BB0DE7" w:rsidRDefault="00BB0DE7" w:rsidP="00345BB2">
            <w:pPr>
              <w:pStyle w:val="New"/>
              <w:spacing w:line="360" w:lineRule="atLeast"/>
              <w:jc w:val="left"/>
              <w:rPr>
                <w:rFonts w:ascii="仿宋_GB2312" w:eastAsia="仿宋_GB2312" w:hAnsi="宋体"/>
                <w:sz w:val="24"/>
              </w:rPr>
            </w:pPr>
            <w:r>
              <w:rPr>
                <w:rFonts w:ascii="仿宋_GB2312" w:eastAsia="仿宋_GB2312" w:hAnsi="宋体" w:hint="eastAsia"/>
                <w:sz w:val="24"/>
              </w:rPr>
              <w:t>穗南人社〔2015〕194号</w:t>
            </w:r>
          </w:p>
        </w:tc>
        <w:tc>
          <w:tcPr>
            <w:tcW w:w="3654" w:type="dxa"/>
          </w:tcPr>
          <w:p w:rsidR="00BB0DE7" w:rsidRDefault="00BB0DE7" w:rsidP="00345BB2">
            <w:pPr>
              <w:pStyle w:val="New"/>
              <w:spacing w:line="360" w:lineRule="atLeast"/>
              <w:jc w:val="left"/>
              <w:rPr>
                <w:rFonts w:ascii="仿宋_GB2312" w:eastAsia="仿宋_GB2312" w:hAnsi="宋体"/>
                <w:sz w:val="24"/>
              </w:rPr>
            </w:pPr>
            <w:r>
              <w:rPr>
                <w:rFonts w:ascii="仿宋_GB2312" w:eastAsia="仿宋_GB2312" w:hAnsi="宋体" w:hint="eastAsia"/>
                <w:sz w:val="24"/>
              </w:rPr>
              <w:t>根据《转发省人力资源社会保障厅关于进一步做好我省被征地农民养老保障工作意见的通知》（粤府办［2010］41号）的规定，做好我区被征地农民养老保险审核工作，规范办事程序。</w:t>
            </w:r>
          </w:p>
        </w:tc>
      </w:tr>
    </w:tbl>
    <w:p w:rsidR="00BB0DE7" w:rsidRDefault="00BB0DE7" w:rsidP="00BB0DE7">
      <w:pPr>
        <w:pStyle w:val="New"/>
        <w:spacing w:line="560" w:lineRule="exact"/>
        <w:ind w:right="641"/>
        <w:rPr>
          <w:rFonts w:ascii="仿宋_GB2312" w:eastAsia="仿宋_GB2312" w:hAnsi="宋体"/>
          <w:sz w:val="28"/>
          <w:szCs w:val="28"/>
        </w:rPr>
      </w:pPr>
      <w:r>
        <w:rPr>
          <w:rFonts w:ascii="仿宋_GB2312" w:eastAsia="仿宋_GB2312" w:hAnsi="宋体" w:hint="eastAsia"/>
          <w:sz w:val="28"/>
          <w:szCs w:val="28"/>
        </w:rPr>
        <w:t>文件查阅途径：</w:t>
      </w:r>
    </w:p>
    <w:p w:rsidR="00D83D74" w:rsidRDefault="00BB0DE7" w:rsidP="00BB0DE7">
      <w:r>
        <w:rPr>
          <w:rFonts w:ascii="仿宋_GB2312" w:eastAsia="仿宋_GB2312" w:hAnsi="宋体" w:hint="eastAsia"/>
          <w:sz w:val="28"/>
          <w:szCs w:val="28"/>
        </w:rPr>
        <w:t>表格序号1号至4号（清理意见表）文件，可登陆广州市南沙区人力资源和社会保障局门户网站（</w:t>
      </w:r>
      <w:r>
        <w:rPr>
          <w:rFonts w:ascii="仿宋_GB2312" w:eastAsia="仿宋_GB2312" w:hAnsi="宋体"/>
          <w:sz w:val="28"/>
          <w:szCs w:val="28"/>
        </w:rPr>
        <w:t>http://www.nsrs.gov.cn/</w:t>
      </w:r>
      <w:r>
        <w:rPr>
          <w:rFonts w:ascii="仿宋_GB2312" w:eastAsia="仿宋_GB2312" w:hAnsi="宋体" w:hint="eastAsia"/>
          <w:sz w:val="28"/>
          <w:szCs w:val="28"/>
        </w:rPr>
        <w:t>）查阅全文</w:t>
      </w:r>
    </w:p>
    <w:sectPr w:rsidR="00D83D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DE7"/>
    <w:rsid w:val="00BB0DE7"/>
    <w:rsid w:val="00D83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DE7"/>
    <w:pPr>
      <w:widowControl w:val="0"/>
      <w:jc w:val="both"/>
    </w:pPr>
    <w:rPr>
      <w:rFonts w:eastAsia="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BB0DE7"/>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
    <w:name w:val="正文 New"/>
    <w:qFormat/>
    <w:rsid w:val="00BB0DE7"/>
    <w:pPr>
      <w:widowControl w:val="0"/>
      <w:jc w:val="both"/>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DE7"/>
    <w:pPr>
      <w:widowControl w:val="0"/>
      <w:jc w:val="both"/>
    </w:pPr>
    <w:rPr>
      <w:rFonts w:eastAsia="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BB0DE7"/>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
    <w:name w:val="正文 New"/>
    <w:qFormat/>
    <w:rsid w:val="00BB0DE7"/>
    <w:pPr>
      <w:widowControl w:val="0"/>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566</Characters>
  <Application>Microsoft Office Word</Application>
  <DocSecurity>0</DocSecurity>
  <Lines>4</Lines>
  <Paragraphs>1</Paragraphs>
  <ScaleCrop>false</ScaleCrop>
  <Company>China</Company>
  <LinksUpToDate>false</LinksUpToDate>
  <CharactersWithSpaces>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2017-08-09T08:58:00Z</dcterms:created>
  <dcterms:modified xsi:type="dcterms:W3CDTF">2017-08-09T08:59:00Z</dcterms:modified>
</cp:coreProperties>
</file>