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5FEF2">
      <w:pPr>
        <w:autoSpaceDE w:val="0"/>
        <w:autoSpaceDN w:val="0"/>
        <w:adjustRightInd w:val="0"/>
        <w:spacing w:line="360" w:lineRule="auto"/>
        <w:jc w:val="center"/>
        <w:rPr>
          <w:rFonts w:hint="eastAsia" w:ascii="宋体" w:hAnsi="宋体" w:eastAsia="宋体" w:cs="宋体"/>
          <w:b/>
          <w:color w:val="auto"/>
          <w:kern w:val="0"/>
          <w:sz w:val="52"/>
          <w:szCs w:val="52"/>
          <w:lang w:eastAsia="zh-CN"/>
        </w:rPr>
      </w:pPr>
      <w:bookmarkStart w:id="0" w:name="_Toc37051832"/>
      <w:r>
        <w:rPr>
          <w:rFonts w:hint="eastAsia" w:ascii="宋体" w:hAnsi="宋体" w:cs="宋体"/>
          <w:b/>
          <w:color w:val="auto"/>
          <w:kern w:val="0"/>
          <w:sz w:val="52"/>
          <w:szCs w:val="52"/>
          <w:lang w:eastAsia="zh-CN"/>
        </w:rPr>
        <w:t>2024年广州市南沙政务服务公众考核满意度调查项目</w:t>
      </w:r>
    </w:p>
    <w:p w14:paraId="688CDA12">
      <w:pPr>
        <w:autoSpaceDE w:val="0"/>
        <w:autoSpaceDN w:val="0"/>
        <w:adjustRightInd w:val="0"/>
        <w:spacing w:line="360" w:lineRule="auto"/>
        <w:jc w:val="center"/>
        <w:rPr>
          <w:rFonts w:hint="eastAsia" w:ascii="宋体" w:hAnsi="宋体" w:eastAsia="宋体" w:cs="宋体"/>
          <w:b/>
          <w:color w:val="auto"/>
          <w:kern w:val="0"/>
          <w:sz w:val="52"/>
          <w:szCs w:val="52"/>
          <w:lang w:eastAsia="zh-CN"/>
        </w:rPr>
      </w:pPr>
      <w:r>
        <w:rPr>
          <w:rFonts w:ascii="宋体" w:hAnsi="宋体" w:cs="宋体"/>
          <w:b/>
          <w:color w:val="auto"/>
          <w:kern w:val="0"/>
          <w:sz w:val="52"/>
          <w:szCs w:val="52"/>
        </w:rPr>
        <w:t>项目编号：</w:t>
      </w:r>
      <w:r>
        <w:rPr>
          <w:rFonts w:hint="eastAsia" w:ascii="宋体" w:hAnsi="宋体" w:cs="宋体"/>
          <w:b/>
          <w:color w:val="auto"/>
          <w:kern w:val="0"/>
          <w:sz w:val="52"/>
          <w:szCs w:val="52"/>
          <w:lang w:eastAsia="zh-CN"/>
        </w:rPr>
        <w:t>GDWCFFC2312121</w:t>
      </w:r>
    </w:p>
    <w:p w14:paraId="447E5AC9">
      <w:pPr>
        <w:rPr>
          <w:color w:val="auto"/>
          <w:szCs w:val="21"/>
        </w:rPr>
      </w:pPr>
    </w:p>
    <w:p w14:paraId="1562D5C9">
      <w:pPr>
        <w:rPr>
          <w:color w:val="auto"/>
          <w:szCs w:val="21"/>
        </w:rPr>
      </w:pPr>
    </w:p>
    <w:p w14:paraId="167D48A9">
      <w:pPr>
        <w:autoSpaceDE w:val="0"/>
        <w:autoSpaceDN w:val="0"/>
        <w:adjustRightInd w:val="0"/>
        <w:spacing w:line="360" w:lineRule="auto"/>
        <w:jc w:val="center"/>
        <w:rPr>
          <w:rFonts w:ascii="宋体" w:hAnsi="宋体" w:cs="宋体"/>
          <w:b/>
          <w:color w:val="auto"/>
          <w:kern w:val="0"/>
          <w:sz w:val="84"/>
          <w:szCs w:val="84"/>
        </w:rPr>
      </w:pPr>
      <w:r>
        <w:rPr>
          <w:rFonts w:ascii="宋体" w:hAnsi="宋体" w:cs="宋体"/>
          <w:b/>
          <w:color w:val="auto"/>
          <w:kern w:val="0"/>
          <w:sz w:val="84"/>
          <w:szCs w:val="84"/>
        </w:rPr>
        <w:t>竞争性</w:t>
      </w:r>
    </w:p>
    <w:p w14:paraId="04C734E7">
      <w:pPr>
        <w:autoSpaceDE w:val="0"/>
        <w:autoSpaceDN w:val="0"/>
        <w:adjustRightIn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磋</w:t>
      </w:r>
    </w:p>
    <w:p w14:paraId="3488A0D7">
      <w:pPr>
        <w:autoSpaceDE w:val="0"/>
        <w:autoSpaceDN w:val="0"/>
        <w:adjustRightIn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商</w:t>
      </w:r>
    </w:p>
    <w:p w14:paraId="74B6669F">
      <w:pPr>
        <w:autoSpaceDE w:val="0"/>
        <w:autoSpaceDN w:val="0"/>
        <w:adjustRightIn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文</w:t>
      </w:r>
    </w:p>
    <w:p w14:paraId="12489FC5">
      <w:pPr>
        <w:autoSpaceDE w:val="0"/>
        <w:autoSpaceDN w:val="0"/>
        <w:adjustRightIn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件</w:t>
      </w:r>
    </w:p>
    <w:p w14:paraId="2AF0A448">
      <w:pPr>
        <w:autoSpaceDE w:val="0"/>
        <w:autoSpaceDN w:val="0"/>
        <w:adjustRightInd w:val="0"/>
        <w:spacing w:line="360" w:lineRule="auto"/>
        <w:jc w:val="center"/>
        <w:rPr>
          <w:rFonts w:ascii="宋体" w:hAnsi="宋体" w:cs="宋体"/>
          <w:b/>
          <w:bCs/>
          <w:color w:val="auto"/>
          <w:kern w:val="44"/>
          <w:szCs w:val="21"/>
        </w:rPr>
      </w:pPr>
    </w:p>
    <w:p w14:paraId="62DDEEEC">
      <w:pPr>
        <w:autoSpaceDE w:val="0"/>
        <w:autoSpaceDN w:val="0"/>
        <w:adjustRightInd w:val="0"/>
        <w:spacing w:line="360" w:lineRule="auto"/>
        <w:jc w:val="center"/>
        <w:rPr>
          <w:rFonts w:ascii="宋体" w:hAnsi="宋体" w:cs="宋体"/>
          <w:b/>
          <w:color w:val="auto"/>
          <w:kern w:val="0"/>
          <w:sz w:val="36"/>
          <w:szCs w:val="36"/>
        </w:rPr>
      </w:pPr>
    </w:p>
    <w:p w14:paraId="216C5F79">
      <w:pPr>
        <w:autoSpaceDE w:val="0"/>
        <w:autoSpaceDN w:val="0"/>
        <w:adjustRightInd w:val="0"/>
        <w:spacing w:line="360" w:lineRule="auto"/>
        <w:jc w:val="center"/>
        <w:rPr>
          <w:rFonts w:hint="eastAsia" w:ascii="宋体" w:hAnsi="宋体" w:eastAsia="宋体" w:cs="宋体"/>
          <w:b/>
          <w:color w:val="auto"/>
          <w:kern w:val="0"/>
          <w:sz w:val="36"/>
          <w:szCs w:val="36"/>
          <w:lang w:eastAsia="zh-CN"/>
        </w:rPr>
      </w:pPr>
      <w:r>
        <w:rPr>
          <w:rFonts w:hint="eastAsia" w:ascii="宋体" w:hAnsi="宋体" w:cs="宋体"/>
          <w:b/>
          <w:color w:val="auto"/>
          <w:kern w:val="0"/>
          <w:sz w:val="36"/>
          <w:szCs w:val="36"/>
        </w:rPr>
        <w:t>采</w:t>
      </w:r>
      <w:r>
        <w:rPr>
          <w:rFonts w:ascii="宋体" w:hAnsi="宋体" w:cs="宋体"/>
          <w:b/>
          <w:color w:val="auto"/>
          <w:kern w:val="0"/>
          <w:sz w:val="36"/>
          <w:szCs w:val="36"/>
        </w:rPr>
        <w:t xml:space="preserve">  购  </w:t>
      </w:r>
      <w:r>
        <w:rPr>
          <w:rFonts w:hint="eastAsia" w:ascii="宋体" w:hAnsi="宋体" w:cs="宋体"/>
          <w:b/>
          <w:color w:val="auto"/>
          <w:kern w:val="0"/>
          <w:sz w:val="36"/>
          <w:szCs w:val="36"/>
        </w:rPr>
        <w:t>人：</w:t>
      </w:r>
      <w:r>
        <w:rPr>
          <w:rFonts w:hint="eastAsia" w:ascii="宋体" w:hAnsi="宋体" w:cs="宋体"/>
          <w:b/>
          <w:color w:val="auto"/>
          <w:kern w:val="0"/>
          <w:sz w:val="36"/>
          <w:szCs w:val="36"/>
          <w:lang w:eastAsia="zh-CN"/>
        </w:rPr>
        <w:t>广州市南沙区政务服务数据管理局</w:t>
      </w:r>
    </w:p>
    <w:p w14:paraId="5D8DB838">
      <w:pPr>
        <w:autoSpaceDE w:val="0"/>
        <w:autoSpaceDN w:val="0"/>
        <w:adjustRightInd w:val="0"/>
        <w:spacing w:line="360" w:lineRule="auto"/>
        <w:jc w:val="center"/>
        <w:rPr>
          <w:rFonts w:ascii="宋体" w:hAnsi="宋体" w:cs="宋体"/>
          <w:b/>
          <w:color w:val="auto"/>
          <w:kern w:val="0"/>
          <w:sz w:val="36"/>
          <w:szCs w:val="36"/>
        </w:rPr>
      </w:pPr>
      <w:r>
        <w:rPr>
          <w:rFonts w:ascii="宋体" w:hAnsi="宋体" w:cs="宋体"/>
          <w:b/>
          <w:color w:val="auto"/>
          <w:kern w:val="0"/>
          <w:sz w:val="36"/>
          <w:szCs w:val="36"/>
        </w:rPr>
        <w:t>采购代理机构：广东为诚招标代理有限公司</w:t>
      </w:r>
    </w:p>
    <w:p w14:paraId="7F658B66">
      <w:pPr>
        <w:autoSpaceDE w:val="0"/>
        <w:autoSpaceDN w:val="0"/>
        <w:adjustRightInd w:val="0"/>
        <w:spacing w:line="360" w:lineRule="auto"/>
        <w:jc w:val="center"/>
        <w:rPr>
          <w:rFonts w:ascii="宋体" w:hAnsi="宋体" w:cs="宋体"/>
          <w:b/>
          <w:color w:val="auto"/>
          <w:kern w:val="0"/>
          <w:sz w:val="36"/>
          <w:szCs w:val="36"/>
        </w:rPr>
      </w:pPr>
    </w:p>
    <w:p w14:paraId="50EA92CB">
      <w:pPr>
        <w:autoSpaceDE w:val="0"/>
        <w:autoSpaceDN w:val="0"/>
        <w:adjustRightInd w:val="0"/>
        <w:spacing w:line="360" w:lineRule="auto"/>
        <w:jc w:val="center"/>
        <w:rPr>
          <w:rFonts w:ascii="宋体" w:hAnsi="宋体" w:cs="宋体"/>
          <w:b/>
          <w:color w:val="auto"/>
          <w:kern w:val="0"/>
          <w:sz w:val="36"/>
          <w:szCs w:val="36"/>
        </w:rPr>
      </w:pPr>
      <w:r>
        <w:rPr>
          <w:rFonts w:ascii="宋体" w:hAnsi="宋体" w:cs="宋体"/>
          <w:b/>
          <w:color w:val="auto"/>
          <w:kern w:val="0"/>
          <w:sz w:val="36"/>
          <w:szCs w:val="36"/>
        </w:rPr>
        <w:t>20</w:t>
      </w:r>
      <w:r>
        <w:rPr>
          <w:rFonts w:hint="eastAsia" w:ascii="宋体" w:hAnsi="宋体" w:cs="宋体"/>
          <w:b/>
          <w:color w:val="auto"/>
          <w:kern w:val="0"/>
          <w:sz w:val="36"/>
          <w:szCs w:val="36"/>
        </w:rPr>
        <w:t>23年</w:t>
      </w:r>
      <w:r>
        <w:rPr>
          <w:rFonts w:hint="eastAsia" w:ascii="宋体" w:hAnsi="宋体" w:cs="宋体"/>
          <w:b/>
          <w:color w:val="auto"/>
          <w:kern w:val="0"/>
          <w:sz w:val="36"/>
          <w:szCs w:val="36"/>
          <w:lang w:val="en-US" w:eastAsia="zh-CN"/>
        </w:rPr>
        <w:t>12</w:t>
      </w:r>
      <w:r>
        <w:rPr>
          <w:rFonts w:hint="eastAsia" w:ascii="宋体" w:hAnsi="宋体" w:cs="宋体"/>
          <w:b/>
          <w:color w:val="auto"/>
          <w:kern w:val="0"/>
          <w:sz w:val="36"/>
          <w:szCs w:val="36"/>
        </w:rPr>
        <w:t>月</w:t>
      </w:r>
    </w:p>
    <w:p w14:paraId="14D80FF0">
      <w:pPr>
        <w:spacing w:before="156" w:beforeLines="50" w:after="156" w:afterLines="50" w:line="360" w:lineRule="auto"/>
        <w:jc w:val="center"/>
        <w:rPr>
          <w:rFonts w:ascii="宋体" w:hAnsi="宋体" w:cs="宋体"/>
          <w:b/>
          <w:color w:val="auto"/>
          <w:szCs w:val="21"/>
        </w:rPr>
        <w:sectPr>
          <w:headerReference r:id="rId4" w:type="first"/>
          <w:footerReference r:id="rId6" w:type="first"/>
          <w:headerReference r:id="rId3" w:type="default"/>
          <w:footerReference r:id="rId5" w:type="default"/>
          <w:pgSz w:w="11906" w:h="16838"/>
          <w:pgMar w:top="1276" w:right="1191" w:bottom="1191" w:left="1361" w:header="737" w:footer="737" w:gutter="0"/>
          <w:cols w:space="720" w:num="1"/>
          <w:docGrid w:type="lines" w:linePitch="312" w:charSpace="0"/>
        </w:sectPr>
      </w:pPr>
    </w:p>
    <w:p w14:paraId="200D5C5C">
      <w:pPr>
        <w:spacing w:before="156" w:beforeLines="50" w:after="156" w:afterLines="50"/>
        <w:jc w:val="center"/>
        <w:rPr>
          <w:b/>
          <w:color w:val="auto"/>
          <w:sz w:val="36"/>
          <w:szCs w:val="52"/>
        </w:rPr>
      </w:pPr>
      <w:r>
        <w:rPr>
          <w:rFonts w:hint="eastAsia"/>
          <w:b/>
          <w:color w:val="auto"/>
          <w:sz w:val="36"/>
          <w:szCs w:val="52"/>
        </w:rPr>
        <w:t>温馨提示：供应商特别注意事项</w:t>
      </w:r>
    </w:p>
    <w:p w14:paraId="0F5F7F9A">
      <w:pPr>
        <w:pStyle w:val="25"/>
        <w:spacing w:before="312" w:after="312"/>
        <w:jc w:val="both"/>
        <w:outlineLvl w:val="9"/>
        <w:rPr>
          <w:bCs w:val="0"/>
          <w:color w:val="auto"/>
          <w:sz w:val="21"/>
        </w:rPr>
      </w:pPr>
      <w:bookmarkStart w:id="1" w:name="_Toc129780344"/>
      <w:bookmarkStart w:id="2" w:name="_Toc101353622"/>
      <w:bookmarkStart w:id="3" w:name="_Toc4677"/>
      <w:bookmarkStart w:id="4" w:name="_Toc25656"/>
      <w:bookmarkStart w:id="5" w:name="_Toc27946"/>
      <w:bookmarkStart w:id="6" w:name="_Toc26735"/>
      <w:bookmarkStart w:id="7" w:name="_Toc143506649"/>
      <w:bookmarkStart w:id="8" w:name="_Toc30810"/>
      <w:bookmarkStart w:id="9" w:name="_Toc2503"/>
      <w:bookmarkStart w:id="10" w:name="_Toc11747"/>
      <w:bookmarkStart w:id="11" w:name="_Toc101722476"/>
      <w:bookmarkStart w:id="12" w:name="_Toc26409"/>
      <w:bookmarkStart w:id="13" w:name="_Toc25868"/>
      <w:bookmarkStart w:id="14" w:name="_Toc13122"/>
      <w:r>
        <w:rPr>
          <w:rFonts w:hint="eastAsia"/>
          <w:bCs w:val="0"/>
          <w:color w:val="auto"/>
          <w:sz w:val="21"/>
          <w:lang w:val="en-US"/>
        </w:rPr>
        <w:t>（</w:t>
      </w:r>
      <w:r>
        <w:rPr>
          <w:bCs w:val="0"/>
          <w:color w:val="auto"/>
          <w:sz w:val="21"/>
        </w:rPr>
        <w:t>本提示内容非磋商文件的组成部分</w:t>
      </w:r>
      <w:r>
        <w:rPr>
          <w:rFonts w:hint="eastAsia"/>
          <w:bCs w:val="0"/>
          <w:color w:val="auto"/>
          <w:sz w:val="21"/>
          <w:lang w:val="en-US"/>
        </w:rPr>
        <w:t>，</w:t>
      </w:r>
      <w:r>
        <w:rPr>
          <w:bCs w:val="0"/>
          <w:color w:val="auto"/>
          <w:sz w:val="21"/>
        </w:rPr>
        <w:t>仅为善意提醒。如有不一致，以磋商文件为准）</w:t>
      </w:r>
      <w:bookmarkEnd w:id="1"/>
      <w:bookmarkEnd w:id="2"/>
      <w:bookmarkEnd w:id="3"/>
      <w:bookmarkEnd w:id="4"/>
      <w:bookmarkEnd w:id="5"/>
      <w:bookmarkEnd w:id="6"/>
      <w:bookmarkEnd w:id="7"/>
      <w:bookmarkEnd w:id="8"/>
      <w:bookmarkEnd w:id="9"/>
      <w:bookmarkEnd w:id="10"/>
      <w:bookmarkEnd w:id="11"/>
      <w:bookmarkEnd w:id="12"/>
      <w:bookmarkEnd w:id="13"/>
      <w:bookmarkEnd w:id="14"/>
    </w:p>
    <w:p w14:paraId="2E27B359">
      <w:pPr>
        <w:numPr>
          <w:ilvl w:val="0"/>
          <w:numId w:val="1"/>
        </w:numPr>
        <w:tabs>
          <w:tab w:val="left" w:pos="426"/>
        </w:tabs>
        <w:spacing w:line="360" w:lineRule="auto"/>
        <w:rPr>
          <w:rFonts w:ascii="宋体" w:hAnsi="宋体"/>
          <w:color w:val="auto"/>
          <w:szCs w:val="21"/>
        </w:rPr>
      </w:pPr>
      <w:r>
        <w:rPr>
          <w:rFonts w:ascii="宋体" w:hAnsi="宋体"/>
          <w:color w:val="auto"/>
          <w:szCs w:val="21"/>
        </w:rPr>
        <w:t>请供应商特别留意磋商文件上注明的首次</w:t>
      </w:r>
      <w:r>
        <w:rPr>
          <w:rFonts w:hint="eastAsia" w:ascii="宋体" w:hAnsi="宋体"/>
          <w:color w:val="auto"/>
          <w:szCs w:val="21"/>
        </w:rPr>
        <w:t>响应文件</w:t>
      </w:r>
      <w:r>
        <w:rPr>
          <w:rFonts w:ascii="宋体" w:hAnsi="宋体"/>
          <w:color w:val="auto"/>
          <w:szCs w:val="21"/>
        </w:rPr>
        <w:t>提交截止时间，逾期送达或邮寄送达的</w:t>
      </w:r>
      <w:r>
        <w:rPr>
          <w:rFonts w:hint="eastAsia" w:ascii="宋体" w:hAnsi="宋体"/>
          <w:color w:val="auto"/>
          <w:szCs w:val="21"/>
        </w:rPr>
        <w:t>响应文件</w:t>
      </w:r>
      <w:r>
        <w:rPr>
          <w:rFonts w:ascii="宋体" w:hAnsi="宋体"/>
          <w:color w:val="auto"/>
          <w:szCs w:val="21"/>
        </w:rPr>
        <w:t>我司恕不接收。如无另行说明，</w:t>
      </w:r>
      <w:r>
        <w:rPr>
          <w:rFonts w:hint="eastAsia" w:ascii="宋体" w:hAnsi="宋体"/>
          <w:color w:val="auto"/>
          <w:szCs w:val="21"/>
        </w:rPr>
        <w:t>响应文件</w:t>
      </w:r>
      <w:r>
        <w:rPr>
          <w:rFonts w:ascii="宋体" w:hAnsi="宋体"/>
          <w:color w:val="auto"/>
          <w:szCs w:val="21"/>
        </w:rPr>
        <w:t>递交时间为报价截止时间之前30分钟内。为避免因迟到而失去投标资格，建议适当提前到达。</w:t>
      </w:r>
    </w:p>
    <w:p w14:paraId="19203F6D">
      <w:pPr>
        <w:numPr>
          <w:ilvl w:val="0"/>
          <w:numId w:val="1"/>
        </w:numPr>
        <w:tabs>
          <w:tab w:val="left" w:pos="426"/>
        </w:tabs>
        <w:spacing w:line="360" w:lineRule="auto"/>
        <w:rPr>
          <w:rFonts w:ascii="宋体" w:hAnsi="宋体"/>
          <w:color w:val="auto"/>
          <w:szCs w:val="21"/>
          <w:lang w:eastAsia="zh-TW"/>
        </w:rPr>
      </w:pPr>
      <w:r>
        <w:rPr>
          <w:rFonts w:ascii="宋体" w:hAnsi="宋体"/>
          <w:color w:val="auto"/>
          <w:szCs w:val="21"/>
        </w:rPr>
        <w:t>磋商文件中如标注“★”的条款，供应商必须一一响应。若有一项带“★”的指标要求未响应或不满足，其</w:t>
      </w:r>
      <w:r>
        <w:rPr>
          <w:rFonts w:hint="eastAsia" w:ascii="宋体" w:hAnsi="宋体"/>
          <w:color w:val="auto"/>
          <w:szCs w:val="21"/>
        </w:rPr>
        <w:t>响应文件</w:t>
      </w:r>
      <w:r>
        <w:rPr>
          <w:rFonts w:ascii="宋体" w:hAnsi="宋体"/>
          <w:color w:val="auto"/>
          <w:szCs w:val="21"/>
        </w:rPr>
        <w:t>作无效处理。</w:t>
      </w:r>
    </w:p>
    <w:p w14:paraId="1CBA762E">
      <w:pPr>
        <w:numPr>
          <w:ilvl w:val="0"/>
          <w:numId w:val="1"/>
        </w:numPr>
        <w:tabs>
          <w:tab w:val="left" w:pos="426"/>
        </w:tabs>
        <w:spacing w:line="360" w:lineRule="auto"/>
        <w:rPr>
          <w:rFonts w:ascii="宋体" w:hAnsi="宋体"/>
          <w:color w:val="auto"/>
          <w:szCs w:val="21"/>
        </w:rPr>
      </w:pPr>
      <w:r>
        <w:rPr>
          <w:rFonts w:hint="eastAsia" w:ascii="宋体" w:hAnsi="宋体"/>
          <w:color w:val="auto"/>
          <w:szCs w:val="21"/>
        </w:rPr>
        <w:t>响应文件</w:t>
      </w:r>
      <w:r>
        <w:rPr>
          <w:rFonts w:ascii="宋体" w:hAnsi="宋体"/>
          <w:color w:val="auto"/>
          <w:szCs w:val="21"/>
        </w:rPr>
        <w:t>应按顺序编制页码</w:t>
      </w:r>
      <w:r>
        <w:rPr>
          <w:rFonts w:hint="eastAsia" w:ascii="宋体" w:hAnsi="宋体"/>
          <w:color w:val="auto"/>
          <w:szCs w:val="21"/>
        </w:rPr>
        <w:t>。</w:t>
      </w:r>
    </w:p>
    <w:p w14:paraId="175A6493">
      <w:pPr>
        <w:numPr>
          <w:ilvl w:val="0"/>
          <w:numId w:val="1"/>
        </w:numPr>
        <w:tabs>
          <w:tab w:val="left" w:pos="426"/>
        </w:tabs>
        <w:spacing w:line="360" w:lineRule="auto"/>
        <w:rPr>
          <w:rFonts w:ascii="宋体" w:hAnsi="宋体"/>
          <w:color w:val="auto"/>
          <w:szCs w:val="21"/>
        </w:rPr>
      </w:pPr>
      <w:r>
        <w:rPr>
          <w:rFonts w:ascii="宋体" w:hAnsi="宋体"/>
          <w:color w:val="auto"/>
          <w:szCs w:val="21"/>
        </w:rPr>
        <w:t>请仔细检查</w:t>
      </w:r>
      <w:r>
        <w:rPr>
          <w:rFonts w:hint="eastAsia" w:ascii="宋体" w:hAnsi="宋体"/>
          <w:color w:val="auto"/>
          <w:szCs w:val="21"/>
        </w:rPr>
        <w:t>响应文件</w:t>
      </w:r>
      <w:r>
        <w:rPr>
          <w:rFonts w:ascii="宋体" w:hAnsi="宋体"/>
          <w:color w:val="auto"/>
          <w:szCs w:val="21"/>
        </w:rPr>
        <w:t>是否已按磋商文件要求盖章、签名、签署日期。</w:t>
      </w:r>
    </w:p>
    <w:p w14:paraId="068AC55E">
      <w:pPr>
        <w:numPr>
          <w:ilvl w:val="0"/>
          <w:numId w:val="1"/>
        </w:numPr>
        <w:tabs>
          <w:tab w:val="left" w:pos="426"/>
        </w:tabs>
        <w:spacing w:line="360" w:lineRule="auto"/>
        <w:rPr>
          <w:rFonts w:ascii="宋体" w:hAnsi="宋体"/>
          <w:color w:val="auto"/>
          <w:szCs w:val="21"/>
        </w:rPr>
      </w:pPr>
      <w:r>
        <w:rPr>
          <w:rFonts w:ascii="宋体" w:hAnsi="宋体"/>
          <w:color w:val="auto"/>
          <w:szCs w:val="21"/>
        </w:rPr>
        <w:t>分公司参与磋商的，需提供具有法人资格的总公司的营业执照副本复印件及授权书</w:t>
      </w:r>
      <w:r>
        <w:rPr>
          <w:rFonts w:hint="eastAsia" w:ascii="宋体" w:hAnsi="宋体"/>
          <w:color w:val="auto"/>
          <w:szCs w:val="21"/>
        </w:rPr>
        <w:t>。</w:t>
      </w:r>
      <w:r>
        <w:rPr>
          <w:rFonts w:ascii="宋体" w:hAnsi="宋体"/>
          <w:color w:val="auto"/>
          <w:szCs w:val="21"/>
        </w:rPr>
        <w:t>总公司可就本项目或此类项目在一定范围或时间内出具唯一的授权书。</w:t>
      </w:r>
    </w:p>
    <w:p w14:paraId="6E99362F">
      <w:pPr>
        <w:numPr>
          <w:ilvl w:val="0"/>
          <w:numId w:val="1"/>
        </w:numPr>
        <w:tabs>
          <w:tab w:val="left" w:pos="426"/>
        </w:tabs>
        <w:spacing w:line="360" w:lineRule="auto"/>
        <w:rPr>
          <w:rFonts w:ascii="宋体" w:hAnsi="宋体"/>
          <w:color w:val="auto"/>
          <w:szCs w:val="21"/>
        </w:rPr>
      </w:pPr>
      <w:r>
        <w:rPr>
          <w:rFonts w:ascii="宋体" w:hAnsi="宋体"/>
          <w:color w:val="auto"/>
          <w:szCs w:val="21"/>
        </w:rPr>
        <w:t>请正确填写《报价一览表》。</w:t>
      </w:r>
      <w:r>
        <w:rPr>
          <w:rFonts w:hint="eastAsia" w:ascii="宋体" w:hAnsi="宋体"/>
          <w:color w:val="auto"/>
          <w:szCs w:val="21"/>
        </w:rPr>
        <w:t>如</w:t>
      </w:r>
      <w:r>
        <w:rPr>
          <w:rFonts w:ascii="宋体" w:hAnsi="宋体"/>
          <w:color w:val="auto"/>
          <w:szCs w:val="21"/>
        </w:rPr>
        <w:t>项目有多个子包，</w:t>
      </w:r>
      <w:r>
        <w:rPr>
          <w:rFonts w:hint="eastAsia" w:ascii="宋体" w:hAnsi="宋体"/>
          <w:color w:val="auto"/>
          <w:szCs w:val="21"/>
        </w:rPr>
        <w:t>请仔细检查子包号，</w:t>
      </w:r>
      <w:r>
        <w:rPr>
          <w:rFonts w:ascii="宋体" w:hAnsi="宋体"/>
          <w:color w:val="auto"/>
          <w:szCs w:val="21"/>
        </w:rPr>
        <w:t>包号与包组名称必须对应。制作</w:t>
      </w:r>
      <w:r>
        <w:rPr>
          <w:rFonts w:hint="eastAsia" w:ascii="宋体" w:hAnsi="宋体"/>
          <w:color w:val="auto"/>
          <w:szCs w:val="21"/>
        </w:rPr>
        <w:t>响应文件</w:t>
      </w:r>
      <w:r>
        <w:rPr>
          <w:rFonts w:ascii="宋体" w:hAnsi="宋体"/>
          <w:color w:val="auto"/>
          <w:szCs w:val="21"/>
        </w:rPr>
        <w:t>时可分开装订也可统一装订，但都必须密封。</w:t>
      </w:r>
    </w:p>
    <w:p w14:paraId="6185883B">
      <w:pPr>
        <w:numPr>
          <w:ilvl w:val="0"/>
          <w:numId w:val="1"/>
        </w:numPr>
        <w:tabs>
          <w:tab w:val="left" w:pos="426"/>
        </w:tabs>
        <w:spacing w:line="360" w:lineRule="auto"/>
        <w:rPr>
          <w:rFonts w:ascii="宋体" w:hAnsi="宋体"/>
          <w:color w:val="auto"/>
          <w:szCs w:val="21"/>
        </w:rPr>
      </w:pPr>
      <w:r>
        <w:rPr>
          <w:rFonts w:ascii="宋体" w:hAnsi="宋体"/>
          <w:color w:val="auto"/>
          <w:szCs w:val="21"/>
        </w:rPr>
        <w:t>如报价产品属于许可证管理范围内的，须提交相应的许可证复印</w:t>
      </w:r>
      <w:r>
        <w:rPr>
          <w:rFonts w:hint="eastAsia" w:ascii="宋体" w:hAnsi="宋体"/>
          <w:color w:val="auto"/>
          <w:szCs w:val="21"/>
        </w:rPr>
        <w:t>件。</w:t>
      </w:r>
    </w:p>
    <w:p w14:paraId="726C40C1">
      <w:pPr>
        <w:numPr>
          <w:ilvl w:val="0"/>
          <w:numId w:val="1"/>
        </w:numPr>
        <w:tabs>
          <w:tab w:val="left" w:pos="426"/>
        </w:tabs>
        <w:spacing w:line="360" w:lineRule="auto"/>
        <w:rPr>
          <w:rFonts w:ascii="宋体" w:hAnsi="宋体"/>
          <w:color w:val="auto"/>
          <w:szCs w:val="21"/>
        </w:rPr>
      </w:pPr>
      <w:r>
        <w:rPr>
          <w:rFonts w:hint="eastAsia" w:ascii="宋体" w:hAnsi="宋体"/>
          <w:color w:val="auto"/>
          <w:szCs w:val="21"/>
        </w:rPr>
        <w:t>响应供应商</w:t>
      </w:r>
      <w:r>
        <w:rPr>
          <w:rFonts w:ascii="宋体" w:hAnsi="宋体"/>
          <w:color w:val="auto"/>
          <w:szCs w:val="21"/>
        </w:rPr>
        <w:t>如需对项目提出询问或质疑，可向我司提交询问函或质疑函。</w:t>
      </w:r>
    </w:p>
    <w:p w14:paraId="2F178BA8">
      <w:pPr>
        <w:numPr>
          <w:ilvl w:val="0"/>
          <w:numId w:val="2"/>
        </w:numPr>
        <w:tabs>
          <w:tab w:val="left" w:pos="284"/>
        </w:tabs>
        <w:spacing w:line="360" w:lineRule="auto"/>
        <w:rPr>
          <w:rFonts w:ascii="宋体" w:hAnsi="宋体"/>
          <w:color w:val="auto"/>
          <w:szCs w:val="21"/>
        </w:rPr>
      </w:pPr>
      <w:r>
        <w:rPr>
          <w:rFonts w:ascii="宋体" w:hAnsi="宋体" w:cs="宋体"/>
          <w:color w:val="auto"/>
          <w:szCs w:val="21"/>
        </w:rPr>
        <w:t>我司为采购代理机构，不对供应商购买磋商文件时提交的相关资料的真伪做出判断，如供应商发现相关资料被盗用或复制，建议遵循法律途径解决，追究侵权者责任</w:t>
      </w:r>
      <w:r>
        <w:rPr>
          <w:rFonts w:hint="eastAsia" w:ascii="宋体" w:hAnsi="宋体" w:cs="宋体"/>
          <w:color w:val="auto"/>
          <w:szCs w:val="21"/>
        </w:rPr>
        <w:t>。</w:t>
      </w:r>
      <w:r>
        <w:rPr>
          <w:rFonts w:ascii="宋体" w:hAnsi="宋体" w:cs="宋体"/>
          <w:color w:val="auto"/>
          <w:szCs w:val="21"/>
        </w:rPr>
        <w:t>对一家供应商提交两份不</w:t>
      </w:r>
      <w:r>
        <w:rPr>
          <w:rFonts w:ascii="宋体" w:hAnsi="宋体"/>
          <w:color w:val="auto"/>
          <w:szCs w:val="21"/>
        </w:rPr>
        <w:t>同磋商响应方案的，磋商小组将按磋商文件中有关</w:t>
      </w:r>
      <w:r>
        <w:rPr>
          <w:rFonts w:hint="eastAsia" w:ascii="宋体" w:hAnsi="宋体"/>
          <w:color w:val="auto"/>
          <w:szCs w:val="21"/>
        </w:rPr>
        <w:t>响应文件</w:t>
      </w:r>
      <w:r>
        <w:rPr>
          <w:rFonts w:ascii="宋体" w:hAnsi="宋体"/>
          <w:color w:val="auto"/>
          <w:szCs w:val="21"/>
        </w:rPr>
        <w:t>无效的规定处理（如有特殊要求的除外）。</w:t>
      </w:r>
    </w:p>
    <w:p w14:paraId="1B11525E">
      <w:pPr>
        <w:pStyle w:val="20"/>
        <w:spacing w:line="360" w:lineRule="auto"/>
        <w:ind w:left="569" w:hanging="569" w:hangingChars="270"/>
        <w:jc w:val="center"/>
        <w:rPr>
          <w:rFonts w:hint="eastAsia" w:ascii="宋体" w:hAnsi="宋体" w:eastAsia="宋体" w:cs="宋体"/>
          <w:smallCaps/>
          <w:color w:val="auto"/>
          <w:kern w:val="2"/>
          <w:sz w:val="21"/>
          <w:szCs w:val="21"/>
          <w:lang w:val="en-US" w:eastAsia="zh-CN" w:bidi="ar-SA"/>
        </w:rPr>
      </w:pPr>
      <w:r>
        <w:rPr>
          <w:rFonts w:ascii="宋体" w:hAnsi="宋体" w:cs="宋体"/>
          <w:b/>
          <w:color w:val="auto"/>
          <w:szCs w:val="21"/>
        </w:rPr>
        <w:br w:type="page"/>
      </w:r>
      <w:r>
        <w:rPr>
          <w:rFonts w:hint="eastAsia" w:ascii="宋体" w:hAnsi="宋体" w:cs="宋体"/>
          <w:b/>
          <w:color w:val="auto"/>
          <w:sz w:val="28"/>
        </w:rPr>
        <w:t>目</w:t>
      </w:r>
      <w:r>
        <w:rPr>
          <w:rFonts w:ascii="宋体" w:hAnsi="宋体" w:cs="宋体"/>
          <w:b/>
          <w:color w:val="auto"/>
          <w:sz w:val="28"/>
        </w:rPr>
        <w:t xml:space="preserve">   录</w:t>
      </w:r>
      <w:r>
        <w:rPr>
          <w:rFonts w:hint="eastAsia" w:cs="宋体"/>
          <w:b/>
          <w:color w:val="auto"/>
          <w:szCs w:val="21"/>
        </w:rPr>
        <w:fldChar w:fldCharType="begin"/>
      </w:r>
      <w:r>
        <w:rPr>
          <w:rFonts w:hint="eastAsia" w:cs="宋体"/>
          <w:b/>
          <w:color w:val="auto"/>
          <w:szCs w:val="21"/>
        </w:rPr>
        <w:instrText xml:space="preserve"> TOC \o "1-2" \h \z \u </w:instrText>
      </w:r>
      <w:r>
        <w:rPr>
          <w:rFonts w:hint="eastAsia" w:cs="宋体"/>
          <w:b/>
          <w:color w:val="auto"/>
          <w:szCs w:val="21"/>
        </w:rPr>
        <w:fldChar w:fldCharType="separate"/>
      </w:r>
    </w:p>
    <w:p w14:paraId="5781B04B">
      <w:pPr>
        <w:pStyle w:val="18"/>
        <w:tabs>
          <w:tab w:val="right" w:leader="dot" w:pos="9354"/>
          <w:tab w:val="clear" w:pos="918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_Toc13232 </w:instrText>
      </w:r>
      <w:r>
        <w:rPr>
          <w:rFonts w:hint="eastAsia" w:ascii="宋体" w:hAnsi="宋体" w:cs="宋体"/>
          <w:szCs w:val="21"/>
        </w:rPr>
        <w:fldChar w:fldCharType="separate"/>
      </w:r>
      <w:r>
        <w:rPr>
          <w:rFonts w:hint="eastAsia" w:ascii="宋体" w:hAnsi="宋体" w:cs="宋体"/>
        </w:rPr>
        <w:t>第一部分</w:t>
      </w:r>
      <w:r>
        <w:rPr>
          <w:rFonts w:ascii="宋体" w:hAnsi="宋体" w:cs="宋体"/>
        </w:rPr>
        <w:t xml:space="preserve">  竞争性磋商公告</w:t>
      </w:r>
      <w:r>
        <w:tab/>
      </w:r>
      <w:r>
        <w:fldChar w:fldCharType="begin"/>
      </w:r>
      <w:r>
        <w:instrText xml:space="preserve"> PAGEREF _Toc13232 \h </w:instrText>
      </w:r>
      <w:r>
        <w:fldChar w:fldCharType="separate"/>
      </w:r>
      <w:r>
        <w:t>1</w:t>
      </w:r>
      <w:r>
        <w:fldChar w:fldCharType="end"/>
      </w:r>
      <w:r>
        <w:rPr>
          <w:rFonts w:hint="eastAsia" w:ascii="宋体" w:hAnsi="宋体" w:cs="宋体"/>
          <w:color w:val="auto"/>
          <w:szCs w:val="21"/>
        </w:rPr>
        <w:fldChar w:fldCharType="end"/>
      </w:r>
    </w:p>
    <w:p w14:paraId="53B5DA10">
      <w:pPr>
        <w:pStyle w:val="18"/>
        <w:tabs>
          <w:tab w:val="right" w:leader="dot" w:pos="9354"/>
          <w:tab w:val="clear" w:pos="918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_Toc20814 </w:instrText>
      </w:r>
      <w:r>
        <w:rPr>
          <w:rFonts w:hint="eastAsia" w:ascii="宋体" w:hAnsi="宋体" w:cs="宋体"/>
          <w:szCs w:val="21"/>
        </w:rPr>
        <w:fldChar w:fldCharType="separate"/>
      </w:r>
      <w:r>
        <w:rPr>
          <w:rFonts w:hint="eastAsia" w:ascii="宋体" w:hAnsi="宋体" w:cs="宋体"/>
        </w:rPr>
        <w:t>第二部分</w:t>
      </w:r>
      <w:r>
        <w:rPr>
          <w:rFonts w:ascii="宋体" w:hAnsi="宋体" w:cs="宋体"/>
        </w:rPr>
        <w:t xml:space="preserve">  磋商须知</w:t>
      </w:r>
      <w:r>
        <w:tab/>
      </w:r>
      <w:r>
        <w:fldChar w:fldCharType="begin"/>
      </w:r>
      <w:r>
        <w:instrText xml:space="preserve"> PAGEREF _Toc20814 \h </w:instrText>
      </w:r>
      <w:r>
        <w:fldChar w:fldCharType="separate"/>
      </w:r>
      <w:r>
        <w:t>5</w:t>
      </w:r>
      <w:r>
        <w:fldChar w:fldCharType="end"/>
      </w:r>
      <w:r>
        <w:rPr>
          <w:rFonts w:hint="eastAsia" w:ascii="宋体" w:hAnsi="宋体" w:cs="宋体"/>
          <w:color w:val="auto"/>
          <w:szCs w:val="21"/>
        </w:rPr>
        <w:fldChar w:fldCharType="end"/>
      </w:r>
    </w:p>
    <w:p w14:paraId="10EFF958">
      <w:pPr>
        <w:pStyle w:val="18"/>
        <w:tabs>
          <w:tab w:val="right" w:leader="dot" w:pos="9354"/>
          <w:tab w:val="clear" w:pos="918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_Toc12472 </w:instrText>
      </w:r>
      <w:r>
        <w:rPr>
          <w:rFonts w:hint="eastAsia" w:ascii="宋体" w:hAnsi="宋体" w:cs="宋体"/>
          <w:szCs w:val="21"/>
        </w:rPr>
        <w:fldChar w:fldCharType="separate"/>
      </w:r>
      <w:r>
        <w:rPr>
          <w:rFonts w:hint="eastAsia" w:ascii="宋体" w:hAnsi="宋体" w:cs="宋体"/>
        </w:rPr>
        <w:t>第三部分</w:t>
      </w:r>
      <w:r>
        <w:rPr>
          <w:rFonts w:ascii="宋体" w:hAnsi="宋体" w:cs="宋体"/>
        </w:rPr>
        <w:t xml:space="preserve">  用户需求书</w:t>
      </w:r>
      <w:r>
        <w:tab/>
      </w:r>
      <w:r>
        <w:fldChar w:fldCharType="begin"/>
      </w:r>
      <w:r>
        <w:instrText xml:space="preserve"> PAGEREF _Toc12472 \h </w:instrText>
      </w:r>
      <w:r>
        <w:fldChar w:fldCharType="separate"/>
      </w:r>
      <w:r>
        <w:t>18</w:t>
      </w:r>
      <w:r>
        <w:fldChar w:fldCharType="end"/>
      </w:r>
      <w:r>
        <w:rPr>
          <w:rFonts w:hint="eastAsia" w:ascii="宋体" w:hAnsi="宋体" w:cs="宋体"/>
          <w:color w:val="auto"/>
          <w:szCs w:val="21"/>
        </w:rPr>
        <w:fldChar w:fldCharType="end"/>
      </w:r>
    </w:p>
    <w:p w14:paraId="6B0B4754">
      <w:pPr>
        <w:pStyle w:val="18"/>
        <w:tabs>
          <w:tab w:val="right" w:leader="dot" w:pos="9354"/>
          <w:tab w:val="clear" w:pos="918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_Toc29910 </w:instrText>
      </w:r>
      <w:r>
        <w:rPr>
          <w:rFonts w:hint="eastAsia" w:ascii="宋体" w:hAnsi="宋体" w:cs="宋体"/>
          <w:szCs w:val="21"/>
        </w:rPr>
        <w:fldChar w:fldCharType="separate"/>
      </w:r>
      <w:r>
        <w:rPr>
          <w:rFonts w:hint="eastAsia" w:ascii="宋体" w:hAnsi="宋体" w:cs="宋体"/>
        </w:rPr>
        <w:t>第四部分</w:t>
      </w:r>
      <w:r>
        <w:rPr>
          <w:rFonts w:ascii="宋体" w:hAnsi="宋体" w:cs="宋体"/>
        </w:rPr>
        <w:t xml:space="preserve">  评审办法</w:t>
      </w:r>
      <w:r>
        <w:tab/>
      </w:r>
      <w:r>
        <w:fldChar w:fldCharType="begin"/>
      </w:r>
      <w:r>
        <w:instrText xml:space="preserve"> PAGEREF _Toc29910 \h </w:instrText>
      </w:r>
      <w:r>
        <w:fldChar w:fldCharType="separate"/>
      </w:r>
      <w:r>
        <w:t>26</w:t>
      </w:r>
      <w:r>
        <w:fldChar w:fldCharType="end"/>
      </w:r>
      <w:r>
        <w:rPr>
          <w:rFonts w:hint="eastAsia" w:ascii="宋体" w:hAnsi="宋体" w:cs="宋体"/>
          <w:color w:val="auto"/>
          <w:szCs w:val="21"/>
        </w:rPr>
        <w:fldChar w:fldCharType="end"/>
      </w:r>
    </w:p>
    <w:p w14:paraId="005D9583">
      <w:pPr>
        <w:pStyle w:val="18"/>
        <w:tabs>
          <w:tab w:val="right" w:leader="dot" w:pos="9354"/>
          <w:tab w:val="clear" w:pos="918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_Toc5014 </w:instrText>
      </w:r>
      <w:r>
        <w:rPr>
          <w:rFonts w:hint="eastAsia" w:ascii="宋体" w:hAnsi="宋体" w:cs="宋体"/>
          <w:szCs w:val="21"/>
        </w:rPr>
        <w:fldChar w:fldCharType="separate"/>
      </w:r>
      <w:r>
        <w:rPr>
          <w:rFonts w:hint="eastAsia" w:ascii="宋体" w:hAnsi="宋体" w:cs="宋体"/>
          <w:szCs w:val="48"/>
        </w:rPr>
        <w:t>第五部分</w:t>
      </w:r>
      <w:r>
        <w:rPr>
          <w:rFonts w:ascii="宋体" w:hAnsi="宋体" w:cs="宋体"/>
          <w:szCs w:val="48"/>
        </w:rPr>
        <w:t xml:space="preserve">  </w:t>
      </w:r>
      <w:r>
        <w:rPr>
          <w:rFonts w:hint="eastAsia" w:ascii="宋体" w:hAnsi="宋体" w:cs="宋体"/>
          <w:szCs w:val="48"/>
        </w:rPr>
        <w:t>合同草案</w:t>
      </w:r>
      <w:r>
        <w:tab/>
      </w:r>
      <w:r>
        <w:fldChar w:fldCharType="begin"/>
      </w:r>
      <w:r>
        <w:instrText xml:space="preserve"> PAGEREF _Toc5014 \h </w:instrText>
      </w:r>
      <w:r>
        <w:fldChar w:fldCharType="separate"/>
      </w:r>
      <w:r>
        <w:t>38</w:t>
      </w:r>
      <w:r>
        <w:fldChar w:fldCharType="end"/>
      </w:r>
      <w:r>
        <w:rPr>
          <w:rFonts w:hint="eastAsia" w:ascii="宋体" w:hAnsi="宋体" w:cs="宋体"/>
          <w:color w:val="auto"/>
          <w:szCs w:val="21"/>
        </w:rPr>
        <w:fldChar w:fldCharType="end"/>
      </w:r>
    </w:p>
    <w:p w14:paraId="492BADFD">
      <w:pPr>
        <w:pStyle w:val="18"/>
        <w:tabs>
          <w:tab w:val="right" w:leader="dot" w:pos="9354"/>
          <w:tab w:val="clear" w:pos="918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_Toc32763 </w:instrText>
      </w:r>
      <w:r>
        <w:rPr>
          <w:rFonts w:hint="eastAsia" w:ascii="宋体" w:hAnsi="宋体" w:cs="宋体"/>
          <w:szCs w:val="21"/>
        </w:rPr>
        <w:fldChar w:fldCharType="separate"/>
      </w:r>
      <w:r>
        <w:rPr>
          <w:rFonts w:hint="eastAsia" w:ascii="宋体" w:hAnsi="宋体" w:cs="宋体"/>
        </w:rPr>
        <w:t>第六部分</w:t>
      </w:r>
      <w:r>
        <w:rPr>
          <w:rFonts w:ascii="宋体" w:hAnsi="宋体" w:cs="宋体"/>
        </w:rPr>
        <w:t xml:space="preserve">  </w:t>
      </w:r>
      <w:r>
        <w:rPr>
          <w:rFonts w:hint="eastAsia" w:ascii="宋体" w:hAnsi="宋体" w:cs="宋体"/>
        </w:rPr>
        <w:t>响应文件</w:t>
      </w:r>
      <w:r>
        <w:rPr>
          <w:rFonts w:ascii="宋体" w:hAnsi="宋体" w:cs="宋体"/>
        </w:rPr>
        <w:t>格式</w:t>
      </w:r>
      <w:r>
        <w:tab/>
      </w:r>
      <w:r>
        <w:fldChar w:fldCharType="begin"/>
      </w:r>
      <w:r>
        <w:instrText xml:space="preserve"> PAGEREF _Toc32763 \h </w:instrText>
      </w:r>
      <w:r>
        <w:fldChar w:fldCharType="separate"/>
      </w:r>
      <w:r>
        <w:t>49</w:t>
      </w:r>
      <w:r>
        <w:fldChar w:fldCharType="end"/>
      </w:r>
      <w:r>
        <w:rPr>
          <w:rFonts w:hint="eastAsia" w:ascii="宋体" w:hAnsi="宋体" w:cs="宋体"/>
          <w:color w:val="auto"/>
          <w:szCs w:val="21"/>
        </w:rPr>
        <w:fldChar w:fldCharType="end"/>
      </w:r>
    </w:p>
    <w:p w14:paraId="6DDD565A">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_Toc788 </w:instrText>
      </w:r>
      <w:r>
        <w:rPr>
          <w:rFonts w:hint="eastAsia" w:ascii="宋体" w:hAnsi="宋体" w:cs="宋体"/>
          <w:szCs w:val="21"/>
        </w:rPr>
        <w:fldChar w:fldCharType="separate"/>
      </w:r>
      <w:r>
        <w:rPr>
          <w:rFonts w:hint="eastAsia"/>
        </w:rPr>
        <w:t>响应文件格式参考</w:t>
      </w:r>
      <w:r>
        <w:tab/>
      </w:r>
      <w:r>
        <w:fldChar w:fldCharType="begin"/>
      </w:r>
      <w:r>
        <w:instrText xml:space="preserve"> PAGEREF _Toc788 \h </w:instrText>
      </w:r>
      <w:r>
        <w:fldChar w:fldCharType="separate"/>
      </w:r>
      <w:r>
        <w:t>49</w:t>
      </w:r>
      <w:r>
        <w:fldChar w:fldCharType="end"/>
      </w:r>
      <w:r>
        <w:rPr>
          <w:rFonts w:hint="eastAsia" w:ascii="宋体" w:hAnsi="宋体" w:cs="宋体"/>
          <w:color w:val="auto"/>
          <w:szCs w:val="21"/>
        </w:rPr>
        <w:fldChar w:fldCharType="end"/>
      </w:r>
    </w:p>
    <w:p w14:paraId="089E4C82">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_Toc31330 </w:instrText>
      </w:r>
      <w:r>
        <w:rPr>
          <w:rFonts w:hint="eastAsia" w:ascii="宋体" w:hAnsi="宋体" w:cs="宋体"/>
          <w:szCs w:val="21"/>
        </w:rPr>
        <w:fldChar w:fldCharType="separate"/>
      </w:r>
      <w:r>
        <w:rPr>
          <w:rFonts w:hint="eastAsia"/>
        </w:rPr>
        <w:t>响应文件目录表</w:t>
      </w:r>
      <w:r>
        <w:tab/>
      </w:r>
      <w:r>
        <w:fldChar w:fldCharType="begin"/>
      </w:r>
      <w:r>
        <w:instrText xml:space="preserve"> PAGEREF _Toc31330 \h </w:instrText>
      </w:r>
      <w:r>
        <w:fldChar w:fldCharType="separate"/>
      </w:r>
      <w:r>
        <w:t>50</w:t>
      </w:r>
      <w:r>
        <w:fldChar w:fldCharType="end"/>
      </w:r>
      <w:r>
        <w:rPr>
          <w:rFonts w:hint="eastAsia" w:ascii="宋体" w:hAnsi="宋体" w:cs="宋体"/>
          <w:color w:val="auto"/>
          <w:szCs w:val="21"/>
        </w:rPr>
        <w:fldChar w:fldCharType="end"/>
      </w:r>
    </w:p>
    <w:p w14:paraId="59E2D457">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_Toc18013 </w:instrText>
      </w:r>
      <w:r>
        <w:rPr>
          <w:rFonts w:hint="eastAsia" w:ascii="宋体" w:hAnsi="宋体" w:cs="宋体"/>
          <w:szCs w:val="21"/>
        </w:rPr>
        <w:fldChar w:fldCharType="separate"/>
      </w:r>
      <w:r>
        <w:rPr>
          <w:rFonts w:hAnsi="宋体"/>
          <w:szCs w:val="44"/>
        </w:rPr>
        <w:t>一、资格、符合性文件</w:t>
      </w:r>
      <w:r>
        <w:tab/>
      </w:r>
      <w:r>
        <w:fldChar w:fldCharType="begin"/>
      </w:r>
      <w:r>
        <w:instrText xml:space="preserve"> PAGEREF _Toc18013 \h </w:instrText>
      </w:r>
      <w:r>
        <w:fldChar w:fldCharType="separate"/>
      </w:r>
      <w:r>
        <w:t>52</w:t>
      </w:r>
      <w:r>
        <w:fldChar w:fldCharType="end"/>
      </w:r>
      <w:r>
        <w:rPr>
          <w:rFonts w:hint="eastAsia" w:ascii="宋体" w:hAnsi="宋体" w:cs="宋体"/>
          <w:color w:val="auto"/>
          <w:szCs w:val="21"/>
        </w:rPr>
        <w:fldChar w:fldCharType="end"/>
      </w:r>
    </w:p>
    <w:p w14:paraId="14C7E97F">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_Toc29102 </w:instrText>
      </w:r>
      <w:r>
        <w:rPr>
          <w:rFonts w:hint="eastAsia" w:ascii="宋体" w:hAnsi="宋体" w:cs="宋体"/>
          <w:szCs w:val="21"/>
        </w:rPr>
        <w:fldChar w:fldCharType="separate"/>
      </w:r>
      <w:r>
        <w:rPr>
          <w:rFonts w:hint="eastAsia" w:hAnsi="宋体"/>
          <w:bCs/>
          <w:szCs w:val="24"/>
        </w:rPr>
        <w:t>格式</w:t>
      </w:r>
      <w:r>
        <w:rPr>
          <w:rFonts w:hAnsi="宋体"/>
          <w:bCs/>
          <w:szCs w:val="24"/>
        </w:rPr>
        <w:t xml:space="preserve">1 </w:t>
      </w:r>
      <w:r>
        <w:rPr>
          <w:rFonts w:hint="eastAsia" w:hAnsi="宋体"/>
          <w:bCs/>
          <w:szCs w:val="24"/>
        </w:rPr>
        <w:t>磋商函</w:t>
      </w:r>
      <w:r>
        <w:tab/>
      </w:r>
      <w:r>
        <w:fldChar w:fldCharType="begin"/>
      </w:r>
      <w:r>
        <w:instrText xml:space="preserve"> PAGEREF _Toc29102 \h </w:instrText>
      </w:r>
      <w:r>
        <w:fldChar w:fldCharType="separate"/>
      </w:r>
      <w:r>
        <w:t>52</w:t>
      </w:r>
      <w:r>
        <w:fldChar w:fldCharType="end"/>
      </w:r>
      <w:r>
        <w:rPr>
          <w:rFonts w:hint="eastAsia" w:ascii="宋体" w:hAnsi="宋体" w:cs="宋体"/>
          <w:color w:val="auto"/>
          <w:szCs w:val="21"/>
        </w:rPr>
        <w:fldChar w:fldCharType="end"/>
      </w:r>
    </w:p>
    <w:p w14:paraId="6B0BAE39">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_Toc4898 </w:instrText>
      </w:r>
      <w:r>
        <w:rPr>
          <w:rFonts w:hint="eastAsia" w:ascii="宋体" w:hAnsi="宋体" w:cs="宋体"/>
          <w:szCs w:val="21"/>
        </w:rPr>
        <w:fldChar w:fldCharType="separate"/>
      </w:r>
      <w:r>
        <w:rPr>
          <w:rFonts w:hint="eastAsia" w:hAnsi="宋体"/>
          <w:bCs/>
          <w:szCs w:val="21"/>
        </w:rPr>
        <w:t>格式</w:t>
      </w:r>
      <w:r>
        <w:rPr>
          <w:rFonts w:hAnsi="宋体"/>
          <w:bCs/>
          <w:szCs w:val="21"/>
        </w:rPr>
        <w:t xml:space="preserve">2 </w:t>
      </w:r>
      <w:r>
        <w:rPr>
          <w:rFonts w:hint="eastAsia" w:hAnsi="宋体"/>
          <w:bCs/>
          <w:szCs w:val="21"/>
        </w:rPr>
        <w:t>响应供应商</w:t>
      </w:r>
      <w:r>
        <w:rPr>
          <w:rFonts w:hAnsi="宋体"/>
          <w:bCs/>
          <w:szCs w:val="21"/>
        </w:rPr>
        <w:t>资格声明函</w:t>
      </w:r>
      <w:r>
        <w:tab/>
      </w:r>
      <w:r>
        <w:fldChar w:fldCharType="begin"/>
      </w:r>
      <w:r>
        <w:instrText xml:space="preserve"> PAGEREF _Toc4898 \h </w:instrText>
      </w:r>
      <w:r>
        <w:fldChar w:fldCharType="separate"/>
      </w:r>
      <w:r>
        <w:t>53</w:t>
      </w:r>
      <w:r>
        <w:fldChar w:fldCharType="end"/>
      </w:r>
      <w:r>
        <w:rPr>
          <w:rFonts w:hint="eastAsia" w:ascii="宋体" w:hAnsi="宋体" w:cs="宋体"/>
          <w:color w:val="auto"/>
          <w:szCs w:val="21"/>
        </w:rPr>
        <w:fldChar w:fldCharType="end"/>
      </w:r>
    </w:p>
    <w:p w14:paraId="06556053">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_Toc4350 </w:instrText>
      </w:r>
      <w:r>
        <w:rPr>
          <w:rFonts w:hint="eastAsia" w:ascii="宋体" w:hAnsi="宋体" w:cs="宋体"/>
          <w:szCs w:val="21"/>
        </w:rPr>
        <w:fldChar w:fldCharType="separate"/>
      </w:r>
      <w:r>
        <w:rPr>
          <w:rFonts w:hint="eastAsia" w:hAnsi="宋体"/>
          <w:bCs/>
          <w:szCs w:val="21"/>
        </w:rPr>
        <w:t>格式</w:t>
      </w:r>
      <w:r>
        <w:rPr>
          <w:rFonts w:hAnsi="宋体"/>
          <w:bCs/>
          <w:szCs w:val="21"/>
        </w:rPr>
        <w:t>3 公平竞争承诺书</w:t>
      </w:r>
      <w:r>
        <w:tab/>
      </w:r>
      <w:r>
        <w:fldChar w:fldCharType="begin"/>
      </w:r>
      <w:r>
        <w:instrText xml:space="preserve"> PAGEREF _Toc4350 \h </w:instrText>
      </w:r>
      <w:r>
        <w:fldChar w:fldCharType="separate"/>
      </w:r>
      <w:r>
        <w:t>54</w:t>
      </w:r>
      <w:r>
        <w:fldChar w:fldCharType="end"/>
      </w:r>
      <w:r>
        <w:rPr>
          <w:rFonts w:hint="eastAsia" w:ascii="宋体" w:hAnsi="宋体" w:cs="宋体"/>
          <w:color w:val="auto"/>
          <w:szCs w:val="21"/>
        </w:rPr>
        <w:fldChar w:fldCharType="end"/>
      </w:r>
    </w:p>
    <w:p w14:paraId="7B834D52">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_Toc19315 </w:instrText>
      </w:r>
      <w:r>
        <w:rPr>
          <w:rFonts w:hint="eastAsia" w:ascii="宋体" w:hAnsi="宋体" w:cs="宋体"/>
          <w:szCs w:val="21"/>
        </w:rPr>
        <w:fldChar w:fldCharType="separate"/>
      </w:r>
      <w:r>
        <w:rPr>
          <w:rFonts w:hint="eastAsia" w:hAnsi="宋体"/>
          <w:bCs/>
          <w:szCs w:val="21"/>
        </w:rPr>
        <w:t>格式</w:t>
      </w:r>
      <w:r>
        <w:rPr>
          <w:rFonts w:hAnsi="宋体"/>
          <w:bCs/>
          <w:szCs w:val="21"/>
        </w:rPr>
        <w:t>4 法定代表人证明书</w:t>
      </w:r>
      <w:r>
        <w:tab/>
      </w:r>
      <w:r>
        <w:fldChar w:fldCharType="begin"/>
      </w:r>
      <w:r>
        <w:instrText xml:space="preserve"> PAGEREF _Toc19315 \h </w:instrText>
      </w:r>
      <w:r>
        <w:fldChar w:fldCharType="separate"/>
      </w:r>
      <w:r>
        <w:t>55</w:t>
      </w:r>
      <w:r>
        <w:fldChar w:fldCharType="end"/>
      </w:r>
      <w:r>
        <w:rPr>
          <w:rFonts w:hint="eastAsia" w:ascii="宋体" w:hAnsi="宋体" w:cs="宋体"/>
          <w:color w:val="auto"/>
          <w:szCs w:val="21"/>
        </w:rPr>
        <w:fldChar w:fldCharType="end"/>
      </w:r>
    </w:p>
    <w:p w14:paraId="6F0488AD">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_Toc12258 </w:instrText>
      </w:r>
      <w:r>
        <w:rPr>
          <w:rFonts w:hint="eastAsia" w:ascii="宋体" w:hAnsi="宋体" w:cs="宋体"/>
          <w:szCs w:val="21"/>
        </w:rPr>
        <w:fldChar w:fldCharType="separate"/>
      </w:r>
      <w:r>
        <w:rPr>
          <w:rFonts w:hint="eastAsia" w:hAnsi="宋体"/>
          <w:bCs/>
          <w:szCs w:val="21"/>
        </w:rPr>
        <w:t>格式</w:t>
      </w:r>
      <w:r>
        <w:rPr>
          <w:rFonts w:hAnsi="宋体"/>
          <w:bCs/>
          <w:szCs w:val="21"/>
        </w:rPr>
        <w:t>5 法定代表人授权委托书</w:t>
      </w:r>
      <w:r>
        <w:tab/>
      </w:r>
      <w:r>
        <w:fldChar w:fldCharType="begin"/>
      </w:r>
      <w:r>
        <w:instrText xml:space="preserve"> PAGEREF _Toc12258 \h </w:instrText>
      </w:r>
      <w:r>
        <w:fldChar w:fldCharType="separate"/>
      </w:r>
      <w:r>
        <w:t>56</w:t>
      </w:r>
      <w:r>
        <w:fldChar w:fldCharType="end"/>
      </w:r>
      <w:r>
        <w:rPr>
          <w:rFonts w:hint="eastAsia" w:ascii="宋体" w:hAnsi="宋体" w:cs="宋体"/>
          <w:color w:val="auto"/>
          <w:szCs w:val="21"/>
        </w:rPr>
        <w:fldChar w:fldCharType="end"/>
      </w:r>
    </w:p>
    <w:p w14:paraId="018F51BD">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_Toc30555 </w:instrText>
      </w:r>
      <w:r>
        <w:rPr>
          <w:rFonts w:hint="eastAsia" w:ascii="宋体" w:hAnsi="宋体" w:cs="宋体"/>
          <w:szCs w:val="21"/>
        </w:rPr>
        <w:fldChar w:fldCharType="separate"/>
      </w:r>
      <w:r>
        <w:rPr>
          <w:rFonts w:hint="eastAsia" w:hAnsi="宋体"/>
          <w:bCs/>
          <w:szCs w:val="21"/>
        </w:rPr>
        <w:t>格式</w:t>
      </w:r>
      <w:r>
        <w:rPr>
          <w:rFonts w:hAnsi="宋体"/>
          <w:bCs/>
          <w:szCs w:val="21"/>
        </w:rPr>
        <w:t>6 用户需求书响应差异表</w:t>
      </w:r>
      <w:r>
        <w:rPr>
          <w:rFonts w:hint="eastAsia" w:hAnsi="宋体"/>
          <w:bCs/>
          <w:szCs w:val="21"/>
          <w:lang w:eastAsia="zh-CN"/>
        </w:rPr>
        <w:t>（</w:t>
      </w:r>
      <w:r>
        <w:rPr>
          <w:rFonts w:hint="eastAsia" w:hAnsi="宋体"/>
          <w:bCs/>
          <w:szCs w:val="21"/>
          <w:lang w:val="en-US" w:eastAsia="zh-CN"/>
        </w:rPr>
        <w:t>同样作用于商务部分“需求响应程度”</w:t>
      </w:r>
      <w:r>
        <w:rPr>
          <w:rFonts w:hint="eastAsia" w:hAnsi="宋体"/>
          <w:bCs/>
          <w:szCs w:val="21"/>
          <w:lang w:eastAsia="zh-CN"/>
        </w:rPr>
        <w:t>）</w:t>
      </w:r>
      <w:r>
        <w:tab/>
      </w:r>
      <w:r>
        <w:fldChar w:fldCharType="begin"/>
      </w:r>
      <w:r>
        <w:instrText xml:space="preserve"> PAGEREF _Toc30555 \h </w:instrText>
      </w:r>
      <w:r>
        <w:fldChar w:fldCharType="separate"/>
      </w:r>
      <w:r>
        <w:t>57</w:t>
      </w:r>
      <w:r>
        <w:fldChar w:fldCharType="end"/>
      </w:r>
      <w:r>
        <w:rPr>
          <w:rFonts w:hint="eastAsia" w:ascii="宋体" w:hAnsi="宋体" w:cs="宋体"/>
          <w:color w:val="auto"/>
          <w:szCs w:val="21"/>
        </w:rPr>
        <w:fldChar w:fldCharType="end"/>
      </w:r>
    </w:p>
    <w:p w14:paraId="26EE6904">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_Toc29202 </w:instrText>
      </w:r>
      <w:r>
        <w:rPr>
          <w:rFonts w:hint="eastAsia" w:ascii="宋体" w:hAnsi="宋体" w:cs="宋体"/>
          <w:szCs w:val="21"/>
        </w:rPr>
        <w:fldChar w:fldCharType="separate"/>
      </w:r>
      <w:r>
        <w:rPr>
          <w:rFonts w:hint="eastAsia" w:hAnsi="宋体"/>
          <w:bCs/>
          <w:szCs w:val="21"/>
        </w:rPr>
        <w:t>格式</w:t>
      </w:r>
      <w:r>
        <w:rPr>
          <w:rFonts w:hAnsi="宋体"/>
          <w:bCs/>
          <w:szCs w:val="21"/>
        </w:rPr>
        <w:t>7 招标代理服务费承诺书</w:t>
      </w:r>
      <w:r>
        <w:tab/>
      </w:r>
      <w:r>
        <w:fldChar w:fldCharType="begin"/>
      </w:r>
      <w:r>
        <w:instrText xml:space="preserve"> PAGEREF _Toc29202 \h </w:instrText>
      </w:r>
      <w:r>
        <w:fldChar w:fldCharType="separate"/>
      </w:r>
      <w:r>
        <w:t>58</w:t>
      </w:r>
      <w:r>
        <w:fldChar w:fldCharType="end"/>
      </w:r>
      <w:r>
        <w:rPr>
          <w:rFonts w:hint="eastAsia" w:ascii="宋体" w:hAnsi="宋体" w:cs="宋体"/>
          <w:color w:val="auto"/>
          <w:szCs w:val="21"/>
        </w:rPr>
        <w:fldChar w:fldCharType="end"/>
      </w:r>
    </w:p>
    <w:p w14:paraId="3F98F966">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_Toc16443 </w:instrText>
      </w:r>
      <w:r>
        <w:rPr>
          <w:rFonts w:hint="eastAsia" w:ascii="宋体" w:hAnsi="宋体" w:cs="宋体"/>
          <w:szCs w:val="21"/>
        </w:rPr>
        <w:fldChar w:fldCharType="separate"/>
      </w:r>
      <w:r>
        <w:rPr>
          <w:rFonts w:hint="eastAsia" w:hAnsi="宋体"/>
          <w:bCs/>
          <w:szCs w:val="21"/>
        </w:rPr>
        <w:t>格式8</w:t>
      </w:r>
      <w:r>
        <w:rPr>
          <w:rFonts w:hAnsi="宋体"/>
          <w:bCs/>
          <w:szCs w:val="21"/>
        </w:rPr>
        <w:t xml:space="preserve"> 中小企业声明函（如需）</w:t>
      </w:r>
      <w:r>
        <w:tab/>
      </w:r>
      <w:r>
        <w:fldChar w:fldCharType="begin"/>
      </w:r>
      <w:r>
        <w:instrText xml:space="preserve"> PAGEREF _Toc16443 \h </w:instrText>
      </w:r>
      <w:r>
        <w:fldChar w:fldCharType="separate"/>
      </w:r>
      <w:r>
        <w:t>59</w:t>
      </w:r>
      <w:r>
        <w:fldChar w:fldCharType="end"/>
      </w:r>
      <w:r>
        <w:rPr>
          <w:rFonts w:hint="eastAsia" w:ascii="宋体" w:hAnsi="宋体" w:cs="宋体"/>
          <w:color w:val="auto"/>
          <w:szCs w:val="21"/>
        </w:rPr>
        <w:fldChar w:fldCharType="end"/>
      </w:r>
    </w:p>
    <w:p w14:paraId="21625AF9">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_Toc17861 </w:instrText>
      </w:r>
      <w:r>
        <w:rPr>
          <w:rFonts w:hint="eastAsia" w:ascii="宋体" w:hAnsi="宋体" w:cs="宋体"/>
          <w:szCs w:val="21"/>
        </w:rPr>
        <w:fldChar w:fldCharType="separate"/>
      </w:r>
      <w:r>
        <w:rPr>
          <w:rFonts w:hint="eastAsia" w:hAnsi="宋体"/>
          <w:bCs/>
          <w:szCs w:val="21"/>
        </w:rPr>
        <w:t>格式9</w:t>
      </w:r>
      <w:r>
        <w:rPr>
          <w:rFonts w:hAnsi="宋体"/>
          <w:bCs/>
          <w:szCs w:val="21"/>
        </w:rPr>
        <w:t xml:space="preserve"> 残疾人福利性单位声明函（如需）</w:t>
      </w:r>
      <w:r>
        <w:tab/>
      </w:r>
      <w:r>
        <w:fldChar w:fldCharType="begin"/>
      </w:r>
      <w:r>
        <w:instrText xml:space="preserve"> PAGEREF _Toc17861 \h </w:instrText>
      </w:r>
      <w:r>
        <w:fldChar w:fldCharType="separate"/>
      </w:r>
      <w:r>
        <w:t>60</w:t>
      </w:r>
      <w:r>
        <w:fldChar w:fldCharType="end"/>
      </w:r>
      <w:r>
        <w:rPr>
          <w:rFonts w:hint="eastAsia" w:ascii="宋体" w:hAnsi="宋体" w:cs="宋体"/>
          <w:color w:val="auto"/>
          <w:szCs w:val="21"/>
        </w:rPr>
        <w:fldChar w:fldCharType="end"/>
      </w:r>
    </w:p>
    <w:p w14:paraId="511B8DDD">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_Toc9285 </w:instrText>
      </w:r>
      <w:r>
        <w:rPr>
          <w:rFonts w:hint="eastAsia" w:ascii="宋体" w:hAnsi="宋体" w:cs="宋体"/>
          <w:szCs w:val="21"/>
        </w:rPr>
        <w:fldChar w:fldCharType="separate"/>
      </w:r>
      <w:r>
        <w:rPr>
          <w:rFonts w:hint="eastAsia" w:hAnsi="宋体"/>
          <w:bCs/>
          <w:szCs w:val="21"/>
        </w:rPr>
        <w:t>格式</w:t>
      </w:r>
      <w:r>
        <w:rPr>
          <w:rFonts w:hAnsi="宋体"/>
          <w:bCs/>
          <w:szCs w:val="21"/>
        </w:rPr>
        <w:t>1</w:t>
      </w:r>
      <w:r>
        <w:rPr>
          <w:rFonts w:hint="eastAsia" w:hAnsi="宋体"/>
          <w:bCs/>
          <w:szCs w:val="21"/>
        </w:rPr>
        <w:t>0</w:t>
      </w:r>
      <w:r>
        <w:rPr>
          <w:rFonts w:hAnsi="宋体"/>
          <w:bCs/>
          <w:szCs w:val="21"/>
        </w:rPr>
        <w:t xml:space="preserve"> 监狱企业的证明文件（如需）</w:t>
      </w:r>
      <w:r>
        <w:tab/>
      </w:r>
      <w:r>
        <w:fldChar w:fldCharType="begin"/>
      </w:r>
      <w:r>
        <w:instrText xml:space="preserve"> PAGEREF _Toc9285 \h </w:instrText>
      </w:r>
      <w:r>
        <w:fldChar w:fldCharType="separate"/>
      </w:r>
      <w:r>
        <w:t>61</w:t>
      </w:r>
      <w:r>
        <w:fldChar w:fldCharType="end"/>
      </w:r>
      <w:r>
        <w:rPr>
          <w:rFonts w:hint="eastAsia" w:ascii="宋体" w:hAnsi="宋体" w:cs="宋体"/>
          <w:color w:val="auto"/>
          <w:szCs w:val="21"/>
        </w:rPr>
        <w:fldChar w:fldCharType="end"/>
      </w:r>
    </w:p>
    <w:p w14:paraId="44D60C1F">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_Toc15836 </w:instrText>
      </w:r>
      <w:r>
        <w:rPr>
          <w:rFonts w:hint="eastAsia" w:ascii="宋体" w:hAnsi="宋体" w:cs="宋体"/>
          <w:szCs w:val="21"/>
        </w:rPr>
        <w:fldChar w:fldCharType="separate"/>
      </w:r>
      <w:r>
        <w:rPr>
          <w:rFonts w:hAnsi="宋体"/>
          <w:szCs w:val="44"/>
        </w:rPr>
        <w:t>二、技术部</w:t>
      </w:r>
      <w:r>
        <w:rPr>
          <w:rFonts w:hint="eastAsia" w:hAnsi="宋体"/>
          <w:szCs w:val="44"/>
        </w:rPr>
        <w:t>分</w:t>
      </w:r>
      <w:r>
        <w:tab/>
      </w:r>
      <w:r>
        <w:fldChar w:fldCharType="begin"/>
      </w:r>
      <w:r>
        <w:instrText xml:space="preserve"> PAGEREF _Toc15836 \h </w:instrText>
      </w:r>
      <w:r>
        <w:fldChar w:fldCharType="separate"/>
      </w:r>
      <w:r>
        <w:t>62</w:t>
      </w:r>
      <w:r>
        <w:fldChar w:fldCharType="end"/>
      </w:r>
      <w:r>
        <w:rPr>
          <w:rFonts w:hint="eastAsia" w:ascii="宋体" w:hAnsi="宋体" w:cs="宋体"/>
          <w:color w:val="auto"/>
          <w:szCs w:val="21"/>
        </w:rPr>
        <w:fldChar w:fldCharType="end"/>
      </w:r>
    </w:p>
    <w:p w14:paraId="35D6EFCE">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_Toc2690 </w:instrText>
      </w:r>
      <w:r>
        <w:rPr>
          <w:rFonts w:hint="eastAsia" w:ascii="宋体" w:hAnsi="宋体" w:cs="宋体"/>
          <w:szCs w:val="21"/>
        </w:rPr>
        <w:fldChar w:fldCharType="separate"/>
      </w:r>
      <w:r>
        <w:rPr>
          <w:rFonts w:hint="eastAsia" w:hAnsi="宋体"/>
          <w:bCs/>
          <w:szCs w:val="21"/>
        </w:rPr>
        <w:t>格式</w:t>
      </w:r>
      <w:r>
        <w:rPr>
          <w:rFonts w:hAnsi="宋体"/>
          <w:bCs/>
          <w:szCs w:val="21"/>
        </w:rPr>
        <w:t>1</w:t>
      </w:r>
      <w:r>
        <w:rPr>
          <w:rFonts w:hint="eastAsia" w:hAnsi="宋体"/>
          <w:bCs/>
          <w:szCs w:val="21"/>
        </w:rPr>
        <w:t>1</w:t>
      </w:r>
      <w:r>
        <w:rPr>
          <w:rFonts w:hAnsi="宋体"/>
          <w:bCs/>
          <w:szCs w:val="21"/>
        </w:rPr>
        <w:t xml:space="preserve"> 项目方案（格式自拟）</w:t>
      </w:r>
      <w:r>
        <w:tab/>
      </w:r>
      <w:r>
        <w:fldChar w:fldCharType="begin"/>
      </w:r>
      <w:r>
        <w:instrText xml:space="preserve"> PAGEREF _Toc2690 \h </w:instrText>
      </w:r>
      <w:r>
        <w:fldChar w:fldCharType="separate"/>
      </w:r>
      <w:r>
        <w:t>62</w:t>
      </w:r>
      <w:r>
        <w:fldChar w:fldCharType="end"/>
      </w:r>
      <w:r>
        <w:rPr>
          <w:rFonts w:hint="eastAsia" w:ascii="宋体" w:hAnsi="宋体" w:cs="宋体"/>
          <w:color w:val="auto"/>
          <w:szCs w:val="21"/>
        </w:rPr>
        <w:fldChar w:fldCharType="end"/>
      </w:r>
    </w:p>
    <w:p w14:paraId="332F05F7">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_Toc28218 </w:instrText>
      </w:r>
      <w:r>
        <w:rPr>
          <w:rFonts w:hint="eastAsia" w:ascii="宋体" w:hAnsi="宋体" w:cs="宋体"/>
          <w:szCs w:val="21"/>
        </w:rPr>
        <w:fldChar w:fldCharType="separate"/>
      </w:r>
      <w:r>
        <w:rPr>
          <w:rFonts w:hAnsi="宋体"/>
          <w:szCs w:val="44"/>
        </w:rPr>
        <w:t>三、商务部分</w:t>
      </w:r>
      <w:r>
        <w:tab/>
      </w:r>
      <w:r>
        <w:fldChar w:fldCharType="begin"/>
      </w:r>
      <w:r>
        <w:instrText xml:space="preserve"> PAGEREF _Toc28218 \h </w:instrText>
      </w:r>
      <w:r>
        <w:fldChar w:fldCharType="separate"/>
      </w:r>
      <w:r>
        <w:t>63</w:t>
      </w:r>
      <w:r>
        <w:fldChar w:fldCharType="end"/>
      </w:r>
      <w:r>
        <w:rPr>
          <w:rFonts w:hint="eastAsia" w:ascii="宋体" w:hAnsi="宋体" w:cs="宋体"/>
          <w:color w:val="auto"/>
          <w:szCs w:val="21"/>
        </w:rPr>
        <w:fldChar w:fldCharType="end"/>
      </w:r>
    </w:p>
    <w:p w14:paraId="6C577E58">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_Toc25669 </w:instrText>
      </w:r>
      <w:r>
        <w:rPr>
          <w:rFonts w:hint="eastAsia" w:ascii="宋体" w:hAnsi="宋体" w:cs="宋体"/>
          <w:szCs w:val="21"/>
        </w:rPr>
        <w:fldChar w:fldCharType="separate"/>
      </w:r>
      <w:r>
        <w:rPr>
          <w:rFonts w:hint="eastAsia" w:hAnsi="宋体"/>
          <w:bCs/>
          <w:szCs w:val="21"/>
        </w:rPr>
        <w:t>格式1</w:t>
      </w:r>
      <w:r>
        <w:rPr>
          <w:rFonts w:hint="eastAsia" w:hAnsi="宋体"/>
          <w:bCs/>
          <w:szCs w:val="21"/>
          <w:lang w:val="en-US" w:eastAsia="zh-CN"/>
        </w:rPr>
        <w:t>2</w:t>
      </w:r>
      <w:r>
        <w:rPr>
          <w:rFonts w:hint="eastAsia" w:hAnsi="宋体"/>
          <w:bCs/>
          <w:szCs w:val="21"/>
        </w:rPr>
        <w:t xml:space="preserve"> </w:t>
      </w:r>
      <w:r>
        <w:rPr>
          <w:rFonts w:hint="eastAsia" w:ascii="宋体" w:hAnsi="宋体"/>
          <w:bCs/>
          <w:szCs w:val="21"/>
        </w:rPr>
        <w:t>同类项目业绩一览表</w:t>
      </w:r>
      <w:r>
        <w:tab/>
      </w:r>
      <w:r>
        <w:fldChar w:fldCharType="begin"/>
      </w:r>
      <w:r>
        <w:instrText xml:space="preserve"> PAGEREF _Toc25669 \h </w:instrText>
      </w:r>
      <w:r>
        <w:fldChar w:fldCharType="separate"/>
      </w:r>
      <w:r>
        <w:t>63</w:t>
      </w:r>
      <w:r>
        <w:fldChar w:fldCharType="end"/>
      </w:r>
      <w:r>
        <w:rPr>
          <w:rFonts w:hint="eastAsia" w:ascii="宋体" w:hAnsi="宋体" w:cs="宋体"/>
          <w:color w:val="auto"/>
          <w:szCs w:val="21"/>
        </w:rPr>
        <w:fldChar w:fldCharType="end"/>
      </w:r>
    </w:p>
    <w:p w14:paraId="3B7817B6">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_Toc25598 </w:instrText>
      </w:r>
      <w:r>
        <w:rPr>
          <w:rFonts w:hint="eastAsia" w:ascii="宋体" w:hAnsi="宋体" w:cs="宋体"/>
          <w:szCs w:val="21"/>
        </w:rPr>
        <w:fldChar w:fldCharType="separate"/>
      </w:r>
      <w:r>
        <w:rPr>
          <w:rFonts w:hint="eastAsia" w:hAnsi="宋体"/>
          <w:bCs/>
          <w:szCs w:val="21"/>
        </w:rPr>
        <w:t>格式1</w:t>
      </w:r>
      <w:r>
        <w:rPr>
          <w:rFonts w:hint="eastAsia" w:hAnsi="宋体"/>
          <w:bCs/>
          <w:szCs w:val="21"/>
          <w:lang w:val="en-US" w:eastAsia="zh-CN"/>
        </w:rPr>
        <w:t>3</w:t>
      </w:r>
      <w:r>
        <w:rPr>
          <w:rFonts w:hint="eastAsia" w:hAnsi="宋体"/>
          <w:bCs/>
          <w:szCs w:val="21"/>
        </w:rPr>
        <w:t xml:space="preserve"> </w:t>
      </w:r>
      <w:r>
        <w:rPr>
          <w:rFonts w:hint="eastAsia" w:hAnsi="宋体"/>
          <w:bCs/>
          <w:szCs w:val="21"/>
          <w:lang w:val="en-US" w:eastAsia="zh-CN"/>
        </w:rPr>
        <w:t>履约能力</w:t>
      </w:r>
      <w:r>
        <w:tab/>
      </w:r>
      <w:r>
        <w:fldChar w:fldCharType="begin"/>
      </w:r>
      <w:r>
        <w:instrText xml:space="preserve"> PAGEREF _Toc25598 \h </w:instrText>
      </w:r>
      <w:r>
        <w:fldChar w:fldCharType="separate"/>
      </w:r>
      <w:r>
        <w:t>64</w:t>
      </w:r>
      <w:r>
        <w:fldChar w:fldCharType="end"/>
      </w:r>
      <w:r>
        <w:rPr>
          <w:rFonts w:hint="eastAsia" w:ascii="宋体" w:hAnsi="宋体" w:cs="宋体"/>
          <w:color w:val="auto"/>
          <w:szCs w:val="21"/>
        </w:rPr>
        <w:fldChar w:fldCharType="end"/>
      </w:r>
    </w:p>
    <w:p w14:paraId="78FC2F51">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_Toc12026 </w:instrText>
      </w:r>
      <w:r>
        <w:rPr>
          <w:rFonts w:hint="eastAsia" w:ascii="宋体" w:hAnsi="宋体" w:cs="宋体"/>
          <w:szCs w:val="21"/>
        </w:rPr>
        <w:fldChar w:fldCharType="separate"/>
      </w:r>
      <w:r>
        <w:rPr>
          <w:rFonts w:hint="eastAsia" w:ascii="Times New Roman" w:hAnsi="宋体" w:eastAsia="宋体" w:cs="Times New Roman"/>
          <w:bCs/>
          <w:szCs w:val="21"/>
        </w:rPr>
        <w:t>格式1</w:t>
      </w:r>
      <w:r>
        <w:rPr>
          <w:rFonts w:hint="eastAsia" w:ascii="Times New Roman" w:hAnsi="宋体" w:eastAsia="宋体" w:cs="Times New Roman"/>
          <w:bCs/>
          <w:szCs w:val="21"/>
          <w:lang w:val="en-US" w:eastAsia="zh-CN"/>
        </w:rPr>
        <w:t>4</w:t>
      </w:r>
      <w:r>
        <w:rPr>
          <w:rFonts w:hint="eastAsia" w:ascii="Times New Roman" w:hAnsi="宋体" w:eastAsia="宋体" w:cs="Times New Roman"/>
          <w:bCs/>
          <w:szCs w:val="21"/>
        </w:rPr>
        <w:t xml:space="preserve"> 拟投入本项目的项目负责人情况</w:t>
      </w:r>
      <w:r>
        <w:tab/>
      </w:r>
      <w:r>
        <w:fldChar w:fldCharType="begin"/>
      </w:r>
      <w:r>
        <w:instrText xml:space="preserve"> PAGEREF _Toc12026 \h </w:instrText>
      </w:r>
      <w:r>
        <w:fldChar w:fldCharType="separate"/>
      </w:r>
      <w:r>
        <w:t>65</w:t>
      </w:r>
      <w:r>
        <w:fldChar w:fldCharType="end"/>
      </w:r>
      <w:r>
        <w:rPr>
          <w:rFonts w:hint="eastAsia" w:ascii="宋体" w:hAnsi="宋体" w:cs="宋体"/>
          <w:color w:val="auto"/>
          <w:szCs w:val="21"/>
        </w:rPr>
        <w:fldChar w:fldCharType="end"/>
      </w:r>
    </w:p>
    <w:p w14:paraId="21E10614">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_Toc24703 </w:instrText>
      </w:r>
      <w:r>
        <w:rPr>
          <w:rFonts w:hint="eastAsia" w:ascii="宋体" w:hAnsi="宋体" w:cs="宋体"/>
          <w:szCs w:val="21"/>
        </w:rPr>
        <w:fldChar w:fldCharType="separate"/>
      </w:r>
      <w:r>
        <w:rPr>
          <w:rFonts w:hint="eastAsia" w:ascii="Times New Roman" w:hAnsi="宋体" w:eastAsia="宋体" w:cs="Times New Roman"/>
          <w:bCs/>
          <w:szCs w:val="21"/>
        </w:rPr>
        <w:t>格式1</w:t>
      </w:r>
      <w:r>
        <w:rPr>
          <w:rFonts w:hint="eastAsia" w:ascii="Times New Roman" w:hAnsi="宋体" w:eastAsia="宋体" w:cs="Times New Roman"/>
          <w:bCs/>
          <w:szCs w:val="21"/>
          <w:lang w:val="en-US" w:eastAsia="zh-CN"/>
        </w:rPr>
        <w:t>5</w:t>
      </w:r>
      <w:r>
        <w:rPr>
          <w:rFonts w:hint="eastAsia" w:ascii="Times New Roman" w:hAnsi="宋体" w:eastAsia="宋体" w:cs="Times New Roman"/>
          <w:bCs/>
          <w:szCs w:val="21"/>
        </w:rPr>
        <w:t xml:space="preserve"> 拟投入本项目的项目团队情况</w:t>
      </w:r>
      <w:r>
        <w:tab/>
      </w:r>
      <w:r>
        <w:fldChar w:fldCharType="begin"/>
      </w:r>
      <w:r>
        <w:instrText xml:space="preserve"> PAGEREF _Toc24703 \h </w:instrText>
      </w:r>
      <w:r>
        <w:fldChar w:fldCharType="separate"/>
      </w:r>
      <w:r>
        <w:t>65</w:t>
      </w:r>
      <w:r>
        <w:fldChar w:fldCharType="end"/>
      </w:r>
      <w:r>
        <w:rPr>
          <w:rFonts w:hint="eastAsia" w:ascii="宋体" w:hAnsi="宋体" w:cs="宋体"/>
          <w:color w:val="auto"/>
          <w:szCs w:val="21"/>
        </w:rPr>
        <w:fldChar w:fldCharType="end"/>
      </w:r>
    </w:p>
    <w:p w14:paraId="0F693324">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_Toc436 </w:instrText>
      </w:r>
      <w:r>
        <w:rPr>
          <w:rFonts w:hint="eastAsia" w:ascii="宋体" w:hAnsi="宋体" w:cs="宋体"/>
          <w:szCs w:val="21"/>
        </w:rPr>
        <w:fldChar w:fldCharType="separate"/>
      </w:r>
      <w:r>
        <w:rPr>
          <w:rFonts w:hint="eastAsia" w:hAnsi="宋体"/>
          <w:szCs w:val="44"/>
        </w:rPr>
        <w:t>四、价格部分</w:t>
      </w:r>
      <w:r>
        <w:tab/>
      </w:r>
      <w:r>
        <w:fldChar w:fldCharType="begin"/>
      </w:r>
      <w:r>
        <w:instrText xml:space="preserve"> PAGEREF _Toc436 \h </w:instrText>
      </w:r>
      <w:r>
        <w:fldChar w:fldCharType="separate"/>
      </w:r>
      <w:r>
        <w:t>66</w:t>
      </w:r>
      <w:r>
        <w:fldChar w:fldCharType="end"/>
      </w:r>
      <w:r>
        <w:rPr>
          <w:rFonts w:hint="eastAsia" w:ascii="宋体" w:hAnsi="宋体" w:cs="宋体"/>
          <w:color w:val="auto"/>
          <w:szCs w:val="21"/>
        </w:rPr>
        <w:fldChar w:fldCharType="end"/>
      </w:r>
    </w:p>
    <w:p w14:paraId="72DE94FB">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_Toc30009 </w:instrText>
      </w:r>
      <w:r>
        <w:rPr>
          <w:rFonts w:hint="eastAsia" w:ascii="宋体" w:hAnsi="宋体" w:cs="宋体"/>
          <w:szCs w:val="21"/>
        </w:rPr>
        <w:fldChar w:fldCharType="separate"/>
      </w:r>
      <w:r>
        <w:rPr>
          <w:rFonts w:hint="eastAsia" w:hAnsi="宋体"/>
          <w:bCs/>
          <w:szCs w:val="21"/>
        </w:rPr>
        <w:t>格式1</w:t>
      </w:r>
      <w:r>
        <w:rPr>
          <w:rFonts w:hint="eastAsia" w:hAnsi="宋体"/>
          <w:bCs/>
          <w:szCs w:val="21"/>
          <w:lang w:val="en-US" w:eastAsia="zh-CN"/>
        </w:rPr>
        <w:t>6</w:t>
      </w:r>
      <w:r>
        <w:rPr>
          <w:rFonts w:hAnsi="宋体"/>
          <w:bCs/>
          <w:szCs w:val="21"/>
        </w:rPr>
        <w:t xml:space="preserve"> 报价一览表（首次报价）</w:t>
      </w:r>
      <w:r>
        <w:tab/>
      </w:r>
      <w:r>
        <w:fldChar w:fldCharType="begin"/>
      </w:r>
      <w:r>
        <w:instrText xml:space="preserve"> PAGEREF _Toc30009 \h </w:instrText>
      </w:r>
      <w:r>
        <w:fldChar w:fldCharType="separate"/>
      </w:r>
      <w:r>
        <w:t>66</w:t>
      </w:r>
      <w:r>
        <w:fldChar w:fldCharType="end"/>
      </w:r>
      <w:r>
        <w:rPr>
          <w:rFonts w:hint="eastAsia" w:ascii="宋体" w:hAnsi="宋体" w:cs="宋体"/>
          <w:color w:val="auto"/>
          <w:szCs w:val="21"/>
        </w:rPr>
        <w:fldChar w:fldCharType="end"/>
      </w:r>
    </w:p>
    <w:p w14:paraId="116117B5">
      <w:pPr>
        <w:pStyle w:val="20"/>
        <w:tabs>
          <w:tab w:val="right" w:leader="dot" w:pos="9354"/>
          <w:tab w:val="clear" w:pos="9170"/>
        </w:tabs>
        <w:spacing w:line="360" w:lineRule="auto"/>
      </w:pPr>
      <w:r>
        <w:rPr>
          <w:rFonts w:hint="eastAsia" w:ascii="宋体" w:hAnsi="宋体" w:cs="宋体"/>
          <w:color w:val="auto"/>
          <w:szCs w:val="21"/>
        </w:rPr>
        <w:fldChar w:fldCharType="begin"/>
      </w:r>
      <w:r>
        <w:rPr>
          <w:rFonts w:hint="eastAsia" w:ascii="宋体" w:hAnsi="宋体" w:cs="宋体"/>
          <w:szCs w:val="21"/>
        </w:rPr>
        <w:instrText xml:space="preserve"> HYPERLINK \l _Toc27626 </w:instrText>
      </w:r>
      <w:r>
        <w:rPr>
          <w:rFonts w:hint="eastAsia" w:ascii="宋体" w:hAnsi="宋体" w:cs="宋体"/>
          <w:szCs w:val="21"/>
        </w:rPr>
        <w:fldChar w:fldCharType="separate"/>
      </w:r>
      <w:r>
        <w:rPr>
          <w:rFonts w:hint="eastAsia" w:ascii="宋体" w:hAnsi="宋体"/>
          <w:bCs/>
          <w:szCs w:val="21"/>
        </w:rPr>
        <w:t>格式1</w:t>
      </w:r>
      <w:r>
        <w:rPr>
          <w:rFonts w:hint="eastAsia" w:ascii="宋体" w:hAnsi="宋体"/>
          <w:bCs/>
          <w:szCs w:val="21"/>
          <w:lang w:val="en-US" w:eastAsia="zh-CN"/>
        </w:rPr>
        <w:t>7</w:t>
      </w:r>
      <w:r>
        <w:rPr>
          <w:rFonts w:ascii="宋体" w:hAnsi="宋体"/>
          <w:bCs/>
          <w:szCs w:val="21"/>
        </w:rPr>
        <w:t xml:space="preserve"> 报价明细表</w:t>
      </w:r>
      <w:r>
        <w:tab/>
      </w:r>
      <w:r>
        <w:fldChar w:fldCharType="begin"/>
      </w:r>
      <w:r>
        <w:instrText xml:space="preserve"> PAGEREF _Toc27626 \h </w:instrText>
      </w:r>
      <w:r>
        <w:fldChar w:fldCharType="separate"/>
      </w:r>
      <w:r>
        <w:t>67</w:t>
      </w:r>
      <w:r>
        <w:fldChar w:fldCharType="end"/>
      </w:r>
      <w:r>
        <w:rPr>
          <w:rFonts w:hint="eastAsia" w:ascii="宋体" w:hAnsi="宋体" w:cs="宋体"/>
          <w:color w:val="auto"/>
          <w:szCs w:val="21"/>
        </w:rPr>
        <w:fldChar w:fldCharType="end"/>
      </w:r>
    </w:p>
    <w:p w14:paraId="2239D0BB">
      <w:pPr>
        <w:tabs>
          <w:tab w:val="left" w:pos="567"/>
        </w:tabs>
        <w:spacing w:line="360" w:lineRule="auto"/>
        <w:ind w:left="567" w:hanging="567" w:hangingChars="270"/>
        <w:jc w:val="center"/>
        <w:rPr>
          <w:rFonts w:ascii="Calibri" w:hAnsi="Calibri"/>
          <w:color w:val="auto"/>
          <w:szCs w:val="21"/>
        </w:rPr>
        <w:sectPr>
          <w:headerReference r:id="rId7" w:type="first"/>
          <w:footerReference r:id="rId9" w:type="first"/>
          <w:footerReference r:id="rId8" w:type="default"/>
          <w:pgSz w:w="11906" w:h="16838"/>
          <w:pgMar w:top="1276" w:right="1191" w:bottom="1191" w:left="1361" w:header="737" w:footer="737" w:gutter="0"/>
          <w:pgNumType w:start="1"/>
          <w:cols w:space="720" w:num="1"/>
          <w:titlePg/>
          <w:docGrid w:type="lines" w:linePitch="312" w:charSpace="0"/>
        </w:sectPr>
      </w:pPr>
      <w:r>
        <w:rPr>
          <w:rFonts w:hint="eastAsia" w:ascii="宋体" w:hAnsi="宋体" w:cs="宋体"/>
          <w:color w:val="auto"/>
          <w:szCs w:val="21"/>
        </w:rPr>
        <w:fldChar w:fldCharType="end"/>
      </w:r>
      <w:bookmarkEnd w:id="0"/>
    </w:p>
    <w:p w14:paraId="5E57CA47">
      <w:pPr>
        <w:pStyle w:val="2"/>
        <w:spacing w:before="0" w:after="0" w:line="360" w:lineRule="auto"/>
        <w:rPr>
          <w:rFonts w:ascii="宋体" w:hAnsi="宋体" w:cs="宋体"/>
          <w:color w:val="auto"/>
        </w:rPr>
      </w:pPr>
      <w:bookmarkStart w:id="15" w:name="_Toc13232"/>
      <w:r>
        <w:rPr>
          <w:rFonts w:hint="eastAsia" w:ascii="宋体" w:hAnsi="宋体" w:cs="宋体"/>
          <w:color w:val="auto"/>
        </w:rPr>
        <w:t>第一部分</w:t>
      </w:r>
      <w:r>
        <w:rPr>
          <w:rFonts w:ascii="宋体" w:hAnsi="宋体" w:cs="宋体"/>
          <w:color w:val="auto"/>
        </w:rPr>
        <w:t xml:space="preserve">  竞争性磋商公告</w:t>
      </w:r>
      <w:bookmarkEnd w:id="15"/>
    </w:p>
    <w:p w14:paraId="05339F44">
      <w:pPr>
        <w:pStyle w:val="10"/>
        <w:snapToGrid w:val="0"/>
        <w:spacing w:line="360" w:lineRule="auto"/>
        <w:ind w:left="0" w:leftChars="0" w:firstLine="424" w:firstLineChars="201"/>
        <w:rPr>
          <w:rFonts w:ascii="宋体" w:hAnsi="宋体" w:cs="Tahoma"/>
          <w:color w:val="auto"/>
          <w:szCs w:val="21"/>
          <w:lang w:val="en-US"/>
        </w:rPr>
      </w:pPr>
      <w:bookmarkStart w:id="16" w:name="_Toc56911021"/>
      <w:bookmarkStart w:id="17" w:name="_Toc56911022"/>
      <w:bookmarkStart w:id="18" w:name="_Toc495977854"/>
      <w:bookmarkStart w:id="19" w:name="_Toc486847011"/>
      <w:r>
        <w:rPr>
          <w:rFonts w:hint="eastAsia" w:ascii="宋体" w:hAnsi="宋体" w:cs="Tahoma"/>
          <w:b/>
          <w:color w:val="auto"/>
          <w:szCs w:val="21"/>
          <w:u w:val="single"/>
          <w:lang w:eastAsia="zh-CN"/>
        </w:rPr>
        <w:t>2024年广州市南沙政务服务公众考核满意度调查项目</w:t>
      </w:r>
      <w:r>
        <w:rPr>
          <w:rFonts w:ascii="宋体" w:hAnsi="宋体" w:cs="Tahoma"/>
          <w:color w:val="auto"/>
          <w:szCs w:val="21"/>
        </w:rPr>
        <w:t>的潜在</w:t>
      </w:r>
      <w:r>
        <w:rPr>
          <w:rFonts w:hint="eastAsia" w:ascii="宋体" w:hAnsi="宋体" w:cs="Tahoma"/>
          <w:color w:val="auto"/>
          <w:szCs w:val="21"/>
        </w:rPr>
        <w:t>响应供应商</w:t>
      </w:r>
      <w:r>
        <w:rPr>
          <w:rFonts w:ascii="宋体" w:hAnsi="宋体" w:cs="Tahoma"/>
          <w:color w:val="auto"/>
          <w:szCs w:val="21"/>
        </w:rPr>
        <w:t>应在</w:t>
      </w:r>
      <w:r>
        <w:rPr>
          <w:rFonts w:ascii="宋体" w:hAnsi="宋体" w:cs="Tahoma"/>
          <w:b/>
          <w:color w:val="auto"/>
          <w:szCs w:val="21"/>
          <w:u w:val="single"/>
        </w:rPr>
        <w:t>广州市天河区高唐路239号时代E-</w:t>
      </w:r>
      <w:r>
        <w:rPr>
          <w:rFonts w:hint="eastAsia" w:ascii="宋体" w:hAnsi="宋体" w:cs="Tahoma"/>
          <w:b/>
          <w:color w:val="auto"/>
          <w:szCs w:val="21"/>
          <w:u w:val="single"/>
        </w:rPr>
        <w:t>PARK1</w:t>
      </w:r>
      <w:r>
        <w:rPr>
          <w:rFonts w:ascii="宋体" w:hAnsi="宋体" w:cs="Tahoma"/>
          <w:b/>
          <w:color w:val="auto"/>
          <w:szCs w:val="21"/>
          <w:u w:val="single"/>
        </w:rPr>
        <w:t>期1栋503房</w:t>
      </w:r>
      <w:r>
        <w:rPr>
          <w:rFonts w:ascii="宋体" w:hAnsi="宋体" w:cs="Tahoma"/>
          <w:color w:val="auto"/>
          <w:szCs w:val="21"/>
        </w:rPr>
        <w:t>获取采购文件</w:t>
      </w:r>
      <w:r>
        <w:rPr>
          <w:rFonts w:hint="eastAsia" w:ascii="宋体" w:hAnsi="宋体" w:cs="Tahoma"/>
          <w:color w:val="auto"/>
          <w:szCs w:val="21"/>
          <w:lang w:val="en-US"/>
        </w:rPr>
        <w:t>，</w:t>
      </w:r>
      <w:r>
        <w:rPr>
          <w:rFonts w:hint="eastAsia" w:ascii="宋体" w:hAnsi="宋体" w:cs="Tahoma"/>
          <w:color w:val="auto"/>
          <w:szCs w:val="21"/>
        </w:rPr>
        <w:t>并于</w:t>
      </w:r>
      <w:r>
        <w:rPr>
          <w:rFonts w:ascii="宋体" w:hAnsi="宋体" w:cs="Tahoma"/>
          <w:color w:val="auto"/>
          <w:szCs w:val="21"/>
          <w:u w:val="single"/>
          <w:lang w:eastAsia="zh-TW"/>
        </w:rPr>
        <w:t>202</w:t>
      </w:r>
      <w:r>
        <w:rPr>
          <w:rFonts w:hint="eastAsia" w:ascii="宋体" w:hAnsi="宋体" w:cs="Tahoma"/>
          <w:color w:val="auto"/>
          <w:szCs w:val="21"/>
          <w:u w:val="single"/>
          <w:lang w:val="en-US"/>
        </w:rPr>
        <w:t>3</w:t>
      </w:r>
      <w:r>
        <w:rPr>
          <w:rFonts w:hint="eastAsia" w:ascii="宋体" w:hAnsi="宋体" w:cs="Tahoma"/>
          <w:color w:val="auto"/>
          <w:szCs w:val="21"/>
        </w:rPr>
        <w:t>年</w:t>
      </w:r>
      <w:r>
        <w:rPr>
          <w:rFonts w:hint="eastAsia" w:ascii="宋体" w:hAnsi="宋体" w:cs="Tahoma"/>
          <w:color w:val="auto"/>
          <w:szCs w:val="21"/>
          <w:u w:val="single"/>
          <w:lang w:val="en-US" w:eastAsia="zh-CN"/>
        </w:rPr>
        <w:t>12</w:t>
      </w:r>
      <w:r>
        <w:rPr>
          <w:rFonts w:hint="eastAsia" w:ascii="宋体" w:hAnsi="宋体" w:cs="Tahoma"/>
          <w:color w:val="auto"/>
          <w:szCs w:val="21"/>
        </w:rPr>
        <w:t>月</w:t>
      </w:r>
      <w:r>
        <w:rPr>
          <w:rFonts w:hint="eastAsia" w:ascii="宋体" w:hAnsi="宋体" w:cs="Tahoma"/>
          <w:color w:val="auto"/>
          <w:szCs w:val="21"/>
          <w:u w:val="single"/>
          <w:lang w:val="en-US" w:eastAsia="zh-CN"/>
        </w:rPr>
        <w:t>25</w:t>
      </w:r>
      <w:r>
        <w:rPr>
          <w:rFonts w:hint="eastAsia" w:ascii="宋体" w:hAnsi="宋体" w:cs="Tahoma"/>
          <w:color w:val="auto"/>
          <w:szCs w:val="21"/>
        </w:rPr>
        <w:t>日</w:t>
      </w:r>
      <w:r>
        <w:rPr>
          <w:rFonts w:hint="eastAsia" w:ascii="宋体" w:hAnsi="宋体" w:cs="Tahoma"/>
          <w:color w:val="auto"/>
          <w:szCs w:val="21"/>
          <w:u w:val="single"/>
          <w:lang w:val="en-US" w:eastAsia="zh-CN"/>
        </w:rPr>
        <w:t>14</w:t>
      </w:r>
      <w:r>
        <w:rPr>
          <w:rFonts w:ascii="宋体" w:hAnsi="宋体" w:cs="Tahoma"/>
          <w:color w:val="auto"/>
          <w:szCs w:val="21"/>
        </w:rPr>
        <w:t>点</w:t>
      </w:r>
      <w:r>
        <w:rPr>
          <w:rFonts w:hint="eastAsia" w:ascii="宋体" w:hAnsi="宋体" w:cs="Tahoma"/>
          <w:color w:val="auto"/>
          <w:szCs w:val="21"/>
          <w:u w:val="single"/>
          <w:lang w:val="en-US" w:eastAsia="zh-CN"/>
        </w:rPr>
        <w:t>30</w:t>
      </w:r>
      <w:r>
        <w:rPr>
          <w:rFonts w:hint="eastAsia" w:ascii="宋体" w:hAnsi="宋体" w:cs="Tahoma"/>
          <w:color w:val="auto"/>
          <w:szCs w:val="21"/>
        </w:rPr>
        <w:t>分</w:t>
      </w:r>
      <w:r>
        <w:rPr>
          <w:rFonts w:hint="eastAsia" w:ascii="宋体" w:hAnsi="宋体" w:cs="Tahoma"/>
          <w:color w:val="auto"/>
          <w:szCs w:val="21"/>
          <w:lang w:val="en-US"/>
        </w:rPr>
        <w:t>（</w:t>
      </w:r>
      <w:r>
        <w:rPr>
          <w:rFonts w:ascii="宋体" w:hAnsi="宋体" w:cs="Tahoma"/>
          <w:color w:val="auto"/>
          <w:szCs w:val="21"/>
        </w:rPr>
        <w:t>北京时间</w:t>
      </w:r>
      <w:r>
        <w:rPr>
          <w:rFonts w:hint="eastAsia" w:ascii="宋体" w:hAnsi="宋体" w:cs="Tahoma"/>
          <w:color w:val="auto"/>
          <w:szCs w:val="21"/>
          <w:lang w:val="en-US"/>
        </w:rPr>
        <w:t>）</w:t>
      </w:r>
      <w:r>
        <w:rPr>
          <w:rFonts w:ascii="宋体" w:hAnsi="宋体" w:cs="Tahoma"/>
          <w:color w:val="auto"/>
          <w:szCs w:val="21"/>
        </w:rPr>
        <w:t>前递交</w:t>
      </w:r>
      <w:r>
        <w:rPr>
          <w:rFonts w:hint="eastAsia" w:ascii="宋体" w:hAnsi="宋体" w:cs="Tahoma"/>
          <w:color w:val="auto"/>
          <w:szCs w:val="21"/>
        </w:rPr>
        <w:t>响应文件</w:t>
      </w:r>
      <w:r>
        <w:rPr>
          <w:rFonts w:ascii="宋体" w:hAnsi="宋体" w:cs="Tahoma"/>
          <w:color w:val="auto"/>
          <w:szCs w:val="21"/>
        </w:rPr>
        <w:t>。</w:t>
      </w:r>
    </w:p>
    <w:p w14:paraId="3FF7D304">
      <w:pPr>
        <w:pStyle w:val="10"/>
        <w:snapToGrid w:val="0"/>
        <w:spacing w:line="360" w:lineRule="auto"/>
        <w:ind w:left="0" w:leftChars="0" w:right="25" w:rightChars="12" w:firstLine="424" w:firstLineChars="201"/>
        <w:rPr>
          <w:rFonts w:ascii="宋体" w:hAnsi="宋体" w:cs="Tahoma"/>
          <w:b/>
          <w:color w:val="auto"/>
          <w:szCs w:val="21"/>
          <w:lang w:val="en-US"/>
        </w:rPr>
      </w:pPr>
      <w:r>
        <w:rPr>
          <w:rFonts w:ascii="宋体" w:hAnsi="宋体" w:cs="Tahoma"/>
          <w:b/>
          <w:color w:val="auto"/>
          <w:szCs w:val="21"/>
        </w:rPr>
        <w:t>一、项目基本情况</w:t>
      </w:r>
      <w:r>
        <w:rPr>
          <w:rFonts w:hint="eastAsia" w:ascii="宋体" w:hAnsi="宋体" w:cs="Tahoma"/>
          <w:b/>
          <w:color w:val="auto"/>
          <w:szCs w:val="21"/>
          <w:lang w:val="en-US"/>
        </w:rPr>
        <w:t>：</w:t>
      </w:r>
    </w:p>
    <w:p w14:paraId="474F2B93">
      <w:pPr>
        <w:pStyle w:val="10"/>
        <w:snapToGrid w:val="0"/>
        <w:spacing w:line="360" w:lineRule="auto"/>
        <w:ind w:left="0" w:leftChars="0" w:right="25" w:rightChars="12" w:firstLine="424" w:firstLineChars="202"/>
        <w:rPr>
          <w:rFonts w:hint="eastAsia" w:ascii="宋体" w:hAnsi="宋体" w:eastAsia="宋体" w:cs="Tahoma"/>
          <w:color w:val="auto"/>
          <w:szCs w:val="21"/>
          <w:lang w:val="en-US" w:eastAsia="zh-CN"/>
        </w:rPr>
      </w:pPr>
      <w:r>
        <w:rPr>
          <w:rFonts w:hint="eastAsia" w:ascii="宋体" w:hAnsi="宋体" w:cs="Tahoma"/>
          <w:color w:val="auto"/>
          <w:szCs w:val="21"/>
          <w:lang w:val="en-US"/>
        </w:rPr>
        <w:t>（</w:t>
      </w:r>
      <w:r>
        <w:rPr>
          <w:rFonts w:hint="eastAsia" w:ascii="宋体" w:hAnsi="宋体" w:cs="Tahoma"/>
          <w:color w:val="auto"/>
          <w:szCs w:val="21"/>
        </w:rPr>
        <w:t>一</w:t>
      </w:r>
      <w:r>
        <w:rPr>
          <w:rFonts w:hint="eastAsia" w:ascii="宋体" w:hAnsi="宋体" w:cs="Tahoma"/>
          <w:color w:val="auto"/>
          <w:szCs w:val="21"/>
          <w:lang w:val="en-US"/>
        </w:rPr>
        <w:t>）</w:t>
      </w:r>
      <w:r>
        <w:rPr>
          <w:rFonts w:ascii="宋体" w:hAnsi="宋体" w:cs="Tahoma"/>
          <w:color w:val="auto"/>
          <w:szCs w:val="21"/>
        </w:rPr>
        <w:t>项目编号</w:t>
      </w:r>
      <w:r>
        <w:rPr>
          <w:rFonts w:hint="eastAsia" w:ascii="宋体" w:hAnsi="宋体" w:cs="Tahoma"/>
          <w:color w:val="auto"/>
          <w:szCs w:val="21"/>
          <w:lang w:val="en-US"/>
        </w:rPr>
        <w:t>：</w:t>
      </w:r>
      <w:r>
        <w:rPr>
          <w:rFonts w:hint="eastAsia" w:ascii="宋体" w:hAnsi="宋体"/>
          <w:color w:val="auto"/>
          <w:szCs w:val="21"/>
          <w:lang w:val="en-US" w:eastAsia="zh-CN"/>
        </w:rPr>
        <w:t>GDWCFFC2312121</w:t>
      </w:r>
    </w:p>
    <w:p w14:paraId="7A6AAA2B">
      <w:pPr>
        <w:pStyle w:val="10"/>
        <w:snapToGrid w:val="0"/>
        <w:spacing w:line="360" w:lineRule="auto"/>
        <w:ind w:left="0" w:leftChars="0" w:right="25" w:rightChars="12" w:firstLine="424" w:firstLineChars="202"/>
        <w:rPr>
          <w:rFonts w:hint="eastAsia" w:ascii="宋体" w:hAnsi="宋体" w:eastAsia="宋体" w:cs="Tahoma"/>
          <w:color w:val="auto"/>
          <w:szCs w:val="21"/>
          <w:lang w:val="en-US" w:eastAsia="zh-CN"/>
        </w:rPr>
      </w:pPr>
      <w:r>
        <w:rPr>
          <w:rFonts w:hint="eastAsia" w:ascii="宋体" w:hAnsi="宋体" w:cs="Tahoma"/>
          <w:color w:val="auto"/>
          <w:szCs w:val="21"/>
          <w:lang w:val="en-US"/>
        </w:rPr>
        <w:t>（</w:t>
      </w:r>
      <w:r>
        <w:rPr>
          <w:rFonts w:hint="eastAsia" w:ascii="宋体" w:hAnsi="宋体" w:cs="Tahoma"/>
          <w:color w:val="auto"/>
          <w:szCs w:val="21"/>
        </w:rPr>
        <w:t>二</w:t>
      </w:r>
      <w:r>
        <w:rPr>
          <w:rFonts w:hint="eastAsia" w:ascii="宋体" w:hAnsi="宋体" w:cs="Tahoma"/>
          <w:color w:val="auto"/>
          <w:szCs w:val="21"/>
          <w:lang w:val="en-US"/>
        </w:rPr>
        <w:t>）</w:t>
      </w:r>
      <w:r>
        <w:rPr>
          <w:rFonts w:ascii="宋体" w:hAnsi="宋体" w:cs="Tahoma"/>
          <w:color w:val="auto"/>
          <w:szCs w:val="21"/>
        </w:rPr>
        <w:t>项目名称</w:t>
      </w:r>
      <w:r>
        <w:rPr>
          <w:rFonts w:hint="eastAsia" w:ascii="宋体" w:hAnsi="宋体" w:cs="Tahoma"/>
          <w:color w:val="auto"/>
          <w:szCs w:val="21"/>
          <w:lang w:val="en-US"/>
        </w:rPr>
        <w:t>：</w:t>
      </w:r>
      <w:r>
        <w:rPr>
          <w:rFonts w:hint="eastAsia" w:ascii="宋体" w:hAnsi="宋体" w:cs="Tahoma"/>
          <w:color w:val="auto"/>
          <w:szCs w:val="21"/>
          <w:lang w:eastAsia="zh-CN"/>
        </w:rPr>
        <w:t>2024年广州市南沙政务服务公众考核满意度调查项目</w:t>
      </w:r>
    </w:p>
    <w:p w14:paraId="5BB44330">
      <w:pPr>
        <w:pStyle w:val="10"/>
        <w:snapToGrid w:val="0"/>
        <w:spacing w:line="360" w:lineRule="auto"/>
        <w:ind w:left="0" w:leftChars="0" w:right="25" w:rightChars="12" w:firstLine="424" w:firstLineChars="202"/>
        <w:rPr>
          <w:rFonts w:ascii="宋体" w:hAnsi="宋体" w:cs="Tahoma"/>
          <w:color w:val="auto"/>
          <w:szCs w:val="21"/>
          <w:lang w:val="en-US"/>
        </w:rPr>
      </w:pPr>
      <w:r>
        <w:rPr>
          <w:rFonts w:hint="eastAsia" w:ascii="宋体" w:hAnsi="宋体" w:cs="Tahoma"/>
          <w:color w:val="auto"/>
          <w:szCs w:val="21"/>
          <w:lang w:val="en-US"/>
        </w:rPr>
        <w:t>（</w:t>
      </w:r>
      <w:r>
        <w:rPr>
          <w:rFonts w:hint="eastAsia" w:ascii="宋体" w:hAnsi="宋体" w:cs="Tahoma"/>
          <w:color w:val="auto"/>
          <w:szCs w:val="21"/>
        </w:rPr>
        <w:t>三</w:t>
      </w:r>
      <w:r>
        <w:rPr>
          <w:rFonts w:hint="eastAsia" w:ascii="宋体" w:hAnsi="宋体" w:cs="Tahoma"/>
          <w:color w:val="auto"/>
          <w:szCs w:val="21"/>
          <w:lang w:val="en-US"/>
        </w:rPr>
        <w:t>）</w:t>
      </w:r>
      <w:r>
        <w:rPr>
          <w:rFonts w:ascii="宋体" w:hAnsi="宋体" w:cs="Tahoma"/>
          <w:color w:val="auto"/>
          <w:szCs w:val="21"/>
        </w:rPr>
        <w:t>预算金额</w:t>
      </w:r>
      <w:r>
        <w:rPr>
          <w:rFonts w:hint="eastAsia" w:ascii="宋体" w:hAnsi="宋体" w:cs="Tahoma"/>
          <w:color w:val="auto"/>
          <w:szCs w:val="21"/>
          <w:lang w:val="en-US"/>
        </w:rPr>
        <w:t>：¥</w:t>
      </w:r>
      <w:r>
        <w:rPr>
          <w:rFonts w:hint="eastAsia" w:ascii="宋体" w:hAnsi="宋体" w:cs="Tahoma"/>
          <w:color w:val="auto"/>
          <w:szCs w:val="21"/>
          <w:lang w:val="en-US" w:eastAsia="zh-CN"/>
        </w:rPr>
        <w:t>792,800.00</w:t>
      </w:r>
      <w:r>
        <w:rPr>
          <w:rFonts w:hint="eastAsia" w:ascii="宋体" w:hAnsi="宋体" w:cs="Tahoma"/>
          <w:color w:val="auto"/>
          <w:szCs w:val="21"/>
          <w:lang w:val="en-US"/>
        </w:rPr>
        <w:t>元</w:t>
      </w:r>
    </w:p>
    <w:p w14:paraId="1DF45E47">
      <w:pPr>
        <w:pStyle w:val="10"/>
        <w:snapToGrid w:val="0"/>
        <w:spacing w:line="360" w:lineRule="auto"/>
        <w:ind w:left="0" w:leftChars="0" w:right="25" w:rightChars="12" w:firstLine="420" w:firstLineChars="200"/>
        <w:rPr>
          <w:rFonts w:ascii="宋体" w:hAnsi="宋体" w:cs="Tahoma"/>
          <w:color w:val="auto"/>
          <w:szCs w:val="21"/>
          <w:lang w:val="en-US"/>
        </w:rPr>
      </w:pPr>
      <w:r>
        <w:rPr>
          <w:rFonts w:hint="eastAsia" w:ascii="宋体" w:hAnsi="宋体" w:cs="Tahoma"/>
          <w:color w:val="auto"/>
          <w:szCs w:val="21"/>
          <w:lang w:val="en-US"/>
        </w:rPr>
        <w:t>（</w:t>
      </w:r>
      <w:r>
        <w:rPr>
          <w:rFonts w:hint="eastAsia" w:ascii="宋体" w:hAnsi="宋体" w:cs="Tahoma"/>
          <w:color w:val="auto"/>
          <w:szCs w:val="21"/>
        </w:rPr>
        <w:t>四</w:t>
      </w:r>
      <w:r>
        <w:rPr>
          <w:rFonts w:hint="eastAsia" w:ascii="宋体" w:hAnsi="宋体" w:cs="Tahoma"/>
          <w:color w:val="auto"/>
          <w:szCs w:val="21"/>
          <w:lang w:val="en-US"/>
        </w:rPr>
        <w:t>）</w:t>
      </w:r>
      <w:r>
        <w:rPr>
          <w:rFonts w:hint="eastAsia" w:ascii="宋体" w:hAnsi="宋体" w:cs="Tahoma"/>
          <w:color w:val="auto"/>
          <w:szCs w:val="21"/>
        </w:rPr>
        <w:t>最高限价</w:t>
      </w:r>
      <w:r>
        <w:rPr>
          <w:rFonts w:hint="eastAsia" w:ascii="宋体" w:hAnsi="宋体" w:cs="Tahoma"/>
          <w:color w:val="auto"/>
          <w:szCs w:val="21"/>
          <w:lang w:val="en-US"/>
        </w:rPr>
        <w:t>：¥</w:t>
      </w:r>
      <w:r>
        <w:rPr>
          <w:rFonts w:hint="eastAsia" w:ascii="宋体" w:hAnsi="宋体" w:cs="Tahoma"/>
          <w:color w:val="auto"/>
          <w:szCs w:val="21"/>
          <w:lang w:val="en-US" w:eastAsia="zh-CN"/>
        </w:rPr>
        <w:t>792,800.00</w:t>
      </w:r>
      <w:r>
        <w:rPr>
          <w:rFonts w:hint="eastAsia" w:ascii="宋体" w:hAnsi="宋体" w:cs="Tahoma"/>
          <w:color w:val="auto"/>
          <w:szCs w:val="21"/>
          <w:lang w:val="en-US"/>
        </w:rPr>
        <w:t>元，</w:t>
      </w:r>
      <w:r>
        <w:rPr>
          <w:rFonts w:ascii="宋体" w:hAnsi="宋体" w:cs="Tahoma"/>
          <w:color w:val="auto"/>
          <w:szCs w:val="21"/>
        </w:rPr>
        <w:t>凡超过最高限价的</w:t>
      </w:r>
      <w:r>
        <w:rPr>
          <w:rFonts w:hint="eastAsia" w:ascii="宋体" w:hAnsi="宋体" w:cs="Tahoma"/>
          <w:color w:val="auto"/>
          <w:szCs w:val="21"/>
          <w:lang w:val="en-US"/>
        </w:rPr>
        <w:t>，</w:t>
      </w:r>
      <w:r>
        <w:rPr>
          <w:rFonts w:ascii="宋体" w:hAnsi="宋体" w:cs="Tahoma"/>
          <w:color w:val="auto"/>
          <w:szCs w:val="21"/>
        </w:rPr>
        <w:t>一律视为无效报价。</w:t>
      </w:r>
    </w:p>
    <w:p w14:paraId="26DC0721">
      <w:pPr>
        <w:pStyle w:val="10"/>
        <w:snapToGrid w:val="0"/>
        <w:spacing w:line="360" w:lineRule="auto"/>
        <w:ind w:left="0" w:leftChars="0" w:right="25" w:rightChars="12" w:firstLine="420" w:firstLineChars="200"/>
        <w:rPr>
          <w:rFonts w:ascii="宋体" w:hAnsi="宋体" w:cs="Tahoma"/>
          <w:color w:val="auto"/>
          <w:szCs w:val="21"/>
          <w:lang w:val="en-US"/>
        </w:rPr>
      </w:pPr>
      <w:r>
        <w:rPr>
          <w:rFonts w:hint="eastAsia" w:ascii="宋体" w:hAnsi="宋体" w:cs="Tahoma"/>
          <w:color w:val="auto"/>
          <w:szCs w:val="21"/>
          <w:lang w:val="en-US"/>
        </w:rPr>
        <w:t>（</w:t>
      </w:r>
      <w:r>
        <w:rPr>
          <w:rFonts w:hint="eastAsia" w:ascii="宋体" w:hAnsi="宋体" w:cs="Tahoma"/>
          <w:color w:val="auto"/>
          <w:szCs w:val="21"/>
        </w:rPr>
        <w:t>五</w:t>
      </w:r>
      <w:r>
        <w:rPr>
          <w:rFonts w:hint="eastAsia" w:ascii="宋体" w:hAnsi="宋体" w:cs="Tahoma"/>
          <w:color w:val="auto"/>
          <w:szCs w:val="21"/>
          <w:lang w:val="en-US"/>
        </w:rPr>
        <w:t>）</w:t>
      </w:r>
      <w:r>
        <w:rPr>
          <w:rFonts w:ascii="宋体" w:hAnsi="宋体" w:cs="Tahoma"/>
          <w:color w:val="auto"/>
          <w:szCs w:val="21"/>
        </w:rPr>
        <w:t>采购需求</w:t>
      </w:r>
      <w:r>
        <w:rPr>
          <w:rFonts w:hint="eastAsia" w:ascii="宋体" w:hAnsi="宋体" w:cs="Tahoma"/>
          <w:color w:val="auto"/>
          <w:szCs w:val="21"/>
          <w:lang w:val="en-US"/>
        </w:rPr>
        <w:t>：（</w:t>
      </w:r>
      <w:r>
        <w:rPr>
          <w:rFonts w:ascii="宋体" w:hAnsi="宋体" w:cs="Tahoma"/>
          <w:color w:val="auto"/>
          <w:szCs w:val="21"/>
        </w:rPr>
        <w:t>包括但不限于目标的名称、数量、简要技术需求或服务要求等</w:t>
      </w:r>
      <w:r>
        <w:rPr>
          <w:rFonts w:hint="eastAsia" w:ascii="宋体" w:hAnsi="宋体" w:cs="Tahoma"/>
          <w:color w:val="auto"/>
          <w:szCs w:val="21"/>
          <w:lang w:val="en-US"/>
        </w:rPr>
        <w:t>）</w:t>
      </w:r>
    </w:p>
    <w:p w14:paraId="21F939DE">
      <w:pPr>
        <w:pStyle w:val="10"/>
        <w:snapToGrid w:val="0"/>
        <w:spacing w:line="360" w:lineRule="auto"/>
        <w:ind w:left="0" w:leftChars="0" w:right="25" w:rightChars="12" w:firstLine="420" w:firstLineChars="200"/>
        <w:rPr>
          <w:rFonts w:hint="eastAsia" w:ascii="宋体" w:hAnsi="宋体" w:eastAsia="宋体" w:cs="Tahoma"/>
          <w:color w:val="auto"/>
          <w:szCs w:val="21"/>
          <w:lang w:val="en-US" w:eastAsia="zh-CN"/>
        </w:rPr>
      </w:pPr>
      <w:r>
        <w:rPr>
          <w:rFonts w:ascii="宋体" w:hAnsi="宋体" w:cs="Tahoma"/>
          <w:color w:val="auto"/>
          <w:szCs w:val="21"/>
          <w:lang w:val="en-US"/>
        </w:rPr>
        <w:t>1.</w:t>
      </w:r>
      <w:r>
        <w:rPr>
          <w:rFonts w:ascii="宋体" w:hAnsi="宋体" w:cs="Tahoma"/>
          <w:color w:val="auto"/>
          <w:szCs w:val="21"/>
        </w:rPr>
        <w:t>目标名称</w:t>
      </w:r>
      <w:r>
        <w:rPr>
          <w:rFonts w:hint="eastAsia" w:ascii="宋体" w:hAnsi="宋体" w:cs="Tahoma"/>
          <w:color w:val="auto"/>
          <w:szCs w:val="21"/>
          <w:lang w:val="en-US"/>
        </w:rPr>
        <w:t>：</w:t>
      </w:r>
      <w:r>
        <w:rPr>
          <w:rFonts w:hint="eastAsia" w:ascii="宋体" w:hAnsi="宋体" w:cs="Tahoma"/>
          <w:color w:val="auto"/>
          <w:szCs w:val="21"/>
          <w:lang w:eastAsia="zh-CN"/>
        </w:rPr>
        <w:t>2024年广州市南沙政务服务公众考核满意度调查项目</w:t>
      </w:r>
    </w:p>
    <w:p w14:paraId="0DDDEF22">
      <w:pPr>
        <w:pStyle w:val="10"/>
        <w:snapToGrid w:val="0"/>
        <w:spacing w:line="360" w:lineRule="auto"/>
        <w:ind w:left="0" w:leftChars="0" w:right="25" w:rightChars="12" w:firstLine="420" w:firstLineChars="200"/>
        <w:rPr>
          <w:rFonts w:ascii="宋体" w:hAnsi="宋体" w:cs="Tahoma"/>
          <w:color w:val="auto"/>
          <w:szCs w:val="21"/>
          <w:lang w:val="en-US"/>
        </w:rPr>
      </w:pPr>
      <w:r>
        <w:rPr>
          <w:rFonts w:ascii="宋体" w:hAnsi="宋体" w:cs="Tahoma"/>
          <w:color w:val="auto"/>
          <w:szCs w:val="21"/>
          <w:lang w:val="en-US"/>
        </w:rPr>
        <w:t>2.</w:t>
      </w:r>
      <w:r>
        <w:rPr>
          <w:rFonts w:ascii="宋体" w:hAnsi="宋体" w:cs="Tahoma"/>
          <w:color w:val="auto"/>
          <w:szCs w:val="21"/>
        </w:rPr>
        <w:t>目标数量</w:t>
      </w:r>
      <w:r>
        <w:rPr>
          <w:rFonts w:hint="eastAsia" w:ascii="宋体" w:hAnsi="宋体" w:cs="Tahoma"/>
          <w:color w:val="auto"/>
          <w:szCs w:val="21"/>
          <w:lang w:val="en-US"/>
        </w:rPr>
        <w:t>：</w:t>
      </w:r>
      <w:r>
        <w:rPr>
          <w:rFonts w:ascii="宋体" w:hAnsi="宋体" w:cs="Tahoma"/>
          <w:color w:val="auto"/>
          <w:szCs w:val="21"/>
          <w:lang w:val="en-US"/>
        </w:rPr>
        <w:t>1</w:t>
      </w:r>
      <w:r>
        <w:rPr>
          <w:rFonts w:ascii="宋体" w:hAnsi="宋体" w:cs="Tahoma"/>
          <w:color w:val="auto"/>
          <w:szCs w:val="21"/>
        </w:rPr>
        <w:t>项</w:t>
      </w:r>
    </w:p>
    <w:p w14:paraId="7BAFB684">
      <w:pPr>
        <w:pStyle w:val="10"/>
        <w:snapToGrid w:val="0"/>
        <w:spacing w:line="360" w:lineRule="auto"/>
        <w:ind w:left="0" w:leftChars="0" w:right="25" w:rightChars="12" w:firstLine="424" w:firstLineChars="202"/>
        <w:rPr>
          <w:rFonts w:ascii="宋体" w:hAnsi="宋体" w:cs="Tahoma"/>
          <w:color w:val="auto"/>
          <w:szCs w:val="21"/>
          <w:lang w:val="en-US"/>
        </w:rPr>
      </w:pPr>
      <w:r>
        <w:rPr>
          <w:rFonts w:ascii="宋体" w:hAnsi="宋体" w:cs="Tahoma"/>
          <w:color w:val="auto"/>
          <w:szCs w:val="21"/>
          <w:lang w:val="en-US"/>
        </w:rPr>
        <w:t>3.</w:t>
      </w:r>
      <w:r>
        <w:rPr>
          <w:rFonts w:ascii="宋体" w:hAnsi="宋体" w:cs="Tahoma"/>
          <w:color w:val="auto"/>
          <w:szCs w:val="21"/>
        </w:rPr>
        <w:t>简要技术需求或服务要求</w:t>
      </w:r>
      <w:r>
        <w:rPr>
          <w:rFonts w:hint="eastAsia" w:ascii="宋体" w:hAnsi="宋体" w:cs="Tahoma"/>
          <w:color w:val="auto"/>
          <w:szCs w:val="21"/>
          <w:lang w:val="en-US"/>
        </w:rPr>
        <w:t>：</w:t>
      </w:r>
    </w:p>
    <w:p w14:paraId="13461EA8">
      <w:pPr>
        <w:pStyle w:val="10"/>
        <w:snapToGrid w:val="0"/>
        <w:spacing w:line="360" w:lineRule="auto"/>
        <w:ind w:left="0" w:leftChars="0" w:right="25" w:rightChars="12" w:firstLine="420" w:firstLineChars="200"/>
        <w:rPr>
          <w:rFonts w:hint="default" w:ascii="宋体" w:hAnsi="宋体" w:eastAsia="宋体" w:cs="Tahoma"/>
          <w:color w:val="auto"/>
          <w:szCs w:val="21"/>
          <w:lang w:val="en-US" w:eastAsia="zh-CN"/>
        </w:rPr>
      </w:pPr>
      <w:r>
        <w:rPr>
          <w:rFonts w:hint="eastAsia" w:ascii="宋体" w:hAnsi="宋体" w:cs="Tahoma"/>
          <w:color w:val="auto"/>
          <w:szCs w:val="21"/>
          <w:lang w:val="en-US"/>
        </w:rPr>
        <w:t>（</w:t>
      </w:r>
      <w:r>
        <w:rPr>
          <w:rFonts w:ascii="宋体" w:hAnsi="宋体" w:cs="Tahoma"/>
          <w:color w:val="auto"/>
          <w:szCs w:val="21"/>
          <w:lang w:val="en-US"/>
        </w:rPr>
        <w:t>1</w:t>
      </w:r>
      <w:r>
        <w:rPr>
          <w:rFonts w:hint="eastAsia" w:ascii="宋体" w:hAnsi="宋体" w:cs="Tahoma"/>
          <w:color w:val="auto"/>
          <w:szCs w:val="21"/>
          <w:lang w:val="en-US"/>
        </w:rPr>
        <w:t>）</w:t>
      </w:r>
      <w:r>
        <w:rPr>
          <w:rFonts w:ascii="宋体" w:hAnsi="宋体" w:cs="Tahoma"/>
          <w:color w:val="auto"/>
          <w:szCs w:val="21"/>
        </w:rPr>
        <w:t>采购类型</w:t>
      </w:r>
      <w:r>
        <w:rPr>
          <w:rFonts w:hint="eastAsia" w:ascii="宋体" w:hAnsi="宋体" w:cs="Tahoma"/>
          <w:color w:val="auto"/>
          <w:szCs w:val="21"/>
          <w:lang w:val="en-US"/>
        </w:rPr>
        <w:t>：</w:t>
      </w:r>
      <w:r>
        <w:rPr>
          <w:rFonts w:hint="eastAsia" w:ascii="宋体" w:hAnsi="宋体" w:cs="Tahoma"/>
          <w:color w:val="auto"/>
          <w:szCs w:val="21"/>
          <w:lang w:val="en-US" w:eastAsia="zh-CN"/>
        </w:rPr>
        <w:t>服务类</w:t>
      </w:r>
    </w:p>
    <w:p w14:paraId="565344BA">
      <w:pPr>
        <w:pStyle w:val="10"/>
        <w:snapToGrid w:val="0"/>
        <w:spacing w:line="360" w:lineRule="auto"/>
        <w:ind w:left="0" w:leftChars="0" w:right="25" w:rightChars="12" w:firstLine="420" w:firstLineChars="200"/>
        <w:rPr>
          <w:rFonts w:ascii="宋体" w:hAnsi="宋体" w:cs="Tahoma"/>
          <w:color w:val="auto"/>
          <w:szCs w:val="21"/>
          <w:lang w:val="en-US"/>
        </w:rPr>
      </w:pPr>
      <w:r>
        <w:rPr>
          <w:rFonts w:hint="eastAsia" w:ascii="宋体" w:hAnsi="宋体" w:cs="Tahoma"/>
          <w:color w:val="auto"/>
          <w:szCs w:val="21"/>
          <w:lang w:val="en-US"/>
        </w:rPr>
        <w:t>（</w:t>
      </w:r>
      <w:r>
        <w:rPr>
          <w:rFonts w:ascii="宋体" w:hAnsi="宋体" w:cs="Tahoma"/>
          <w:color w:val="auto"/>
          <w:szCs w:val="21"/>
          <w:lang w:val="en-US"/>
        </w:rPr>
        <w:t>2</w:t>
      </w:r>
      <w:r>
        <w:rPr>
          <w:rFonts w:hint="eastAsia" w:ascii="宋体" w:hAnsi="宋体" w:cs="Tahoma"/>
          <w:color w:val="auto"/>
          <w:szCs w:val="21"/>
          <w:lang w:val="en-US"/>
        </w:rPr>
        <w:t>）</w:t>
      </w:r>
      <w:r>
        <w:rPr>
          <w:rFonts w:ascii="宋体" w:hAnsi="宋体" w:cs="Tahoma"/>
          <w:color w:val="auto"/>
          <w:szCs w:val="21"/>
        </w:rPr>
        <w:t>采购项目内容</w:t>
      </w:r>
      <w:r>
        <w:rPr>
          <w:rFonts w:hint="eastAsia" w:ascii="宋体" w:hAnsi="宋体" w:cs="Tahoma"/>
          <w:color w:val="auto"/>
          <w:szCs w:val="21"/>
          <w:lang w:val="en-US"/>
        </w:rPr>
        <w:t>：</w:t>
      </w:r>
      <w:r>
        <w:rPr>
          <w:rFonts w:hint="eastAsia" w:ascii="宋体" w:hAnsi="宋体" w:cs="Tahoma"/>
          <w:color w:val="auto"/>
          <w:szCs w:val="21"/>
          <w:lang w:eastAsia="zh-CN"/>
        </w:rPr>
        <w:t>服务公众考核满意度调查</w:t>
      </w:r>
      <w:r>
        <w:rPr>
          <w:rFonts w:hint="eastAsia" w:ascii="宋体" w:hAnsi="宋体" w:cs="Tahoma"/>
          <w:color w:val="auto"/>
          <w:szCs w:val="21"/>
        </w:rPr>
        <w:t>。</w:t>
      </w:r>
    </w:p>
    <w:p w14:paraId="3FBCFF0E">
      <w:pPr>
        <w:pStyle w:val="10"/>
        <w:snapToGrid w:val="0"/>
        <w:spacing w:line="360" w:lineRule="auto"/>
        <w:ind w:left="0" w:leftChars="0" w:right="25" w:rightChars="12" w:firstLine="420" w:firstLineChars="200"/>
        <w:rPr>
          <w:rFonts w:ascii="宋体" w:hAnsi="宋体" w:cs="Tahoma"/>
          <w:color w:val="auto"/>
          <w:szCs w:val="21"/>
          <w:lang w:val="en-US"/>
        </w:rPr>
      </w:pPr>
      <w:r>
        <w:rPr>
          <w:rFonts w:hint="eastAsia" w:ascii="宋体" w:hAnsi="宋体" w:cs="Tahoma"/>
          <w:color w:val="auto"/>
          <w:szCs w:val="21"/>
          <w:lang w:val="en-US"/>
        </w:rPr>
        <w:t>（</w:t>
      </w:r>
      <w:r>
        <w:rPr>
          <w:rFonts w:ascii="宋体" w:hAnsi="宋体" w:cs="Tahoma"/>
          <w:color w:val="auto"/>
          <w:szCs w:val="21"/>
          <w:lang w:val="en-US"/>
        </w:rPr>
        <w:t>3</w:t>
      </w:r>
      <w:r>
        <w:rPr>
          <w:rFonts w:hint="eastAsia" w:ascii="宋体" w:hAnsi="宋体" w:cs="Tahoma"/>
          <w:color w:val="auto"/>
          <w:szCs w:val="21"/>
          <w:lang w:val="en-US"/>
        </w:rPr>
        <w:t>）</w:t>
      </w:r>
      <w:r>
        <w:rPr>
          <w:rFonts w:ascii="宋体" w:hAnsi="宋体" w:cs="Tahoma"/>
          <w:color w:val="auto"/>
          <w:szCs w:val="21"/>
        </w:rPr>
        <w:t>采购项目内容及需求详见竞争性磋商文</w:t>
      </w:r>
      <w:r>
        <w:rPr>
          <w:rFonts w:hint="eastAsia" w:ascii="宋体" w:hAnsi="宋体" w:cs="Tahoma"/>
          <w:color w:val="auto"/>
          <w:szCs w:val="21"/>
        </w:rPr>
        <w:t>件</w:t>
      </w:r>
      <w:r>
        <w:rPr>
          <w:rFonts w:ascii="宋体" w:hAnsi="宋体" w:cs="Tahoma"/>
          <w:color w:val="auto"/>
          <w:szCs w:val="21"/>
          <w:lang w:val="en-US"/>
        </w:rPr>
        <w:t>---</w:t>
      </w:r>
      <w:r>
        <w:rPr>
          <w:rFonts w:ascii="宋体" w:hAnsi="宋体" w:cs="Tahoma"/>
          <w:color w:val="auto"/>
          <w:szCs w:val="21"/>
        </w:rPr>
        <w:t>用户需求书。</w:t>
      </w:r>
    </w:p>
    <w:p w14:paraId="0BD100EC">
      <w:pPr>
        <w:pStyle w:val="10"/>
        <w:snapToGrid w:val="0"/>
        <w:spacing w:line="360" w:lineRule="auto"/>
        <w:ind w:left="0" w:leftChars="0" w:right="25" w:rightChars="12" w:firstLine="420" w:firstLineChars="200"/>
        <w:rPr>
          <w:rFonts w:ascii="宋体" w:hAnsi="宋体" w:cs="Tahoma"/>
          <w:color w:val="auto"/>
          <w:szCs w:val="21"/>
          <w:lang w:val="en-US"/>
        </w:rPr>
      </w:pPr>
      <w:r>
        <w:rPr>
          <w:rFonts w:hint="eastAsia" w:ascii="宋体" w:hAnsi="宋体" w:cs="Tahoma"/>
          <w:color w:val="auto"/>
          <w:szCs w:val="21"/>
          <w:lang w:val="en-US"/>
        </w:rPr>
        <w:t>（</w:t>
      </w:r>
      <w:r>
        <w:rPr>
          <w:rFonts w:ascii="宋体" w:hAnsi="宋体" w:cs="Tahoma"/>
          <w:color w:val="auto"/>
          <w:szCs w:val="21"/>
          <w:lang w:val="en-US"/>
        </w:rPr>
        <w:t>4</w:t>
      </w:r>
      <w:r>
        <w:rPr>
          <w:rFonts w:hint="eastAsia" w:ascii="宋体" w:hAnsi="宋体" w:cs="Tahoma"/>
          <w:color w:val="auto"/>
          <w:szCs w:val="21"/>
          <w:lang w:val="en-US"/>
        </w:rPr>
        <w:t>）</w:t>
      </w:r>
      <w:r>
        <w:rPr>
          <w:rFonts w:hint="eastAsia" w:ascii="宋体" w:hAnsi="宋体" w:cs="Tahoma"/>
          <w:color w:val="auto"/>
          <w:szCs w:val="21"/>
        </w:rPr>
        <w:t>响应供应商</w:t>
      </w:r>
      <w:r>
        <w:rPr>
          <w:rFonts w:ascii="宋体" w:hAnsi="宋体" w:cs="Tahoma"/>
          <w:color w:val="auto"/>
          <w:szCs w:val="21"/>
        </w:rPr>
        <w:t>必须对项目进行整体投标</w:t>
      </w:r>
      <w:r>
        <w:rPr>
          <w:rFonts w:hint="eastAsia" w:ascii="宋体" w:hAnsi="宋体" w:cs="Tahoma"/>
          <w:color w:val="auto"/>
          <w:szCs w:val="21"/>
          <w:lang w:val="en-US"/>
        </w:rPr>
        <w:t>，</w:t>
      </w:r>
      <w:r>
        <w:rPr>
          <w:rFonts w:ascii="宋体" w:hAnsi="宋体" w:cs="Tahoma"/>
          <w:color w:val="auto"/>
          <w:szCs w:val="21"/>
        </w:rPr>
        <w:t>不允许仅对项目内其中部分内容进行投标。</w:t>
      </w:r>
    </w:p>
    <w:p w14:paraId="5FAFD61B">
      <w:pPr>
        <w:pStyle w:val="10"/>
        <w:snapToGrid w:val="0"/>
        <w:spacing w:line="360" w:lineRule="auto"/>
        <w:ind w:left="0" w:leftChars="0" w:right="25" w:rightChars="12" w:firstLine="420" w:firstLineChars="200"/>
        <w:rPr>
          <w:rFonts w:ascii="宋体" w:hAnsi="宋体" w:cs="Tahoma"/>
          <w:color w:val="auto"/>
          <w:szCs w:val="21"/>
          <w:u w:val="single"/>
          <w:lang w:val="en-US"/>
        </w:rPr>
      </w:pPr>
      <w:r>
        <w:rPr>
          <w:rFonts w:hint="eastAsia" w:ascii="宋体" w:hAnsi="宋体" w:cs="Tahoma"/>
          <w:color w:val="auto"/>
          <w:szCs w:val="21"/>
          <w:lang w:val="en-US"/>
        </w:rPr>
        <w:t>（</w:t>
      </w:r>
      <w:r>
        <w:rPr>
          <w:rFonts w:hint="eastAsia" w:ascii="宋体" w:hAnsi="宋体" w:cs="Tahoma"/>
          <w:color w:val="auto"/>
          <w:szCs w:val="21"/>
        </w:rPr>
        <w:t>六</w:t>
      </w:r>
      <w:r>
        <w:rPr>
          <w:rFonts w:hint="eastAsia" w:ascii="宋体" w:hAnsi="宋体" w:cs="Tahoma"/>
          <w:color w:val="auto"/>
          <w:szCs w:val="21"/>
          <w:lang w:val="en-US"/>
        </w:rPr>
        <w:t>）</w:t>
      </w:r>
      <w:r>
        <w:rPr>
          <w:rFonts w:hint="eastAsia" w:ascii="宋体" w:hAnsi="宋体" w:cs="Tahoma"/>
          <w:color w:val="auto"/>
          <w:szCs w:val="21"/>
          <w:lang w:eastAsia="zh-CN"/>
        </w:rPr>
        <w:t>合同履行期限</w:t>
      </w:r>
      <w:r>
        <w:rPr>
          <w:rFonts w:hint="eastAsia" w:ascii="宋体" w:hAnsi="宋体" w:cs="Tahoma"/>
          <w:color w:val="auto"/>
          <w:szCs w:val="21"/>
        </w:rPr>
        <w:t>：</w:t>
      </w:r>
      <w:r>
        <w:rPr>
          <w:rFonts w:hint="eastAsia" w:ascii="宋体" w:hAnsi="宋体"/>
          <w:color w:val="auto"/>
          <w:highlight w:val="none"/>
          <w:lang w:eastAsia="zh-CN"/>
        </w:rPr>
        <w:t>2024年1月1日至2024年12月31日</w:t>
      </w:r>
      <w:r>
        <w:rPr>
          <w:rFonts w:hint="eastAsia" w:ascii="宋体" w:hAnsi="宋体"/>
          <w:color w:val="auto"/>
          <w:highlight w:val="none"/>
        </w:rPr>
        <w:t>。</w:t>
      </w:r>
    </w:p>
    <w:p w14:paraId="54B8CA4A">
      <w:pPr>
        <w:pStyle w:val="10"/>
        <w:snapToGrid w:val="0"/>
        <w:spacing w:line="360" w:lineRule="auto"/>
        <w:ind w:left="0" w:leftChars="0" w:right="25" w:rightChars="12" w:firstLine="422" w:firstLineChars="200"/>
        <w:rPr>
          <w:rFonts w:ascii="宋体" w:hAnsi="宋体" w:cs="Tahoma"/>
          <w:b/>
          <w:color w:val="auto"/>
          <w:szCs w:val="21"/>
          <w:lang w:val="en-US"/>
        </w:rPr>
      </w:pPr>
      <w:r>
        <w:rPr>
          <w:rFonts w:ascii="宋体" w:hAnsi="宋体" w:cs="Tahoma"/>
          <w:b/>
          <w:color w:val="auto"/>
          <w:szCs w:val="21"/>
        </w:rPr>
        <w:t>二、申请人的资格要求</w:t>
      </w:r>
      <w:r>
        <w:rPr>
          <w:rFonts w:hint="eastAsia" w:ascii="宋体" w:hAnsi="宋体" w:cs="Tahoma"/>
          <w:b/>
          <w:color w:val="auto"/>
          <w:szCs w:val="21"/>
          <w:lang w:val="en-US"/>
        </w:rPr>
        <w:t>：</w:t>
      </w:r>
    </w:p>
    <w:p w14:paraId="5BF1F4AD">
      <w:pPr>
        <w:pStyle w:val="10"/>
        <w:snapToGrid w:val="0"/>
        <w:spacing w:line="360" w:lineRule="auto"/>
        <w:ind w:right="25" w:rightChars="12"/>
        <w:rPr>
          <w:rFonts w:ascii="宋体" w:hAnsi="宋体" w:cs="Tahoma"/>
          <w:color w:val="auto"/>
          <w:szCs w:val="21"/>
          <w:lang w:val="en-US"/>
        </w:rPr>
      </w:pPr>
      <w:r>
        <w:rPr>
          <w:rFonts w:hint="eastAsia" w:ascii="宋体" w:hAnsi="宋体" w:cs="Tahoma"/>
          <w:color w:val="auto"/>
          <w:szCs w:val="21"/>
        </w:rPr>
        <w:t>1.</w:t>
      </w:r>
      <w:r>
        <w:rPr>
          <w:rFonts w:ascii="宋体" w:hAnsi="宋体" w:cs="Tahoma"/>
          <w:color w:val="auto"/>
          <w:szCs w:val="21"/>
        </w:rPr>
        <w:t>落实采购政策需满足的资格要求</w:t>
      </w:r>
      <w:r>
        <w:rPr>
          <w:rFonts w:hint="eastAsia" w:ascii="宋体" w:hAnsi="宋体" w:cs="Tahoma"/>
          <w:color w:val="auto"/>
          <w:szCs w:val="21"/>
          <w:lang w:val="en-US"/>
        </w:rPr>
        <w:t>：</w:t>
      </w:r>
    </w:p>
    <w:p w14:paraId="78E53FAA">
      <w:pPr>
        <w:pStyle w:val="10"/>
        <w:snapToGrid w:val="0"/>
        <w:spacing w:line="360" w:lineRule="auto"/>
        <w:ind w:left="0" w:leftChars="0" w:firstLine="420" w:firstLineChars="200"/>
        <w:rPr>
          <w:rFonts w:ascii="宋体" w:hAnsi="宋体" w:cs="Tahoma"/>
          <w:color w:val="auto"/>
          <w:szCs w:val="21"/>
        </w:rPr>
      </w:pPr>
      <w:r>
        <w:rPr>
          <w:rFonts w:hint="eastAsia" w:ascii="宋体" w:hAnsi="宋体" w:cs="宋体"/>
          <w:color w:val="auto"/>
          <w:szCs w:val="21"/>
        </w:rPr>
        <w:t>采购包整体专门面向中小企业，货物类采购项目供应商所投产品制造商须为符合本项目采购标的对应行业政策划分标准的中小微企业，工程类、服务类采购项目供应商须为符合本项目采购标的对应行业政策划分标准的中小微企业，残疾人福利性单位、监狱企业视同小型、微型企业。专门面向中小企业采购的项目不再执行价格评审优惠的扶持政策（提供中小企业声明函）。需落实政府采购政策为：促进中小企业发展政策、支持监狱企业发展政策、支持残疾人福利性单位发展政策、采购节能产品、环境标志产品、支持脱贫攻坚相关政策等。本项目采购标的根据《国家统计局关于印发&lt;统计上大中小微型企业划分办法(2017)&gt;的通知》（国统字〔2017〕213号）对应的大中小微型企业划分标准，划分为租赁和商务服务业</w:t>
      </w:r>
      <w:r>
        <w:rPr>
          <w:rFonts w:hint="eastAsia" w:ascii="宋体" w:hAnsi="宋体" w:cs="宋体"/>
          <w:color w:val="auto"/>
          <w:szCs w:val="21"/>
          <w:lang w:eastAsia="zh-CN"/>
        </w:rPr>
        <w:t>，请按该行业划分标准进行中小企业声明</w:t>
      </w:r>
      <w:r>
        <w:rPr>
          <w:rFonts w:hint="eastAsia" w:ascii="宋体" w:hAnsi="宋体" w:cs="Tahoma"/>
          <w:color w:val="auto"/>
          <w:szCs w:val="21"/>
        </w:rPr>
        <w:t>。</w:t>
      </w:r>
    </w:p>
    <w:p w14:paraId="497B6909">
      <w:pPr>
        <w:pStyle w:val="10"/>
        <w:snapToGrid w:val="0"/>
        <w:spacing w:line="360" w:lineRule="auto"/>
        <w:ind w:right="25" w:rightChars="12"/>
        <w:rPr>
          <w:rFonts w:ascii="宋体" w:hAnsi="宋体" w:cs="Tahoma"/>
          <w:color w:val="auto"/>
          <w:szCs w:val="21"/>
        </w:rPr>
      </w:pPr>
      <w:r>
        <w:rPr>
          <w:rFonts w:hint="eastAsia" w:ascii="宋体" w:hAnsi="宋体" w:cs="Tahoma"/>
          <w:color w:val="auto"/>
          <w:szCs w:val="21"/>
        </w:rPr>
        <w:t>2</w:t>
      </w:r>
      <w:r>
        <w:rPr>
          <w:rFonts w:hint="eastAsia" w:ascii="宋体" w:hAnsi="宋体" w:cs="Tahoma"/>
          <w:color w:val="auto"/>
          <w:szCs w:val="21"/>
          <w:lang w:val="en-US"/>
        </w:rPr>
        <w:t>.</w:t>
      </w:r>
      <w:r>
        <w:rPr>
          <w:rFonts w:hint="eastAsia" w:ascii="宋体" w:hAnsi="宋体" w:cs="Tahoma"/>
          <w:color w:val="auto"/>
          <w:szCs w:val="21"/>
        </w:rPr>
        <w:t>响应供应商须符合以下资格要求：</w:t>
      </w:r>
    </w:p>
    <w:p w14:paraId="35DE6F77">
      <w:pPr>
        <w:pStyle w:val="10"/>
        <w:snapToGrid w:val="0"/>
        <w:spacing w:line="360" w:lineRule="auto"/>
        <w:ind w:left="0" w:leftChars="0" w:firstLine="420" w:firstLineChars="200"/>
        <w:rPr>
          <w:rFonts w:ascii="宋体" w:hAnsi="宋体" w:cs="Tahoma"/>
          <w:color w:val="auto"/>
          <w:szCs w:val="21"/>
        </w:rPr>
      </w:pPr>
      <w:r>
        <w:rPr>
          <w:rFonts w:hint="eastAsia" w:ascii="宋体" w:hAnsi="宋体" w:cs="Tahoma"/>
          <w:color w:val="auto"/>
          <w:szCs w:val="21"/>
        </w:rPr>
        <w:t>（1）提供在中华人民共和国境内注册的法人或其他组织的营业执照（或事业单位法人证书，或社会团体法人登记证书，或执业许可证）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如响应供应商为自然人的提供自然人身份证明复印件。</w:t>
      </w:r>
    </w:p>
    <w:p w14:paraId="5BF6BDFD">
      <w:pPr>
        <w:pStyle w:val="10"/>
        <w:snapToGrid w:val="0"/>
        <w:spacing w:line="360" w:lineRule="auto"/>
        <w:ind w:left="0" w:leftChars="0" w:firstLine="420" w:firstLineChars="200"/>
        <w:rPr>
          <w:rFonts w:ascii="宋体" w:hAnsi="宋体" w:cs="Tahoma"/>
          <w:color w:val="auto"/>
          <w:szCs w:val="21"/>
        </w:rPr>
      </w:pPr>
      <w:r>
        <w:rPr>
          <w:rFonts w:hint="eastAsia" w:ascii="宋体" w:hAnsi="宋体" w:cs="Tahoma"/>
          <w:color w:val="auto"/>
          <w:szCs w:val="21"/>
        </w:rPr>
        <w:t>（2）具有良好的商业信誉和健全的财务会计制度。（提供响应供应商资格声明函，详见响应文件格式）</w:t>
      </w:r>
    </w:p>
    <w:p w14:paraId="3F88138B">
      <w:pPr>
        <w:pStyle w:val="10"/>
        <w:snapToGrid w:val="0"/>
        <w:spacing w:line="360" w:lineRule="auto"/>
        <w:ind w:left="0" w:leftChars="0" w:firstLine="420" w:firstLineChars="200"/>
        <w:rPr>
          <w:rFonts w:ascii="宋体" w:hAnsi="宋体" w:cs="Tahoma"/>
          <w:color w:val="auto"/>
          <w:szCs w:val="21"/>
        </w:rPr>
      </w:pPr>
      <w:r>
        <w:rPr>
          <w:rFonts w:hint="eastAsia" w:ascii="宋体" w:hAnsi="宋体" w:cs="Tahoma"/>
          <w:color w:val="auto"/>
          <w:szCs w:val="21"/>
        </w:rPr>
        <w:t>（3）具有履行合同所必需的专业技术能力。（提供响应供应商资格声明函，详见响应文件格式）</w:t>
      </w:r>
      <w:r>
        <w:rPr>
          <w:rFonts w:ascii="宋体" w:hAnsi="宋体" w:cs="Tahoma"/>
          <w:color w:val="auto"/>
          <w:szCs w:val="21"/>
        </w:rPr>
        <w:t xml:space="preserve"> </w:t>
      </w:r>
    </w:p>
    <w:p w14:paraId="1AD3681D">
      <w:pPr>
        <w:pStyle w:val="10"/>
        <w:snapToGrid w:val="0"/>
        <w:spacing w:line="360" w:lineRule="auto"/>
        <w:ind w:left="0" w:leftChars="0" w:firstLine="420" w:firstLineChars="200"/>
        <w:rPr>
          <w:rFonts w:ascii="宋体" w:hAnsi="宋体" w:cs="Tahoma"/>
          <w:color w:val="auto"/>
          <w:szCs w:val="21"/>
        </w:rPr>
      </w:pPr>
      <w:r>
        <w:rPr>
          <w:rFonts w:hint="eastAsia" w:ascii="宋体" w:hAnsi="宋体" w:cs="Tahoma"/>
          <w:color w:val="auto"/>
          <w:szCs w:val="21"/>
        </w:rPr>
        <w:t>（4）具有依法缴纳税收和社会保障资金的良好记录。（提供响应供应商资格声明函，详见响应文件格式）</w:t>
      </w:r>
    </w:p>
    <w:p w14:paraId="1095C054">
      <w:pPr>
        <w:pStyle w:val="10"/>
        <w:snapToGrid w:val="0"/>
        <w:spacing w:line="360" w:lineRule="auto"/>
        <w:ind w:left="0" w:leftChars="0" w:firstLine="420" w:firstLineChars="200"/>
        <w:rPr>
          <w:rFonts w:hint="eastAsia" w:ascii="宋体" w:hAnsi="宋体" w:cs="Tahoma"/>
          <w:color w:val="auto"/>
          <w:szCs w:val="21"/>
        </w:rPr>
      </w:pPr>
      <w:r>
        <w:rPr>
          <w:rFonts w:hint="eastAsia" w:ascii="宋体" w:hAnsi="宋体" w:cs="Tahoma"/>
          <w:color w:val="auto"/>
          <w:szCs w:val="21"/>
        </w:rPr>
        <w:t>（5）</w:t>
      </w:r>
      <w:r>
        <w:rPr>
          <w:rFonts w:hint="eastAsia" w:ascii="宋体" w:hAnsi="宋体" w:cs="Arial"/>
          <w:color w:val="auto"/>
          <w:szCs w:val="21"/>
        </w:rPr>
        <w:t>参加采购活动前三年内，在经营活动中没有重大违法记录声明函。</w:t>
      </w:r>
      <w:r>
        <w:rPr>
          <w:rFonts w:hint="eastAsia" w:ascii="宋体" w:hAnsi="宋体" w:cs="Tahoma"/>
          <w:color w:val="auto"/>
          <w:szCs w:val="21"/>
        </w:rPr>
        <w:t>（提供响应供应商资格声明函，详见响应文件格式）</w:t>
      </w:r>
    </w:p>
    <w:p w14:paraId="6A97291F">
      <w:pPr>
        <w:pStyle w:val="10"/>
        <w:snapToGrid w:val="0"/>
        <w:spacing w:line="360" w:lineRule="auto"/>
        <w:ind w:left="0" w:leftChars="0" w:firstLine="420" w:firstLineChars="200"/>
        <w:rPr>
          <w:rFonts w:hint="eastAsia" w:ascii="宋体" w:hAnsi="宋体" w:cs="Tahoma"/>
          <w:color w:val="auto"/>
          <w:szCs w:val="21"/>
        </w:rPr>
      </w:pPr>
      <w:r>
        <w:rPr>
          <w:rFonts w:hint="eastAsia" w:ascii="宋体" w:hAnsi="宋体" w:cs="Tahoma"/>
          <w:color w:val="auto"/>
          <w:szCs w:val="21"/>
        </w:rPr>
        <w:t>（6）</w:t>
      </w:r>
      <w:r>
        <w:rPr>
          <w:rFonts w:hint="eastAsia" w:ascii="宋体" w:hAnsi="宋体" w:cs="宋体"/>
          <w:szCs w:val="21"/>
          <w:lang w:val="en-US" w:eastAsia="zh-CN"/>
        </w:rPr>
        <w:t>存在任一级人民政府财政部门作出“禁止参加政府采购活动”行政处罚决定且处罚期限未届满的，不得参加政府采购活动。</w:t>
      </w:r>
      <w:r>
        <w:rPr>
          <w:rFonts w:hint="eastAsia" w:ascii="宋体" w:hAnsi="宋体" w:cs="Tahoma"/>
          <w:color w:val="auto"/>
          <w:szCs w:val="21"/>
        </w:rPr>
        <w:t>（提供响应供应商资格声明函，详见响应文件格式）</w:t>
      </w:r>
    </w:p>
    <w:p w14:paraId="410E03F0">
      <w:pPr>
        <w:pStyle w:val="10"/>
        <w:snapToGrid w:val="0"/>
        <w:spacing w:line="360" w:lineRule="auto"/>
        <w:ind w:left="0" w:leftChars="0" w:firstLine="420" w:firstLineChars="200"/>
        <w:rPr>
          <w:rFonts w:ascii="宋体" w:hAnsi="宋体" w:cs="Tahoma"/>
          <w:color w:val="auto"/>
          <w:szCs w:val="21"/>
        </w:rPr>
      </w:pPr>
      <w:r>
        <w:rPr>
          <w:rFonts w:hint="eastAsia" w:ascii="宋体" w:hAnsi="宋体" w:cs="Tahoma"/>
          <w:color w:val="auto"/>
          <w:szCs w:val="21"/>
        </w:rPr>
        <w:t>（</w:t>
      </w:r>
      <w:r>
        <w:rPr>
          <w:rFonts w:hint="eastAsia" w:ascii="宋体" w:hAnsi="宋体" w:cs="Tahoma"/>
          <w:color w:val="auto"/>
          <w:szCs w:val="21"/>
          <w:lang w:val="en-US" w:eastAsia="zh-CN"/>
        </w:rPr>
        <w:t>7</w:t>
      </w:r>
      <w:r>
        <w:rPr>
          <w:rFonts w:hint="eastAsia" w:ascii="宋体" w:hAnsi="宋体" w:cs="Tahoma"/>
          <w:color w:val="auto"/>
          <w:szCs w:val="21"/>
        </w:rPr>
        <w:t>）提供《公平竞争承诺书》。</w:t>
      </w:r>
    </w:p>
    <w:p w14:paraId="56EBD659">
      <w:pPr>
        <w:pStyle w:val="10"/>
        <w:snapToGrid w:val="0"/>
        <w:spacing w:line="360" w:lineRule="auto"/>
        <w:ind w:left="0" w:leftChars="0" w:firstLine="420" w:firstLineChars="200"/>
        <w:rPr>
          <w:rFonts w:ascii="宋体" w:hAnsi="宋体" w:cs="Tahoma"/>
          <w:color w:val="auto"/>
          <w:szCs w:val="21"/>
        </w:rPr>
      </w:pPr>
      <w:r>
        <w:rPr>
          <w:rFonts w:hint="eastAsia" w:ascii="宋体" w:hAnsi="宋体" w:cs="Tahoma"/>
          <w:color w:val="auto"/>
          <w:szCs w:val="21"/>
        </w:rPr>
        <w:t>（</w:t>
      </w:r>
      <w:r>
        <w:rPr>
          <w:rFonts w:hint="eastAsia" w:ascii="宋体" w:hAnsi="宋体" w:cs="Tahoma"/>
          <w:color w:val="auto"/>
          <w:szCs w:val="21"/>
          <w:lang w:val="en-US" w:eastAsia="zh-CN"/>
        </w:rPr>
        <w:t>8</w:t>
      </w:r>
      <w:r>
        <w:rPr>
          <w:rFonts w:ascii="宋体" w:hAnsi="宋体" w:cs="Tahoma"/>
          <w:color w:val="auto"/>
          <w:szCs w:val="21"/>
        </w:rPr>
        <w:t>）</w:t>
      </w:r>
      <w:r>
        <w:rPr>
          <w:rFonts w:hint="eastAsia" w:ascii="宋体" w:hAnsi="宋体" w:cs="Tahoma"/>
          <w:color w:val="auto"/>
          <w:szCs w:val="21"/>
        </w:rPr>
        <w:t>为采购项目提供整体设计、规范编制或者项目管理、监理、检测等服务的供应商，不得再参加同一采购项目的其他采购活动。（提供响应供应商资格声明函，详见响应文件格式）</w:t>
      </w:r>
    </w:p>
    <w:p w14:paraId="12E77767">
      <w:pPr>
        <w:pStyle w:val="10"/>
        <w:snapToGrid w:val="0"/>
        <w:spacing w:line="360" w:lineRule="auto"/>
        <w:ind w:left="0" w:leftChars="0" w:firstLine="420" w:firstLineChars="200"/>
        <w:rPr>
          <w:rFonts w:ascii="宋体" w:hAnsi="宋体" w:cs="Tahoma"/>
          <w:color w:val="auto"/>
          <w:szCs w:val="21"/>
        </w:rPr>
      </w:pPr>
      <w:r>
        <w:rPr>
          <w:rFonts w:hint="eastAsia" w:ascii="宋体" w:hAnsi="宋体" w:cs="Tahoma"/>
          <w:color w:val="auto"/>
          <w:szCs w:val="21"/>
        </w:rPr>
        <w:t>（</w:t>
      </w:r>
      <w:r>
        <w:rPr>
          <w:rFonts w:hint="eastAsia" w:ascii="宋体" w:hAnsi="宋体" w:cs="Tahoma"/>
          <w:color w:val="auto"/>
          <w:szCs w:val="21"/>
          <w:lang w:val="en-US" w:eastAsia="zh-CN"/>
        </w:rPr>
        <w:t>9</w:t>
      </w:r>
      <w:r>
        <w:rPr>
          <w:rFonts w:ascii="宋体" w:hAnsi="宋体" w:cs="Tahoma"/>
          <w:color w:val="auto"/>
          <w:szCs w:val="21"/>
        </w:rPr>
        <w:t>）</w:t>
      </w:r>
      <w:r>
        <w:rPr>
          <w:rFonts w:hint="eastAsia" w:ascii="宋体" w:hAnsi="宋体" w:cs="Tahoma"/>
          <w:color w:val="auto"/>
          <w:szCs w:val="21"/>
        </w:rPr>
        <w:t>单位负责人为同一人或者存在直接控股、管理关系的不同供应商，不得参加同一合同项下的采购活动。（提供响应供应商资格声明函，详见响应文件格式）</w:t>
      </w:r>
    </w:p>
    <w:p w14:paraId="3AF51892">
      <w:pPr>
        <w:pStyle w:val="10"/>
        <w:snapToGrid w:val="0"/>
        <w:spacing w:line="360" w:lineRule="auto"/>
        <w:ind w:left="0" w:leftChars="0" w:firstLine="420" w:firstLineChars="200"/>
        <w:rPr>
          <w:rFonts w:ascii="宋体" w:hAnsi="宋体" w:cs="Tahoma"/>
          <w:color w:val="auto"/>
          <w:szCs w:val="21"/>
          <w:lang w:eastAsia="zh-TW"/>
        </w:rPr>
      </w:pPr>
      <w:r>
        <w:rPr>
          <w:rFonts w:hint="eastAsia" w:ascii="宋体" w:hAnsi="宋体" w:cs="Tahoma"/>
          <w:color w:val="auto"/>
          <w:szCs w:val="21"/>
        </w:rPr>
        <w:t>（</w:t>
      </w:r>
      <w:r>
        <w:rPr>
          <w:rFonts w:hint="eastAsia" w:ascii="宋体" w:hAnsi="宋体" w:cs="Tahoma"/>
          <w:color w:val="auto"/>
          <w:szCs w:val="21"/>
          <w:lang w:val="en-US" w:eastAsia="zh-CN"/>
        </w:rPr>
        <w:t>10</w:t>
      </w:r>
      <w:r>
        <w:rPr>
          <w:rFonts w:ascii="宋体" w:hAnsi="宋体" w:cs="Tahoma"/>
          <w:color w:val="auto"/>
          <w:szCs w:val="21"/>
        </w:rPr>
        <w:t>）</w:t>
      </w:r>
      <w:r>
        <w:rPr>
          <w:rFonts w:hint="eastAsia" w:ascii="宋体" w:hAnsi="宋体" w:cs="Tahoma"/>
          <w:color w:val="auto"/>
          <w:szCs w:val="21"/>
        </w:rPr>
        <w:t>响应供应商未被列入“中国执行信息公开网”（ http://zxgk.court.gov.cn/shixin/）“记录失信被执行人”名单；“信用中国”网站(www.creditchina.gov.cn)“重大税收违法案件当事人名单、政府采购严重违法失信行为”。如查询结果未显示存在失信记录，视为不存在上述不良信用记录。（①由采购代理机构于投标截止日当天在上述网站进行查询，同时对信用信息查询记录和证据截图或下载存档；②响应供应商为分公司的，同时对该分公司所属总公司（总所）进行信用记录查询，该分公司所属总公司（总所）存在不良信用记录的，视同响应供应商存在不良信用记录；③如相关失信记录已失效，响应供应商必须提供相关证明资料。）</w:t>
      </w:r>
    </w:p>
    <w:p w14:paraId="761F8C0F">
      <w:pPr>
        <w:pStyle w:val="10"/>
        <w:snapToGrid w:val="0"/>
        <w:spacing w:line="360" w:lineRule="auto"/>
        <w:ind w:left="0" w:leftChars="0" w:firstLine="420" w:firstLineChars="200"/>
        <w:rPr>
          <w:rFonts w:ascii="宋体" w:hAnsi="宋体" w:cs="Tahoma"/>
          <w:color w:val="auto"/>
          <w:szCs w:val="21"/>
          <w:lang w:eastAsia="zh-TW"/>
        </w:rPr>
      </w:pPr>
      <w:r>
        <w:rPr>
          <w:rFonts w:hint="eastAsia" w:ascii="宋体" w:hAnsi="宋体" w:cs="Tahoma"/>
          <w:color w:val="auto"/>
          <w:szCs w:val="21"/>
        </w:rPr>
        <w:t>（1</w:t>
      </w:r>
      <w:r>
        <w:rPr>
          <w:rFonts w:hint="eastAsia" w:ascii="宋体" w:hAnsi="宋体" w:cs="Tahoma"/>
          <w:color w:val="auto"/>
          <w:szCs w:val="21"/>
          <w:lang w:val="en-US" w:eastAsia="zh-CN"/>
        </w:rPr>
        <w:t>1</w:t>
      </w:r>
      <w:r>
        <w:rPr>
          <w:rFonts w:ascii="宋体" w:hAnsi="宋体" w:cs="Tahoma"/>
          <w:color w:val="auto"/>
          <w:szCs w:val="21"/>
        </w:rPr>
        <w:t>）</w:t>
      </w:r>
      <w:r>
        <w:rPr>
          <w:rFonts w:hint="eastAsia" w:ascii="宋体" w:hAnsi="宋体" w:cs="Tahoma"/>
          <w:color w:val="auto"/>
          <w:szCs w:val="21"/>
        </w:rPr>
        <w:t>本项目不接受联合体投标。</w:t>
      </w:r>
      <w:r>
        <w:rPr>
          <w:rFonts w:hint="eastAsia" w:ascii="宋体" w:cs="Tahoma"/>
          <w:color w:val="auto"/>
          <w:szCs w:val="21"/>
        </w:rPr>
        <w:t>（提供响应供应商资格声明函，详见响应文件格式）</w:t>
      </w:r>
    </w:p>
    <w:p w14:paraId="3A68C202">
      <w:pPr>
        <w:pStyle w:val="10"/>
        <w:snapToGrid w:val="0"/>
        <w:spacing w:line="360" w:lineRule="auto"/>
        <w:ind w:left="0" w:leftChars="0" w:right="25" w:rightChars="12" w:firstLine="422" w:firstLineChars="200"/>
        <w:rPr>
          <w:rFonts w:ascii="宋体" w:hAnsi="宋体" w:cs="Tahoma"/>
          <w:b/>
          <w:color w:val="auto"/>
          <w:szCs w:val="21"/>
          <w:lang w:eastAsia="zh-TW"/>
        </w:rPr>
      </w:pPr>
      <w:r>
        <w:rPr>
          <w:rFonts w:ascii="宋体" w:hAnsi="宋体" w:cs="Tahoma"/>
          <w:b/>
          <w:color w:val="auto"/>
          <w:szCs w:val="21"/>
        </w:rPr>
        <w:t>三、获取采购文件</w:t>
      </w:r>
    </w:p>
    <w:p w14:paraId="78ED7C5A">
      <w:pPr>
        <w:pStyle w:val="10"/>
        <w:snapToGrid w:val="0"/>
        <w:spacing w:line="360" w:lineRule="auto"/>
        <w:ind w:left="0" w:leftChars="0" w:right="25" w:rightChars="12" w:firstLine="420" w:firstLineChars="200"/>
        <w:rPr>
          <w:rFonts w:ascii="宋体" w:hAnsi="宋体" w:cs="Tahoma"/>
          <w:color w:val="auto"/>
          <w:szCs w:val="21"/>
          <w:lang w:eastAsia="zh-TW"/>
        </w:rPr>
      </w:pPr>
      <w:r>
        <w:rPr>
          <w:rFonts w:ascii="宋体" w:hAnsi="宋体" w:cs="Tahoma"/>
          <w:color w:val="auto"/>
          <w:szCs w:val="21"/>
        </w:rPr>
        <w:t>时间：</w:t>
      </w:r>
      <w:r>
        <w:rPr>
          <w:rFonts w:ascii="宋体" w:hAnsi="宋体" w:cs="Tahoma"/>
          <w:color w:val="auto"/>
          <w:szCs w:val="21"/>
          <w:u w:val="single"/>
          <w:lang w:eastAsia="zh-TW"/>
        </w:rPr>
        <w:t>202</w:t>
      </w:r>
      <w:r>
        <w:rPr>
          <w:rFonts w:hint="eastAsia" w:ascii="宋体" w:hAnsi="宋体" w:cs="Tahoma"/>
          <w:color w:val="auto"/>
          <w:szCs w:val="21"/>
          <w:u w:val="single"/>
          <w:lang w:val="en-US"/>
        </w:rPr>
        <w:t>3</w:t>
      </w:r>
      <w:r>
        <w:rPr>
          <w:rFonts w:hint="eastAsia" w:ascii="宋体" w:hAnsi="宋体" w:cs="Tahoma"/>
          <w:color w:val="auto"/>
          <w:szCs w:val="21"/>
        </w:rPr>
        <w:t>年</w:t>
      </w:r>
      <w:r>
        <w:rPr>
          <w:rFonts w:hint="eastAsia" w:ascii="宋体" w:hAnsi="宋体" w:cs="Tahoma"/>
          <w:color w:val="auto"/>
          <w:szCs w:val="21"/>
          <w:u w:val="single"/>
          <w:lang w:val="en-US" w:eastAsia="zh-CN"/>
        </w:rPr>
        <w:t>12</w:t>
      </w:r>
      <w:r>
        <w:rPr>
          <w:rFonts w:hint="eastAsia" w:ascii="宋体" w:hAnsi="宋体" w:cs="Tahoma"/>
          <w:color w:val="auto"/>
          <w:szCs w:val="21"/>
        </w:rPr>
        <w:t>月</w:t>
      </w:r>
      <w:r>
        <w:rPr>
          <w:rFonts w:hint="eastAsia" w:ascii="宋体" w:hAnsi="宋体" w:cs="Tahoma"/>
          <w:color w:val="auto"/>
          <w:szCs w:val="21"/>
          <w:u w:val="single"/>
          <w:lang w:val="en-US" w:eastAsia="zh-CN"/>
        </w:rPr>
        <w:t>13</w:t>
      </w:r>
      <w:r>
        <w:rPr>
          <w:rFonts w:hint="eastAsia" w:ascii="宋体" w:hAnsi="宋体" w:cs="Tahoma"/>
          <w:color w:val="auto"/>
          <w:szCs w:val="21"/>
        </w:rPr>
        <w:t>日至</w:t>
      </w:r>
      <w:r>
        <w:rPr>
          <w:rFonts w:ascii="宋体" w:hAnsi="宋体" w:cs="Tahoma"/>
          <w:color w:val="auto"/>
          <w:szCs w:val="21"/>
          <w:u w:val="single"/>
          <w:lang w:eastAsia="zh-TW"/>
        </w:rPr>
        <w:t>202</w:t>
      </w:r>
      <w:r>
        <w:rPr>
          <w:rFonts w:hint="eastAsia" w:ascii="宋体" w:hAnsi="宋体" w:cs="Tahoma"/>
          <w:color w:val="auto"/>
          <w:szCs w:val="21"/>
          <w:u w:val="single"/>
          <w:lang w:val="en-US"/>
        </w:rPr>
        <w:t>3</w:t>
      </w:r>
      <w:r>
        <w:rPr>
          <w:rFonts w:hint="eastAsia" w:ascii="宋体" w:hAnsi="宋体" w:cs="Tahoma"/>
          <w:color w:val="auto"/>
          <w:szCs w:val="21"/>
        </w:rPr>
        <w:t>年</w:t>
      </w:r>
      <w:r>
        <w:rPr>
          <w:rFonts w:hint="eastAsia" w:ascii="宋体" w:hAnsi="宋体" w:cs="Tahoma"/>
          <w:color w:val="auto"/>
          <w:szCs w:val="21"/>
          <w:u w:val="single"/>
          <w:lang w:val="en-US" w:eastAsia="zh-CN"/>
        </w:rPr>
        <w:t>12</w:t>
      </w:r>
      <w:r>
        <w:rPr>
          <w:rFonts w:hint="eastAsia" w:ascii="宋体" w:hAnsi="宋体" w:cs="Tahoma"/>
          <w:color w:val="auto"/>
          <w:szCs w:val="21"/>
        </w:rPr>
        <w:t>月</w:t>
      </w:r>
      <w:r>
        <w:rPr>
          <w:rFonts w:hint="eastAsia" w:ascii="宋体" w:hAnsi="宋体" w:cs="Tahoma"/>
          <w:color w:val="auto"/>
          <w:szCs w:val="21"/>
          <w:u w:val="single"/>
          <w:lang w:val="en-US" w:eastAsia="zh-CN"/>
        </w:rPr>
        <w:t>20</w:t>
      </w:r>
      <w:r>
        <w:rPr>
          <w:rFonts w:hint="eastAsia" w:ascii="宋体" w:hAnsi="宋体" w:cs="Tahoma"/>
          <w:color w:val="auto"/>
          <w:szCs w:val="21"/>
        </w:rPr>
        <w:t>日</w:t>
      </w:r>
      <w:r>
        <w:rPr>
          <w:rFonts w:ascii="宋体" w:hAnsi="宋体" w:cs="Tahoma"/>
          <w:color w:val="auto"/>
          <w:szCs w:val="21"/>
        </w:rPr>
        <w:t>（磋商文件的发售期限自开始之日起不得少于</w:t>
      </w:r>
      <w:r>
        <w:rPr>
          <w:rFonts w:ascii="宋体" w:hAnsi="宋体" w:cs="Tahoma"/>
          <w:color w:val="auto"/>
          <w:szCs w:val="21"/>
          <w:lang w:eastAsia="zh-TW"/>
        </w:rPr>
        <w:t>5</w:t>
      </w:r>
      <w:r>
        <w:rPr>
          <w:rFonts w:ascii="宋体" w:hAnsi="宋体" w:cs="Tahoma"/>
          <w:color w:val="auto"/>
          <w:szCs w:val="21"/>
        </w:rPr>
        <w:t>个工作日），每天上午</w:t>
      </w:r>
      <w:r>
        <w:rPr>
          <w:rFonts w:ascii="宋体" w:hAnsi="宋体" w:cs="Tahoma"/>
          <w:color w:val="auto"/>
          <w:szCs w:val="21"/>
          <w:lang w:eastAsia="zh-TW"/>
        </w:rPr>
        <w:t xml:space="preserve"> 09:00 </w:t>
      </w:r>
      <w:r>
        <w:rPr>
          <w:rFonts w:hint="eastAsia" w:ascii="宋体" w:hAnsi="宋体" w:cs="Tahoma"/>
          <w:color w:val="auto"/>
          <w:szCs w:val="21"/>
        </w:rPr>
        <w:t>至</w:t>
      </w:r>
      <w:r>
        <w:rPr>
          <w:rFonts w:ascii="宋体" w:hAnsi="宋体" w:cs="Tahoma"/>
          <w:color w:val="auto"/>
          <w:szCs w:val="21"/>
          <w:lang w:eastAsia="zh-TW"/>
        </w:rPr>
        <w:t xml:space="preserve"> 12:00</w:t>
      </w:r>
      <w:r>
        <w:rPr>
          <w:rFonts w:hint="eastAsia" w:ascii="宋体" w:hAnsi="宋体" w:cs="Tahoma"/>
          <w:color w:val="auto"/>
          <w:szCs w:val="21"/>
        </w:rPr>
        <w:t>，下午</w:t>
      </w:r>
      <w:r>
        <w:rPr>
          <w:rFonts w:ascii="宋体" w:hAnsi="宋体" w:cs="Tahoma"/>
          <w:color w:val="auto"/>
          <w:szCs w:val="21"/>
          <w:lang w:eastAsia="zh-TW"/>
        </w:rPr>
        <w:t xml:space="preserve"> 14:00 </w:t>
      </w:r>
      <w:r>
        <w:rPr>
          <w:rFonts w:hint="eastAsia" w:ascii="宋体" w:hAnsi="宋体" w:cs="Tahoma"/>
          <w:color w:val="auto"/>
          <w:szCs w:val="21"/>
        </w:rPr>
        <w:t>至</w:t>
      </w:r>
      <w:r>
        <w:rPr>
          <w:rFonts w:ascii="宋体" w:hAnsi="宋体" w:cs="Tahoma"/>
          <w:color w:val="auto"/>
          <w:szCs w:val="21"/>
          <w:lang w:eastAsia="zh-TW"/>
        </w:rPr>
        <w:t xml:space="preserve"> 18:00 </w:t>
      </w:r>
      <w:r>
        <w:rPr>
          <w:rFonts w:ascii="宋体" w:hAnsi="宋体" w:cs="Tahoma"/>
          <w:color w:val="auto"/>
          <w:szCs w:val="21"/>
        </w:rPr>
        <w:t>（北京时间，法定节假日除外）</w:t>
      </w:r>
    </w:p>
    <w:p w14:paraId="6A86F9E7">
      <w:pPr>
        <w:pStyle w:val="10"/>
        <w:snapToGrid w:val="0"/>
        <w:spacing w:line="360" w:lineRule="auto"/>
        <w:ind w:left="0" w:leftChars="0" w:right="25" w:rightChars="12" w:firstLine="420" w:firstLineChars="200"/>
        <w:rPr>
          <w:rFonts w:ascii="宋体" w:hAnsi="宋体" w:cs="Tahoma"/>
          <w:color w:val="auto"/>
          <w:szCs w:val="21"/>
        </w:rPr>
      </w:pPr>
      <w:r>
        <w:rPr>
          <w:rFonts w:ascii="宋体" w:hAnsi="宋体" w:cs="Tahoma"/>
          <w:color w:val="auto"/>
          <w:szCs w:val="21"/>
        </w:rPr>
        <w:t>地点：广州市天河区高唐路239号时代E-</w:t>
      </w:r>
      <w:r>
        <w:rPr>
          <w:rFonts w:hint="eastAsia" w:ascii="宋体" w:hAnsi="宋体" w:cs="Tahoma"/>
          <w:color w:val="auto"/>
          <w:szCs w:val="21"/>
        </w:rPr>
        <w:t>PARK1</w:t>
      </w:r>
      <w:r>
        <w:rPr>
          <w:rFonts w:ascii="宋体" w:hAnsi="宋体" w:cs="Tahoma"/>
          <w:color w:val="auto"/>
          <w:szCs w:val="21"/>
        </w:rPr>
        <w:t>期1栋503房</w:t>
      </w:r>
    </w:p>
    <w:p w14:paraId="0395364D">
      <w:pPr>
        <w:pStyle w:val="10"/>
        <w:snapToGrid w:val="0"/>
        <w:spacing w:line="360" w:lineRule="auto"/>
        <w:ind w:left="0" w:leftChars="0" w:right="25" w:rightChars="12" w:firstLine="420" w:firstLineChars="200"/>
        <w:rPr>
          <w:rFonts w:ascii="宋体" w:hAnsi="宋体" w:cs="Tahoma"/>
          <w:color w:val="auto"/>
          <w:szCs w:val="21"/>
          <w:lang w:eastAsia="zh-TW"/>
        </w:rPr>
      </w:pPr>
      <w:r>
        <w:rPr>
          <w:rFonts w:hint="eastAsia" w:ascii="宋体" w:hAnsi="宋体" w:cs="Tahoma"/>
          <w:color w:val="auto"/>
          <w:szCs w:val="21"/>
        </w:rPr>
        <w:t>方式：线上或线下报名，售后不退。（具体详见其他补充事宜）</w:t>
      </w:r>
    </w:p>
    <w:p w14:paraId="016B8897">
      <w:pPr>
        <w:pStyle w:val="10"/>
        <w:snapToGrid w:val="0"/>
        <w:spacing w:line="360" w:lineRule="auto"/>
        <w:ind w:left="0" w:leftChars="0" w:right="25" w:rightChars="12" w:firstLine="420" w:firstLineChars="200"/>
        <w:rPr>
          <w:rFonts w:ascii="宋体" w:hAnsi="宋体" w:cs="Tahoma"/>
          <w:color w:val="auto"/>
          <w:szCs w:val="21"/>
          <w:lang w:eastAsia="zh-TW"/>
        </w:rPr>
      </w:pPr>
      <w:r>
        <w:rPr>
          <w:rFonts w:hint="eastAsia" w:ascii="宋体" w:hAnsi="宋体" w:cs="Tahoma"/>
          <w:color w:val="auto"/>
          <w:szCs w:val="21"/>
        </w:rPr>
        <w:t>售价（元）：</w:t>
      </w:r>
      <w:r>
        <w:rPr>
          <w:rFonts w:ascii="宋体" w:hAnsi="宋体" w:cs="Tahoma"/>
          <w:color w:val="auto"/>
          <w:szCs w:val="21"/>
          <w:lang w:eastAsia="zh-TW"/>
        </w:rPr>
        <w:t>300</w:t>
      </w:r>
      <w:r>
        <w:rPr>
          <w:rFonts w:ascii="宋体" w:hAnsi="宋体" w:cs="Tahoma"/>
          <w:color w:val="auto"/>
          <w:szCs w:val="21"/>
        </w:rPr>
        <w:t>（现金支付，若为其他方式，须提交手续费用）</w:t>
      </w:r>
    </w:p>
    <w:p w14:paraId="441A697A">
      <w:pPr>
        <w:pStyle w:val="10"/>
        <w:snapToGrid w:val="0"/>
        <w:spacing w:line="360" w:lineRule="auto"/>
        <w:ind w:left="0" w:leftChars="0" w:right="25" w:rightChars="12" w:firstLine="424" w:firstLineChars="201"/>
        <w:rPr>
          <w:rFonts w:ascii="宋体" w:cs="Tahoma"/>
          <w:b/>
          <w:color w:val="auto"/>
          <w:szCs w:val="21"/>
        </w:rPr>
      </w:pPr>
      <w:r>
        <w:rPr>
          <w:rFonts w:ascii="宋体" w:hAnsi="宋体" w:cs="Tahoma"/>
          <w:b/>
          <w:color w:val="auto"/>
          <w:szCs w:val="21"/>
        </w:rPr>
        <w:t>四、</w:t>
      </w:r>
      <w:r>
        <w:rPr>
          <w:rFonts w:hint="eastAsia" w:ascii="宋体" w:hAnsi="宋体" w:cs="Tahoma"/>
          <w:b/>
          <w:color w:val="auto"/>
          <w:szCs w:val="21"/>
        </w:rPr>
        <w:t>响应文件</w:t>
      </w:r>
      <w:r>
        <w:rPr>
          <w:rFonts w:ascii="宋体" w:hAnsi="宋体" w:cs="Tahoma"/>
          <w:b/>
          <w:color w:val="auto"/>
          <w:szCs w:val="21"/>
        </w:rPr>
        <w:t>提交</w:t>
      </w:r>
    </w:p>
    <w:p w14:paraId="5E9B2DB3">
      <w:pPr>
        <w:pStyle w:val="10"/>
        <w:snapToGrid w:val="0"/>
        <w:spacing w:line="360" w:lineRule="auto"/>
        <w:ind w:left="0" w:leftChars="0" w:right="25" w:rightChars="12" w:firstLine="424" w:firstLineChars="201"/>
        <w:rPr>
          <w:rFonts w:ascii="宋体" w:hAnsi="宋体" w:cs="Tahoma"/>
          <w:color w:val="auto"/>
          <w:szCs w:val="21"/>
        </w:rPr>
      </w:pPr>
      <w:r>
        <w:rPr>
          <w:rFonts w:hint="eastAsia" w:ascii="宋体" w:cs="Tahoma"/>
          <w:b/>
          <w:color w:val="auto"/>
          <w:szCs w:val="21"/>
        </w:rPr>
        <w:t>响应文件截止时间：</w:t>
      </w:r>
      <w:r>
        <w:rPr>
          <w:rFonts w:ascii="宋体" w:hAnsi="宋体" w:cs="Tahoma"/>
          <w:color w:val="auto"/>
          <w:szCs w:val="21"/>
          <w:u w:val="single"/>
          <w:lang w:eastAsia="zh-TW"/>
        </w:rPr>
        <w:t>202</w:t>
      </w:r>
      <w:r>
        <w:rPr>
          <w:rFonts w:hint="eastAsia" w:ascii="宋体" w:hAnsi="宋体" w:cs="Tahoma"/>
          <w:color w:val="auto"/>
          <w:szCs w:val="21"/>
          <w:u w:val="single"/>
          <w:lang w:val="en-US"/>
        </w:rPr>
        <w:t>3</w:t>
      </w:r>
      <w:r>
        <w:rPr>
          <w:rFonts w:hint="eastAsia" w:ascii="宋体" w:hAnsi="宋体" w:cs="Tahoma"/>
          <w:color w:val="auto"/>
          <w:szCs w:val="21"/>
        </w:rPr>
        <w:t>年</w:t>
      </w:r>
      <w:r>
        <w:rPr>
          <w:rFonts w:hint="eastAsia" w:ascii="宋体" w:hAnsi="宋体" w:cs="Tahoma"/>
          <w:color w:val="auto"/>
          <w:szCs w:val="21"/>
          <w:u w:val="single"/>
          <w:lang w:val="en-US" w:eastAsia="zh-CN"/>
        </w:rPr>
        <w:t>12</w:t>
      </w:r>
      <w:r>
        <w:rPr>
          <w:rFonts w:hint="eastAsia" w:ascii="宋体" w:hAnsi="宋体" w:cs="Tahoma"/>
          <w:color w:val="auto"/>
          <w:szCs w:val="21"/>
        </w:rPr>
        <w:t>月</w:t>
      </w:r>
      <w:r>
        <w:rPr>
          <w:rFonts w:hint="eastAsia" w:ascii="宋体" w:hAnsi="宋体" w:cs="Tahoma"/>
          <w:color w:val="auto"/>
          <w:szCs w:val="21"/>
          <w:u w:val="single"/>
          <w:lang w:val="en-US" w:eastAsia="zh-CN"/>
        </w:rPr>
        <w:t>25</w:t>
      </w:r>
      <w:r>
        <w:rPr>
          <w:rFonts w:hint="eastAsia" w:ascii="宋体" w:hAnsi="宋体" w:cs="Tahoma"/>
          <w:color w:val="auto"/>
          <w:szCs w:val="21"/>
        </w:rPr>
        <w:t>日</w:t>
      </w:r>
      <w:r>
        <w:rPr>
          <w:rFonts w:hint="eastAsia" w:ascii="宋体" w:hAnsi="宋体" w:cs="Tahoma"/>
          <w:color w:val="auto"/>
          <w:szCs w:val="21"/>
          <w:u w:val="single"/>
          <w:lang w:val="en-US" w:eastAsia="zh-CN"/>
        </w:rPr>
        <w:t>14</w:t>
      </w:r>
      <w:r>
        <w:rPr>
          <w:rFonts w:ascii="宋体" w:hAnsi="宋体" w:cs="Tahoma"/>
          <w:color w:val="auto"/>
          <w:szCs w:val="21"/>
        </w:rPr>
        <w:t>点</w:t>
      </w:r>
      <w:r>
        <w:rPr>
          <w:rFonts w:hint="eastAsia" w:ascii="宋体" w:hAnsi="宋体" w:cs="Tahoma"/>
          <w:color w:val="auto"/>
          <w:szCs w:val="21"/>
          <w:u w:val="single"/>
          <w:lang w:val="en-US" w:eastAsia="zh-CN"/>
        </w:rPr>
        <w:t>30</w:t>
      </w:r>
      <w:r>
        <w:rPr>
          <w:rFonts w:hint="eastAsia" w:ascii="宋体" w:hAnsi="宋体" w:cs="Tahoma"/>
          <w:color w:val="auto"/>
          <w:szCs w:val="21"/>
        </w:rPr>
        <w:t>分（</w:t>
      </w:r>
      <w:r>
        <w:rPr>
          <w:rFonts w:hint="eastAsia" w:ascii="宋体" w:cs="Tahoma"/>
          <w:color w:val="auto"/>
          <w:szCs w:val="21"/>
        </w:rPr>
        <w:t>北京时间）</w:t>
      </w:r>
    </w:p>
    <w:p w14:paraId="641A8893">
      <w:pPr>
        <w:pStyle w:val="10"/>
        <w:snapToGrid w:val="0"/>
        <w:spacing w:line="360" w:lineRule="auto"/>
        <w:ind w:left="0" w:leftChars="0" w:right="25" w:rightChars="12" w:firstLine="420" w:firstLineChars="200"/>
        <w:rPr>
          <w:rFonts w:ascii="宋体" w:hAnsi="宋体" w:cs="Tahoma"/>
          <w:color w:val="auto"/>
          <w:szCs w:val="21"/>
        </w:rPr>
      </w:pPr>
      <w:r>
        <w:rPr>
          <w:rFonts w:ascii="宋体" w:hAnsi="宋体" w:cs="Tahoma"/>
          <w:color w:val="auto"/>
          <w:szCs w:val="21"/>
        </w:rPr>
        <w:t>地点：广州市天河区高唐路239号时代E-</w:t>
      </w:r>
      <w:r>
        <w:rPr>
          <w:rFonts w:hint="eastAsia" w:ascii="宋体" w:hAnsi="宋体" w:cs="Tahoma"/>
          <w:color w:val="auto"/>
          <w:szCs w:val="21"/>
        </w:rPr>
        <w:t>PARK1</w:t>
      </w:r>
      <w:r>
        <w:rPr>
          <w:rFonts w:ascii="宋体" w:hAnsi="宋体" w:cs="Tahoma"/>
          <w:color w:val="auto"/>
          <w:szCs w:val="21"/>
        </w:rPr>
        <w:t>期1栋503房</w:t>
      </w:r>
    </w:p>
    <w:p w14:paraId="2EBBF208">
      <w:pPr>
        <w:pStyle w:val="10"/>
        <w:snapToGrid w:val="0"/>
        <w:spacing w:line="360" w:lineRule="auto"/>
        <w:ind w:left="0" w:leftChars="0" w:right="25" w:rightChars="12" w:firstLine="422" w:firstLineChars="200"/>
        <w:rPr>
          <w:rFonts w:ascii="宋体" w:hAnsi="宋体" w:cs="Tahoma"/>
          <w:b/>
          <w:color w:val="auto"/>
          <w:szCs w:val="21"/>
        </w:rPr>
      </w:pPr>
      <w:r>
        <w:rPr>
          <w:rFonts w:ascii="宋体" w:hAnsi="宋体" w:cs="Tahoma"/>
          <w:b/>
          <w:color w:val="auto"/>
          <w:szCs w:val="21"/>
        </w:rPr>
        <w:t>五、开启</w:t>
      </w:r>
    </w:p>
    <w:p w14:paraId="32B2890E">
      <w:pPr>
        <w:pStyle w:val="10"/>
        <w:snapToGrid w:val="0"/>
        <w:spacing w:line="360" w:lineRule="auto"/>
        <w:ind w:left="0" w:leftChars="0" w:right="25" w:rightChars="12" w:firstLine="420" w:firstLineChars="200"/>
        <w:rPr>
          <w:rFonts w:ascii="宋体" w:hAnsi="宋体" w:cs="Tahoma"/>
          <w:color w:val="auto"/>
          <w:szCs w:val="21"/>
        </w:rPr>
      </w:pPr>
      <w:r>
        <w:rPr>
          <w:rFonts w:ascii="宋体" w:hAnsi="宋体" w:cs="Tahoma"/>
          <w:color w:val="auto"/>
          <w:szCs w:val="21"/>
        </w:rPr>
        <w:t>时间：</w:t>
      </w:r>
      <w:r>
        <w:rPr>
          <w:rFonts w:ascii="宋体" w:hAnsi="宋体" w:cs="Tahoma"/>
          <w:color w:val="auto"/>
          <w:szCs w:val="21"/>
          <w:u w:val="single"/>
          <w:lang w:eastAsia="zh-TW"/>
        </w:rPr>
        <w:t>202</w:t>
      </w:r>
      <w:r>
        <w:rPr>
          <w:rFonts w:hint="eastAsia" w:ascii="宋体" w:hAnsi="宋体" w:cs="Tahoma"/>
          <w:color w:val="auto"/>
          <w:szCs w:val="21"/>
          <w:u w:val="single"/>
          <w:lang w:val="en-US"/>
        </w:rPr>
        <w:t>3</w:t>
      </w:r>
      <w:r>
        <w:rPr>
          <w:rFonts w:hint="eastAsia" w:ascii="宋体" w:hAnsi="宋体" w:cs="Tahoma"/>
          <w:color w:val="auto"/>
          <w:szCs w:val="21"/>
        </w:rPr>
        <w:t>年</w:t>
      </w:r>
      <w:r>
        <w:rPr>
          <w:rFonts w:hint="eastAsia" w:ascii="宋体" w:hAnsi="宋体" w:cs="Tahoma"/>
          <w:color w:val="auto"/>
          <w:szCs w:val="21"/>
          <w:u w:val="single"/>
          <w:lang w:val="en-US" w:eastAsia="zh-CN"/>
        </w:rPr>
        <w:t>12</w:t>
      </w:r>
      <w:r>
        <w:rPr>
          <w:rFonts w:hint="eastAsia" w:ascii="宋体" w:hAnsi="宋体" w:cs="Tahoma"/>
          <w:color w:val="auto"/>
          <w:szCs w:val="21"/>
        </w:rPr>
        <w:t>月</w:t>
      </w:r>
      <w:r>
        <w:rPr>
          <w:rFonts w:hint="eastAsia" w:ascii="宋体" w:hAnsi="宋体" w:cs="Tahoma"/>
          <w:color w:val="auto"/>
          <w:szCs w:val="21"/>
          <w:u w:val="single"/>
          <w:lang w:val="en-US" w:eastAsia="zh-CN"/>
        </w:rPr>
        <w:t>25</w:t>
      </w:r>
      <w:r>
        <w:rPr>
          <w:rFonts w:hint="eastAsia" w:ascii="宋体" w:hAnsi="宋体" w:cs="Tahoma"/>
          <w:color w:val="auto"/>
          <w:szCs w:val="21"/>
        </w:rPr>
        <w:t>日</w:t>
      </w:r>
      <w:r>
        <w:rPr>
          <w:rFonts w:hint="eastAsia" w:ascii="宋体" w:hAnsi="宋体" w:cs="Tahoma"/>
          <w:color w:val="auto"/>
          <w:szCs w:val="21"/>
          <w:u w:val="single"/>
          <w:lang w:val="en-US" w:eastAsia="zh-CN"/>
        </w:rPr>
        <w:t>14</w:t>
      </w:r>
      <w:r>
        <w:rPr>
          <w:rFonts w:ascii="宋体" w:hAnsi="宋体" w:cs="Tahoma"/>
          <w:color w:val="auto"/>
          <w:szCs w:val="21"/>
        </w:rPr>
        <w:t>点</w:t>
      </w:r>
      <w:r>
        <w:rPr>
          <w:rFonts w:hint="eastAsia" w:ascii="宋体" w:hAnsi="宋体" w:cs="Tahoma"/>
          <w:color w:val="auto"/>
          <w:szCs w:val="21"/>
          <w:u w:val="single"/>
          <w:lang w:val="en-US" w:eastAsia="zh-CN"/>
        </w:rPr>
        <w:t>30</w:t>
      </w:r>
      <w:r>
        <w:rPr>
          <w:rFonts w:hint="eastAsia" w:ascii="宋体" w:hAnsi="宋体" w:cs="Tahoma"/>
          <w:color w:val="auto"/>
          <w:szCs w:val="21"/>
        </w:rPr>
        <w:t>分</w:t>
      </w:r>
      <w:r>
        <w:rPr>
          <w:rFonts w:ascii="宋体" w:hAnsi="宋体" w:cs="Tahoma"/>
          <w:color w:val="auto"/>
          <w:szCs w:val="21"/>
        </w:rPr>
        <w:t>（北京时间）</w:t>
      </w:r>
    </w:p>
    <w:p w14:paraId="11321354">
      <w:pPr>
        <w:pStyle w:val="10"/>
        <w:snapToGrid w:val="0"/>
        <w:spacing w:line="360" w:lineRule="auto"/>
        <w:ind w:left="0" w:leftChars="0" w:right="25" w:rightChars="12" w:firstLine="420" w:firstLineChars="200"/>
        <w:rPr>
          <w:rFonts w:ascii="宋体" w:hAnsi="宋体" w:cs="Tahoma"/>
          <w:color w:val="auto"/>
          <w:szCs w:val="21"/>
        </w:rPr>
      </w:pPr>
      <w:r>
        <w:rPr>
          <w:rFonts w:ascii="宋体" w:hAnsi="宋体" w:cs="Tahoma"/>
          <w:color w:val="auto"/>
          <w:szCs w:val="21"/>
        </w:rPr>
        <w:t>地点：广州市天河区高唐路239号时代E-</w:t>
      </w:r>
      <w:r>
        <w:rPr>
          <w:rFonts w:hint="eastAsia" w:ascii="宋体" w:hAnsi="宋体" w:cs="Tahoma"/>
          <w:color w:val="auto"/>
          <w:szCs w:val="21"/>
        </w:rPr>
        <w:t>PARK1</w:t>
      </w:r>
      <w:r>
        <w:rPr>
          <w:rFonts w:ascii="宋体" w:hAnsi="宋体" w:cs="Tahoma"/>
          <w:color w:val="auto"/>
          <w:szCs w:val="21"/>
        </w:rPr>
        <w:t>期1栋503房</w:t>
      </w:r>
    </w:p>
    <w:p w14:paraId="589B61A7">
      <w:pPr>
        <w:pStyle w:val="10"/>
        <w:snapToGrid w:val="0"/>
        <w:spacing w:line="360" w:lineRule="auto"/>
        <w:ind w:left="0" w:leftChars="0" w:right="25" w:rightChars="12" w:firstLine="422" w:firstLineChars="200"/>
        <w:rPr>
          <w:rFonts w:ascii="宋体" w:hAnsi="宋体" w:cs="Tahoma"/>
          <w:b/>
          <w:color w:val="auto"/>
          <w:szCs w:val="21"/>
        </w:rPr>
      </w:pPr>
      <w:r>
        <w:rPr>
          <w:rFonts w:hint="eastAsia" w:ascii="宋体" w:hAnsi="宋体" w:cs="Tahoma"/>
          <w:b/>
          <w:color w:val="auto"/>
          <w:szCs w:val="21"/>
        </w:rPr>
        <w:t>六、公告期限</w:t>
      </w:r>
    </w:p>
    <w:p w14:paraId="5CA1C79E">
      <w:pPr>
        <w:pStyle w:val="10"/>
        <w:snapToGrid w:val="0"/>
        <w:spacing w:line="360" w:lineRule="auto"/>
        <w:ind w:left="0" w:leftChars="0" w:right="25" w:rightChars="12" w:firstLine="420" w:firstLineChars="200"/>
        <w:rPr>
          <w:rFonts w:ascii="宋体" w:hAnsi="宋体" w:cs="Tahoma"/>
          <w:color w:val="auto"/>
          <w:szCs w:val="21"/>
        </w:rPr>
      </w:pPr>
      <w:r>
        <w:rPr>
          <w:rFonts w:ascii="宋体" w:hAnsi="宋体" w:cs="Tahoma"/>
          <w:color w:val="auto"/>
          <w:szCs w:val="21"/>
        </w:rPr>
        <w:t>自本公告发布之日起</w:t>
      </w:r>
      <w:r>
        <w:rPr>
          <w:rFonts w:ascii="宋体" w:hAnsi="宋体" w:cs="Tahoma"/>
          <w:color w:val="auto"/>
          <w:szCs w:val="21"/>
          <w:lang w:eastAsia="zh-TW"/>
        </w:rPr>
        <w:t>3</w:t>
      </w:r>
      <w:r>
        <w:rPr>
          <w:rFonts w:ascii="宋体" w:hAnsi="宋体" w:cs="Tahoma"/>
          <w:color w:val="auto"/>
          <w:szCs w:val="21"/>
        </w:rPr>
        <w:t>个工作日。</w:t>
      </w:r>
    </w:p>
    <w:p w14:paraId="20765FEE">
      <w:pPr>
        <w:pStyle w:val="10"/>
        <w:snapToGrid w:val="0"/>
        <w:spacing w:line="360" w:lineRule="auto"/>
        <w:ind w:left="0" w:leftChars="0" w:right="25" w:rightChars="12" w:firstLine="422" w:firstLineChars="200"/>
        <w:rPr>
          <w:rFonts w:ascii="宋体" w:hAnsi="宋体" w:cs="Tahoma"/>
          <w:b/>
          <w:color w:val="auto"/>
          <w:szCs w:val="21"/>
        </w:rPr>
      </w:pPr>
      <w:r>
        <w:rPr>
          <w:rFonts w:ascii="宋体" w:hAnsi="宋体" w:cs="Tahoma"/>
          <w:b/>
          <w:color w:val="auto"/>
          <w:szCs w:val="21"/>
        </w:rPr>
        <w:t>七、其他补充事宜</w:t>
      </w:r>
    </w:p>
    <w:bookmarkEnd w:id="16"/>
    <w:p w14:paraId="7380305C">
      <w:pPr>
        <w:spacing w:line="360" w:lineRule="auto"/>
        <w:ind w:firstLine="420" w:firstLineChars="200"/>
        <w:rPr>
          <w:rFonts w:ascii="宋体" w:hAnsi="宋体" w:cs="Tahoma"/>
          <w:color w:val="auto"/>
          <w:szCs w:val="21"/>
        </w:rPr>
      </w:pPr>
      <w:bookmarkStart w:id="20" w:name="_Hlt507989741"/>
      <w:bookmarkEnd w:id="20"/>
      <w:bookmarkStart w:id="21" w:name="_Toc337541094"/>
      <w:r>
        <w:rPr>
          <w:rFonts w:hint="eastAsia" w:ascii="宋体" w:hAnsi="宋体" w:cs="Tahoma"/>
          <w:color w:val="auto"/>
          <w:szCs w:val="21"/>
        </w:rPr>
        <w:t>（一）报名流程</w:t>
      </w:r>
    </w:p>
    <w:p w14:paraId="7A6C06B5">
      <w:pPr>
        <w:spacing w:line="360" w:lineRule="auto"/>
        <w:ind w:firstLine="420" w:firstLineChars="200"/>
        <w:rPr>
          <w:rFonts w:ascii="宋体" w:hAnsi="宋体" w:cs="Tahoma"/>
          <w:color w:val="auto"/>
          <w:szCs w:val="21"/>
        </w:rPr>
      </w:pPr>
      <w:r>
        <w:rPr>
          <w:rFonts w:hint="eastAsia" w:ascii="宋体" w:hAnsi="宋体" w:cs="Tahoma"/>
          <w:color w:val="auto"/>
          <w:szCs w:val="21"/>
        </w:rPr>
        <w:t>1.线下报名：各潜在供应商凭《文件发售登记表》和法定代表人证明/法定代表人授权委托书（加盖单位公章）到采购代理机构处办理报名登记，并领购磋商文件；</w:t>
      </w:r>
    </w:p>
    <w:p w14:paraId="0044D29A">
      <w:pPr>
        <w:spacing w:line="360" w:lineRule="auto"/>
        <w:ind w:firstLine="420" w:firstLineChars="200"/>
        <w:rPr>
          <w:rFonts w:ascii="宋体" w:hAnsi="宋体" w:cs="Tahoma"/>
          <w:color w:val="auto"/>
          <w:szCs w:val="21"/>
        </w:rPr>
      </w:pPr>
      <w:r>
        <w:rPr>
          <w:rFonts w:hint="eastAsia" w:ascii="宋体" w:hAnsi="宋体" w:cs="Tahoma"/>
          <w:color w:val="auto"/>
          <w:szCs w:val="21"/>
        </w:rPr>
        <w:t>2.线上报名：各潜在供应商将办理报名登记资料（文件发售登记表、法定代表人证明/法定代表人授权委托书（加盖单位公章）的彩色扫描件及报名费转账回单）发至采购代理机构邮箱（gdwczb01@163.com），以收到邮箱邮件时间为准，采购代理机构工作人员确认无误后办理报名登记手续。并以电子邮件方式发送电子版招标文件和报名费收据。(如两个工作日没收到代理机构回复请致电查询：020-85515579）</w:t>
      </w:r>
    </w:p>
    <w:p w14:paraId="2CAA31FD">
      <w:pPr>
        <w:spacing w:line="360" w:lineRule="auto"/>
        <w:ind w:firstLine="420" w:firstLineChars="200"/>
        <w:rPr>
          <w:rFonts w:ascii="宋体" w:hAnsi="宋体" w:cs="Tahoma"/>
          <w:color w:val="auto"/>
          <w:szCs w:val="21"/>
        </w:rPr>
      </w:pPr>
      <w:r>
        <w:rPr>
          <w:rFonts w:hint="eastAsia" w:ascii="宋体" w:hAnsi="宋体" w:cs="Tahoma"/>
          <w:color w:val="auto"/>
          <w:szCs w:val="21"/>
        </w:rPr>
        <w:t>注：（1）为确保领购行为属于供应商行为而非其他个人行为，各潜在供应商的法定代表人或其授权代表在领购招标文件时，领购人员应附上必要的法定代表人证明/法定代表人授权委托书并加盖单位公章。纸质版招标文件可至采购代理机构现场领取，也可通过邮寄方式获得（需额外收取人民币60元快递费，在任何情况下采购代理机构对邮寄过程中发生的迟交或遗失均不承担责任）</w:t>
      </w:r>
    </w:p>
    <w:p w14:paraId="2E758991">
      <w:pPr>
        <w:spacing w:line="360" w:lineRule="auto"/>
        <w:ind w:firstLine="420" w:firstLineChars="200"/>
        <w:rPr>
          <w:rFonts w:ascii="宋体" w:hAnsi="宋体" w:cs="Tahoma"/>
          <w:color w:val="auto"/>
          <w:szCs w:val="21"/>
        </w:rPr>
      </w:pPr>
      <w:r>
        <w:rPr>
          <w:rFonts w:hint="eastAsia" w:ascii="宋体" w:hAnsi="宋体" w:cs="Tahoma"/>
          <w:color w:val="auto"/>
          <w:szCs w:val="21"/>
        </w:rPr>
        <w:t>（2）《文件发售登记表》请登录http://www.gdwczb.com/网站进行下载。</w:t>
      </w:r>
    </w:p>
    <w:p w14:paraId="668773C8">
      <w:pPr>
        <w:spacing w:line="360" w:lineRule="auto"/>
        <w:ind w:firstLine="420" w:firstLineChars="200"/>
        <w:rPr>
          <w:rFonts w:ascii="宋体" w:hAnsi="宋体" w:cs="Tahoma"/>
          <w:color w:val="auto"/>
          <w:szCs w:val="21"/>
        </w:rPr>
      </w:pPr>
      <w:r>
        <w:rPr>
          <w:rFonts w:hint="eastAsia" w:ascii="宋体" w:hAnsi="宋体" w:cs="Tahoma"/>
          <w:color w:val="auto"/>
          <w:szCs w:val="21"/>
        </w:rPr>
        <w:t>3.报名费用采用现金支付或公账汇款，若为其他方式，须提交手续费用。</w:t>
      </w:r>
    </w:p>
    <w:p w14:paraId="09B7A878">
      <w:pPr>
        <w:spacing w:line="360" w:lineRule="auto"/>
        <w:ind w:firstLine="420" w:firstLineChars="200"/>
        <w:rPr>
          <w:rFonts w:ascii="宋体" w:hAnsi="宋体" w:cs="Tahoma"/>
          <w:color w:val="auto"/>
          <w:szCs w:val="21"/>
        </w:rPr>
      </w:pPr>
      <w:r>
        <w:rPr>
          <w:rFonts w:hint="eastAsia" w:ascii="宋体" w:hAnsi="宋体" w:cs="Tahoma"/>
          <w:color w:val="auto"/>
          <w:szCs w:val="21"/>
        </w:rPr>
        <w:t>4.公账汇款账号信息：</w:t>
      </w:r>
    </w:p>
    <w:p w14:paraId="4861E501">
      <w:pPr>
        <w:spacing w:line="360" w:lineRule="auto"/>
        <w:ind w:firstLine="420" w:firstLineChars="200"/>
        <w:rPr>
          <w:rFonts w:ascii="宋体" w:hAnsi="宋体" w:cs="Tahoma"/>
          <w:color w:val="auto"/>
          <w:szCs w:val="21"/>
        </w:rPr>
      </w:pPr>
      <w:r>
        <w:rPr>
          <w:rFonts w:hint="eastAsia" w:ascii="宋体" w:hAnsi="宋体" w:cs="Tahoma"/>
          <w:color w:val="auto"/>
          <w:szCs w:val="21"/>
        </w:rPr>
        <w:t>开户银行名称：中国农业银行股份有限公司广州天府支行</w:t>
      </w:r>
    </w:p>
    <w:p w14:paraId="1DAC8A75">
      <w:pPr>
        <w:spacing w:line="360" w:lineRule="auto"/>
        <w:ind w:firstLine="420" w:firstLineChars="200"/>
        <w:rPr>
          <w:rFonts w:ascii="宋体" w:hAnsi="宋体" w:cs="Tahoma"/>
          <w:color w:val="auto"/>
          <w:szCs w:val="21"/>
        </w:rPr>
      </w:pPr>
      <w:r>
        <w:rPr>
          <w:rFonts w:hint="eastAsia" w:ascii="宋体" w:hAnsi="宋体" w:cs="Tahoma"/>
          <w:color w:val="auto"/>
          <w:szCs w:val="21"/>
        </w:rPr>
        <w:t>单位名称：广东为诚招标代理有限公司</w:t>
      </w:r>
    </w:p>
    <w:p w14:paraId="5DCC5EFE">
      <w:pPr>
        <w:spacing w:line="360" w:lineRule="auto"/>
        <w:ind w:firstLine="420" w:firstLineChars="200"/>
        <w:rPr>
          <w:rFonts w:ascii="宋体" w:hAnsi="宋体" w:cs="Tahoma"/>
          <w:color w:val="auto"/>
          <w:szCs w:val="21"/>
        </w:rPr>
      </w:pPr>
      <w:r>
        <w:rPr>
          <w:rFonts w:hint="eastAsia" w:ascii="宋体" w:hAnsi="宋体" w:cs="Tahoma"/>
          <w:color w:val="auto"/>
          <w:szCs w:val="21"/>
        </w:rPr>
        <w:t>账号：4405 7701 0400 17100（采用公账汇款只接受以潜在供应商名义的汇款，不接受个人的汇款及其它款项）</w:t>
      </w:r>
    </w:p>
    <w:p w14:paraId="4A154E29">
      <w:pPr>
        <w:spacing w:line="360" w:lineRule="auto"/>
        <w:ind w:firstLine="420" w:firstLineChars="200"/>
        <w:rPr>
          <w:rFonts w:ascii="宋体" w:hAnsi="宋体" w:cs="Tahoma"/>
          <w:color w:val="auto"/>
          <w:szCs w:val="21"/>
        </w:rPr>
      </w:pPr>
      <w:r>
        <w:rPr>
          <w:rFonts w:hint="eastAsia" w:ascii="宋体" w:hAnsi="宋体" w:cs="Tahoma"/>
          <w:color w:val="auto"/>
          <w:szCs w:val="21"/>
        </w:rPr>
        <w:t>（二）提交响应文件时间：</w:t>
      </w:r>
      <w:r>
        <w:rPr>
          <w:rFonts w:ascii="宋体" w:hAnsi="宋体" w:cs="Tahoma"/>
          <w:color w:val="auto"/>
          <w:szCs w:val="21"/>
          <w:u w:val="single"/>
          <w:lang w:eastAsia="zh-TW"/>
        </w:rPr>
        <w:t>202</w:t>
      </w:r>
      <w:r>
        <w:rPr>
          <w:rFonts w:hint="eastAsia" w:ascii="宋体" w:hAnsi="宋体" w:cs="Tahoma"/>
          <w:color w:val="auto"/>
          <w:szCs w:val="21"/>
          <w:u w:val="single"/>
          <w:lang w:val="en-US"/>
        </w:rPr>
        <w:t>3</w:t>
      </w:r>
      <w:r>
        <w:rPr>
          <w:rFonts w:hint="eastAsia" w:ascii="宋体" w:hAnsi="宋体" w:cs="Tahoma"/>
          <w:color w:val="auto"/>
          <w:szCs w:val="21"/>
        </w:rPr>
        <w:t>年</w:t>
      </w:r>
      <w:r>
        <w:rPr>
          <w:rFonts w:hint="eastAsia" w:ascii="宋体" w:hAnsi="宋体" w:cs="Tahoma"/>
          <w:color w:val="auto"/>
          <w:szCs w:val="21"/>
          <w:u w:val="single"/>
          <w:lang w:val="en-US" w:eastAsia="zh-CN"/>
        </w:rPr>
        <w:t>12</w:t>
      </w:r>
      <w:r>
        <w:rPr>
          <w:rFonts w:hint="eastAsia" w:ascii="宋体" w:hAnsi="宋体" w:cs="Tahoma"/>
          <w:color w:val="auto"/>
          <w:szCs w:val="21"/>
        </w:rPr>
        <w:t>月</w:t>
      </w:r>
      <w:r>
        <w:rPr>
          <w:rFonts w:hint="eastAsia" w:ascii="宋体" w:hAnsi="宋体" w:cs="Tahoma"/>
          <w:color w:val="auto"/>
          <w:szCs w:val="21"/>
          <w:u w:val="single"/>
          <w:lang w:val="en-US" w:eastAsia="zh-CN"/>
        </w:rPr>
        <w:t>25</w:t>
      </w:r>
      <w:r>
        <w:rPr>
          <w:rFonts w:hint="eastAsia" w:ascii="宋体" w:hAnsi="宋体" w:cs="Tahoma"/>
          <w:color w:val="auto"/>
          <w:szCs w:val="21"/>
        </w:rPr>
        <w:t>日</w:t>
      </w:r>
      <w:r>
        <w:rPr>
          <w:rFonts w:hint="eastAsia" w:ascii="宋体" w:hAnsi="宋体" w:cs="Tahoma"/>
          <w:color w:val="auto"/>
          <w:szCs w:val="21"/>
          <w:u w:val="single"/>
          <w:lang w:val="en-US" w:eastAsia="zh-CN"/>
        </w:rPr>
        <w:t>14</w:t>
      </w:r>
      <w:r>
        <w:rPr>
          <w:rFonts w:ascii="宋体" w:hAnsi="宋体" w:cs="Tahoma"/>
          <w:color w:val="auto"/>
          <w:szCs w:val="21"/>
        </w:rPr>
        <w:t>点</w:t>
      </w:r>
      <w:r>
        <w:rPr>
          <w:rFonts w:hint="eastAsia" w:ascii="宋体" w:hAnsi="宋体" w:cs="Tahoma"/>
          <w:color w:val="auto"/>
          <w:szCs w:val="21"/>
          <w:u w:val="single"/>
          <w:lang w:val="en-US" w:eastAsia="zh-CN"/>
        </w:rPr>
        <w:t>30</w:t>
      </w:r>
      <w:r>
        <w:rPr>
          <w:rFonts w:hint="eastAsia" w:ascii="宋体" w:hAnsi="宋体" w:cs="Tahoma"/>
          <w:color w:val="auto"/>
          <w:szCs w:val="21"/>
        </w:rPr>
        <w:t>分</w:t>
      </w:r>
    </w:p>
    <w:p w14:paraId="4B88AD5F">
      <w:pPr>
        <w:spacing w:line="360" w:lineRule="auto"/>
        <w:ind w:firstLine="420" w:firstLineChars="200"/>
        <w:rPr>
          <w:rFonts w:ascii="宋体" w:hAnsi="宋体" w:cs="Tahoma"/>
          <w:color w:val="auto"/>
          <w:szCs w:val="21"/>
        </w:rPr>
      </w:pPr>
      <w:r>
        <w:rPr>
          <w:rFonts w:hint="eastAsia" w:ascii="宋体" w:hAnsi="宋体" w:cs="Tahoma"/>
          <w:color w:val="auto"/>
          <w:szCs w:val="21"/>
        </w:rPr>
        <w:t>（三）采购代理机构只接受办理报名及登记手续购买本磋商文件的供应商的投标。</w:t>
      </w:r>
    </w:p>
    <w:p w14:paraId="32358586">
      <w:pPr>
        <w:spacing w:line="360" w:lineRule="auto"/>
        <w:ind w:firstLine="420" w:firstLineChars="200"/>
        <w:rPr>
          <w:rFonts w:ascii="宋体" w:hAnsi="宋体" w:cs="Tahoma"/>
          <w:color w:val="auto"/>
          <w:szCs w:val="21"/>
        </w:rPr>
      </w:pPr>
      <w:r>
        <w:rPr>
          <w:rFonts w:hint="eastAsia" w:ascii="宋体" w:hAnsi="宋体" w:cs="Tahoma"/>
          <w:color w:val="auto"/>
          <w:szCs w:val="21"/>
        </w:rPr>
        <w:t>（四）已办理报名并成功购买磋商文件的供应商参加投标的，不代表通过资格性审查。</w:t>
      </w:r>
    </w:p>
    <w:p w14:paraId="27DD6A36">
      <w:pPr>
        <w:spacing w:line="360" w:lineRule="auto"/>
        <w:ind w:firstLine="420" w:firstLineChars="200"/>
        <w:rPr>
          <w:rFonts w:ascii="宋体" w:hAnsi="宋体" w:cs="Tahoma"/>
          <w:color w:val="auto"/>
          <w:szCs w:val="21"/>
        </w:rPr>
      </w:pPr>
      <w:r>
        <w:rPr>
          <w:rFonts w:hint="eastAsia" w:ascii="宋体" w:hAnsi="宋体" w:cs="Tahoma"/>
          <w:color w:val="auto"/>
          <w:szCs w:val="21"/>
        </w:rPr>
        <w:t>（五）供应商资格文件参与正式投标时须放入响应文件中，否则将可能导致资格性审查不通过。</w:t>
      </w:r>
    </w:p>
    <w:p w14:paraId="145C7CAB">
      <w:pPr>
        <w:spacing w:line="360" w:lineRule="auto"/>
        <w:ind w:firstLine="422" w:firstLineChars="200"/>
        <w:rPr>
          <w:rFonts w:ascii="宋体" w:hAnsi="宋体" w:cs="Tahoma"/>
          <w:b/>
          <w:color w:val="auto"/>
          <w:szCs w:val="21"/>
        </w:rPr>
      </w:pPr>
      <w:r>
        <w:rPr>
          <w:rFonts w:ascii="宋体" w:hAnsi="宋体" w:cs="Tahoma"/>
          <w:b/>
          <w:color w:val="auto"/>
          <w:szCs w:val="21"/>
        </w:rPr>
        <w:t>八、对本次采购提出询问，请按以下方式联系</w:t>
      </w:r>
    </w:p>
    <w:p w14:paraId="61EBB7C8">
      <w:pPr>
        <w:spacing w:line="360" w:lineRule="auto"/>
        <w:ind w:firstLine="420" w:firstLineChars="200"/>
        <w:rPr>
          <w:rFonts w:ascii="宋体" w:hAnsi="宋体" w:cs="Tahoma"/>
          <w:color w:val="auto"/>
          <w:szCs w:val="21"/>
        </w:rPr>
      </w:pPr>
      <w:r>
        <w:rPr>
          <w:rFonts w:ascii="宋体" w:hAnsi="宋体" w:cs="Tahoma"/>
          <w:color w:val="auto"/>
          <w:szCs w:val="21"/>
        </w:rPr>
        <w:t>1.采购人信息</w:t>
      </w:r>
    </w:p>
    <w:p w14:paraId="1379A396">
      <w:pPr>
        <w:spacing w:line="360" w:lineRule="auto"/>
        <w:ind w:firstLine="420" w:firstLineChars="200"/>
        <w:rPr>
          <w:rFonts w:hint="eastAsia" w:ascii="宋体" w:hAnsi="宋体" w:eastAsia="宋体" w:cs="Tahoma"/>
          <w:color w:val="auto"/>
          <w:szCs w:val="21"/>
          <w:highlight w:val="none"/>
          <w:lang w:eastAsia="zh-CN"/>
        </w:rPr>
      </w:pPr>
      <w:r>
        <w:rPr>
          <w:rFonts w:hint="eastAsia" w:ascii="宋体" w:hAnsi="宋体" w:eastAsia="宋体" w:cs="Tahoma"/>
          <w:color w:val="auto"/>
          <w:szCs w:val="21"/>
          <w:highlight w:val="none"/>
        </w:rPr>
        <w:t>采购人名称：</w:t>
      </w:r>
      <w:r>
        <w:rPr>
          <w:rFonts w:hint="eastAsia" w:ascii="宋体" w:hAnsi="宋体" w:eastAsia="宋体" w:cs="Tahoma"/>
          <w:color w:val="auto"/>
          <w:szCs w:val="21"/>
          <w:highlight w:val="none"/>
          <w:lang w:eastAsia="zh-CN"/>
        </w:rPr>
        <w:t>广州市南沙区政务服务数据管理局</w:t>
      </w:r>
    </w:p>
    <w:p w14:paraId="317B3A41">
      <w:pPr>
        <w:spacing w:line="360" w:lineRule="auto"/>
        <w:ind w:firstLine="420" w:firstLineChars="200"/>
        <w:rPr>
          <w:rFonts w:hint="eastAsia" w:ascii="宋体" w:hAnsi="宋体" w:eastAsia="宋体" w:cs="Tahoma"/>
          <w:color w:val="auto"/>
          <w:szCs w:val="21"/>
          <w:highlight w:val="none"/>
        </w:rPr>
      </w:pPr>
      <w:r>
        <w:rPr>
          <w:rFonts w:hint="eastAsia" w:ascii="宋体" w:hAnsi="宋体" w:eastAsia="宋体" w:cs="Tahoma"/>
          <w:color w:val="auto"/>
          <w:szCs w:val="21"/>
          <w:highlight w:val="none"/>
        </w:rPr>
        <w:t>采购人地址：广州市南沙区黄阁镇华梦街6号</w:t>
      </w:r>
    </w:p>
    <w:p w14:paraId="5AB7EF71">
      <w:pPr>
        <w:spacing w:line="360" w:lineRule="auto"/>
        <w:ind w:firstLine="420" w:firstLineChars="200"/>
        <w:rPr>
          <w:rFonts w:hint="eastAsia" w:ascii="宋体" w:hAnsi="宋体" w:eastAsia="宋体" w:cs="Tahoma"/>
          <w:color w:val="auto"/>
          <w:szCs w:val="21"/>
          <w:highlight w:val="none"/>
        </w:rPr>
      </w:pPr>
      <w:r>
        <w:rPr>
          <w:rFonts w:hint="eastAsia" w:ascii="宋体" w:hAnsi="宋体" w:eastAsia="宋体" w:cs="Tahoma"/>
          <w:color w:val="auto"/>
          <w:szCs w:val="21"/>
          <w:highlight w:val="none"/>
        </w:rPr>
        <w:t>采购联系人：</w:t>
      </w:r>
      <w:r>
        <w:rPr>
          <w:rFonts w:hint="eastAsia" w:ascii="宋体" w:hAnsi="宋体" w:eastAsia="宋体" w:cs="Tahoma"/>
          <w:color w:val="auto"/>
          <w:szCs w:val="21"/>
          <w:highlight w:val="none"/>
          <w:lang w:val="en-US" w:eastAsia="zh-CN"/>
        </w:rPr>
        <w:t>谭</w:t>
      </w:r>
      <w:r>
        <w:rPr>
          <w:rFonts w:hint="eastAsia" w:ascii="宋体" w:hAnsi="宋体" w:eastAsia="宋体" w:cs="Tahoma"/>
          <w:color w:val="auto"/>
          <w:szCs w:val="21"/>
          <w:highlight w:val="none"/>
        </w:rPr>
        <w:t>小姐</w:t>
      </w:r>
    </w:p>
    <w:p w14:paraId="4D7D97F5">
      <w:pPr>
        <w:spacing w:line="360" w:lineRule="auto"/>
        <w:ind w:firstLine="420" w:firstLineChars="200"/>
        <w:rPr>
          <w:rFonts w:hint="eastAsia" w:ascii="宋体" w:hAnsi="宋体" w:eastAsia="宋体" w:cs="Tahoma"/>
          <w:color w:val="auto"/>
          <w:szCs w:val="21"/>
          <w:highlight w:val="none"/>
        </w:rPr>
      </w:pPr>
      <w:r>
        <w:rPr>
          <w:rFonts w:hint="eastAsia" w:ascii="宋体" w:hAnsi="宋体" w:eastAsia="宋体" w:cs="Tahoma"/>
          <w:color w:val="auto"/>
          <w:szCs w:val="21"/>
          <w:highlight w:val="none"/>
        </w:rPr>
        <w:t>联系电话：020-39053090</w:t>
      </w:r>
    </w:p>
    <w:p w14:paraId="0EF5D6E0">
      <w:pPr>
        <w:spacing w:line="360" w:lineRule="auto"/>
        <w:ind w:firstLine="420" w:firstLineChars="200"/>
        <w:rPr>
          <w:rFonts w:ascii="宋体" w:hAnsi="宋体" w:cs="Tahoma"/>
          <w:color w:val="auto"/>
          <w:szCs w:val="21"/>
        </w:rPr>
      </w:pPr>
      <w:r>
        <w:rPr>
          <w:rFonts w:ascii="宋体" w:hAnsi="宋体" w:cs="Tahoma"/>
          <w:color w:val="auto"/>
          <w:szCs w:val="21"/>
        </w:rPr>
        <w:t>2.采购代理机构信息</w:t>
      </w:r>
    </w:p>
    <w:p w14:paraId="48CC126D">
      <w:pPr>
        <w:spacing w:line="360" w:lineRule="auto"/>
        <w:ind w:firstLine="420" w:firstLineChars="200"/>
        <w:rPr>
          <w:rFonts w:ascii="宋体" w:hAnsi="宋体" w:cs="Tahoma"/>
          <w:color w:val="auto"/>
          <w:szCs w:val="21"/>
        </w:rPr>
      </w:pPr>
      <w:r>
        <w:rPr>
          <w:rFonts w:ascii="宋体" w:hAnsi="宋体" w:cs="Tahoma"/>
          <w:color w:val="auto"/>
          <w:szCs w:val="21"/>
        </w:rPr>
        <w:t>名称：广东为诚招标代理有限公司</w:t>
      </w:r>
    </w:p>
    <w:p w14:paraId="0F8C4D21">
      <w:pPr>
        <w:spacing w:line="360" w:lineRule="auto"/>
        <w:ind w:firstLine="420" w:firstLineChars="200"/>
        <w:rPr>
          <w:rFonts w:ascii="宋体" w:hAnsi="宋体" w:cs="Tahoma"/>
          <w:color w:val="auto"/>
          <w:szCs w:val="21"/>
        </w:rPr>
      </w:pPr>
      <w:r>
        <w:rPr>
          <w:rFonts w:hint="eastAsia" w:ascii="宋体" w:hAnsi="宋体" w:cs="Tahoma"/>
          <w:color w:val="auto"/>
          <w:szCs w:val="21"/>
        </w:rPr>
        <w:t>地址：</w:t>
      </w:r>
      <w:r>
        <w:rPr>
          <w:rFonts w:ascii="宋体" w:hAnsi="宋体" w:cs="Tahoma"/>
          <w:color w:val="auto"/>
          <w:szCs w:val="21"/>
        </w:rPr>
        <w:t>广州市天河区高唐路239号时代E-</w:t>
      </w:r>
      <w:r>
        <w:rPr>
          <w:rFonts w:hint="eastAsia" w:ascii="宋体" w:hAnsi="宋体" w:cs="Tahoma"/>
          <w:color w:val="auto"/>
          <w:szCs w:val="21"/>
        </w:rPr>
        <w:t>PARK1</w:t>
      </w:r>
      <w:r>
        <w:rPr>
          <w:rFonts w:ascii="宋体" w:hAnsi="宋体" w:cs="Tahoma"/>
          <w:color w:val="auto"/>
          <w:szCs w:val="21"/>
        </w:rPr>
        <w:t>期1栋503房</w:t>
      </w:r>
    </w:p>
    <w:p w14:paraId="249A317C">
      <w:pPr>
        <w:spacing w:line="360" w:lineRule="auto"/>
        <w:ind w:firstLine="420" w:firstLineChars="200"/>
        <w:rPr>
          <w:rFonts w:hint="eastAsia" w:ascii="宋体" w:hAnsi="宋体" w:cs="Tahoma"/>
          <w:color w:val="auto"/>
          <w:szCs w:val="21"/>
        </w:rPr>
      </w:pPr>
      <w:r>
        <w:rPr>
          <w:rFonts w:ascii="宋体" w:hAnsi="宋体" w:cs="Tahoma"/>
          <w:color w:val="auto"/>
          <w:szCs w:val="21"/>
        </w:rPr>
        <w:t>项目联系人：</w:t>
      </w:r>
      <w:r>
        <w:rPr>
          <w:rFonts w:hint="eastAsia" w:ascii="宋体" w:hAnsi="宋体" w:cs="Tahoma"/>
          <w:color w:val="auto"/>
          <w:szCs w:val="21"/>
        </w:rPr>
        <w:t>刘先生</w:t>
      </w:r>
    </w:p>
    <w:p w14:paraId="60B8ADFE">
      <w:pPr>
        <w:spacing w:line="360" w:lineRule="auto"/>
        <w:ind w:firstLine="420" w:firstLineChars="200"/>
        <w:rPr>
          <w:rFonts w:ascii="宋体" w:hAnsi="宋体" w:cs="Tahoma"/>
          <w:color w:val="auto"/>
          <w:szCs w:val="21"/>
        </w:rPr>
      </w:pPr>
      <w:r>
        <w:rPr>
          <w:rFonts w:ascii="宋体" w:hAnsi="宋体" w:cs="Tahoma"/>
          <w:color w:val="auto"/>
          <w:szCs w:val="21"/>
        </w:rPr>
        <w:t>联系方式：020-85515579</w:t>
      </w:r>
      <w:bookmarkEnd w:id="21"/>
    </w:p>
    <w:p w14:paraId="33CB7F06">
      <w:pPr>
        <w:rPr>
          <w:rFonts w:ascii="宋体" w:hAnsi="宋体" w:cs="宋体"/>
          <w:color w:val="auto"/>
        </w:rPr>
      </w:pPr>
      <w:r>
        <w:rPr>
          <w:rFonts w:hint="eastAsia" w:ascii="宋体" w:hAnsi="宋体" w:cs="宋体"/>
          <w:color w:val="auto"/>
        </w:rPr>
        <w:br w:type="page"/>
      </w:r>
    </w:p>
    <w:p w14:paraId="6B1119B5">
      <w:pPr>
        <w:pStyle w:val="2"/>
        <w:spacing w:before="0" w:after="0" w:line="360" w:lineRule="auto"/>
        <w:rPr>
          <w:rFonts w:ascii="宋体" w:hAnsi="宋体" w:cs="宋体"/>
          <w:color w:val="auto"/>
          <w:sz w:val="21"/>
          <w:szCs w:val="21"/>
        </w:rPr>
      </w:pPr>
      <w:bookmarkStart w:id="22" w:name="_Toc20814"/>
      <w:r>
        <w:rPr>
          <w:rFonts w:hint="eastAsia" w:ascii="宋体" w:hAnsi="宋体" w:cs="宋体"/>
          <w:color w:val="auto"/>
        </w:rPr>
        <w:t>第二部分</w:t>
      </w:r>
      <w:r>
        <w:rPr>
          <w:rFonts w:ascii="宋体" w:hAnsi="宋体" w:cs="宋体"/>
          <w:color w:val="auto"/>
        </w:rPr>
        <w:t xml:space="preserve">  磋商须知</w:t>
      </w:r>
      <w:bookmarkEnd w:id="22"/>
    </w:p>
    <w:p w14:paraId="3B995A74">
      <w:pPr>
        <w:pStyle w:val="12"/>
        <w:adjustRightInd w:val="0"/>
        <w:snapToGrid w:val="0"/>
        <w:spacing w:line="276" w:lineRule="auto"/>
        <w:jc w:val="center"/>
        <w:rPr>
          <w:rFonts w:hAnsi="宋体" w:cs="宋体"/>
          <w:b/>
          <w:bCs/>
          <w:color w:val="auto"/>
        </w:rPr>
      </w:pPr>
      <w:r>
        <w:rPr>
          <w:rFonts w:hAnsi="宋体" w:cs="宋体"/>
          <w:b/>
          <w:bCs/>
          <w:color w:val="auto"/>
        </w:rPr>
        <w:t>磋商须知前附表</w:t>
      </w:r>
    </w:p>
    <w:tbl>
      <w:tblPr>
        <w:tblStyle w:val="27"/>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92"/>
        <w:gridCol w:w="7034"/>
      </w:tblGrid>
      <w:tr w14:paraId="7E81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C5B3AAD">
            <w:pPr>
              <w:pStyle w:val="12"/>
              <w:adjustRightInd w:val="0"/>
              <w:snapToGrid w:val="0"/>
              <w:spacing w:line="276" w:lineRule="auto"/>
              <w:jc w:val="center"/>
              <w:rPr>
                <w:rFonts w:hAnsi="宋体" w:cs="宋体"/>
                <w:b/>
                <w:color w:val="auto"/>
                <w:sz w:val="21"/>
              </w:rPr>
            </w:pPr>
            <w:r>
              <w:rPr>
                <w:rFonts w:hAnsi="宋体" w:cs="宋体"/>
                <w:b/>
                <w:color w:val="auto"/>
                <w:sz w:val="21"/>
              </w:rPr>
              <w:t>序号</w:t>
            </w:r>
          </w:p>
        </w:tc>
        <w:tc>
          <w:tcPr>
            <w:tcW w:w="1592" w:type="dxa"/>
            <w:tcBorders>
              <w:top w:val="single" w:color="auto" w:sz="4" w:space="0"/>
              <w:left w:val="single" w:color="auto" w:sz="4" w:space="0"/>
              <w:bottom w:val="single" w:color="auto" w:sz="4" w:space="0"/>
              <w:right w:val="single" w:color="auto" w:sz="4" w:space="0"/>
            </w:tcBorders>
            <w:vAlign w:val="center"/>
          </w:tcPr>
          <w:p w14:paraId="39DAED1E">
            <w:pPr>
              <w:pStyle w:val="12"/>
              <w:adjustRightInd w:val="0"/>
              <w:snapToGrid w:val="0"/>
              <w:spacing w:line="276" w:lineRule="auto"/>
              <w:jc w:val="center"/>
              <w:rPr>
                <w:rFonts w:hAnsi="宋体" w:cs="宋体"/>
                <w:b/>
                <w:color w:val="auto"/>
                <w:sz w:val="21"/>
              </w:rPr>
            </w:pPr>
            <w:r>
              <w:rPr>
                <w:rFonts w:hAnsi="宋体" w:cs="宋体"/>
                <w:b/>
                <w:color w:val="auto"/>
                <w:sz w:val="21"/>
              </w:rPr>
              <w:t>项目</w:t>
            </w:r>
          </w:p>
        </w:tc>
        <w:tc>
          <w:tcPr>
            <w:tcW w:w="7034" w:type="dxa"/>
            <w:tcBorders>
              <w:top w:val="single" w:color="auto" w:sz="4" w:space="0"/>
              <w:left w:val="single" w:color="auto" w:sz="4" w:space="0"/>
              <w:bottom w:val="single" w:color="auto" w:sz="4" w:space="0"/>
              <w:right w:val="single" w:color="auto" w:sz="4" w:space="0"/>
            </w:tcBorders>
            <w:vAlign w:val="center"/>
          </w:tcPr>
          <w:p w14:paraId="45A8C759">
            <w:pPr>
              <w:pStyle w:val="12"/>
              <w:adjustRightInd w:val="0"/>
              <w:snapToGrid w:val="0"/>
              <w:spacing w:line="276" w:lineRule="auto"/>
              <w:jc w:val="center"/>
              <w:rPr>
                <w:rFonts w:hAnsi="宋体" w:cs="宋体"/>
                <w:b/>
                <w:color w:val="auto"/>
                <w:sz w:val="21"/>
              </w:rPr>
            </w:pPr>
            <w:r>
              <w:rPr>
                <w:rFonts w:hAnsi="宋体" w:cs="宋体"/>
                <w:b/>
                <w:color w:val="auto"/>
                <w:sz w:val="21"/>
              </w:rPr>
              <w:t>内容</w:t>
            </w:r>
          </w:p>
        </w:tc>
      </w:tr>
      <w:tr w14:paraId="6977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15A76F2">
            <w:pPr>
              <w:pStyle w:val="12"/>
              <w:numPr>
                <w:ilvl w:val="0"/>
                <w:numId w:val="3"/>
              </w:numPr>
              <w:adjustRightInd w:val="0"/>
              <w:snapToGrid w:val="0"/>
              <w:spacing w:line="276" w:lineRule="auto"/>
              <w:jc w:val="center"/>
              <w:rPr>
                <w:rFonts w:hAnsi="宋体" w:cs="宋体"/>
                <w:color w:val="auto"/>
                <w:sz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001CAB34">
            <w:pPr>
              <w:pStyle w:val="12"/>
              <w:adjustRightInd w:val="0"/>
              <w:snapToGrid w:val="0"/>
              <w:spacing w:line="276" w:lineRule="auto"/>
              <w:jc w:val="center"/>
              <w:rPr>
                <w:rFonts w:hAnsi="宋体" w:cs="宋体"/>
                <w:color w:val="auto"/>
                <w:sz w:val="21"/>
              </w:rPr>
            </w:pPr>
            <w:r>
              <w:rPr>
                <w:rFonts w:hAnsi="宋体" w:cs="宋体"/>
                <w:color w:val="auto"/>
                <w:sz w:val="21"/>
              </w:rPr>
              <w:t>采购人名称</w:t>
            </w:r>
          </w:p>
        </w:tc>
        <w:tc>
          <w:tcPr>
            <w:tcW w:w="7034" w:type="dxa"/>
            <w:tcBorders>
              <w:top w:val="single" w:color="auto" w:sz="4" w:space="0"/>
              <w:left w:val="single" w:color="auto" w:sz="4" w:space="0"/>
              <w:bottom w:val="single" w:color="auto" w:sz="4" w:space="0"/>
              <w:right w:val="single" w:color="auto" w:sz="4" w:space="0"/>
            </w:tcBorders>
            <w:vAlign w:val="center"/>
          </w:tcPr>
          <w:p w14:paraId="02774BFB">
            <w:pPr>
              <w:pStyle w:val="12"/>
              <w:adjustRightInd w:val="0"/>
              <w:snapToGrid w:val="0"/>
              <w:spacing w:line="276" w:lineRule="auto"/>
              <w:rPr>
                <w:rFonts w:hint="eastAsia" w:hAnsi="宋体" w:eastAsia="宋体" w:cs="宋体"/>
                <w:color w:val="auto"/>
                <w:sz w:val="21"/>
                <w:lang w:eastAsia="zh-CN"/>
              </w:rPr>
            </w:pPr>
            <w:r>
              <w:rPr>
                <w:rFonts w:hint="eastAsia" w:hAnsi="宋体" w:cs="宋体"/>
                <w:color w:val="auto"/>
                <w:sz w:val="21"/>
                <w:lang w:eastAsia="zh-CN"/>
              </w:rPr>
              <w:t>广州市南沙区政务服务数据管理局</w:t>
            </w:r>
          </w:p>
        </w:tc>
      </w:tr>
      <w:tr w14:paraId="7A76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2A68DF4">
            <w:pPr>
              <w:pStyle w:val="12"/>
              <w:numPr>
                <w:ilvl w:val="0"/>
                <w:numId w:val="3"/>
              </w:numPr>
              <w:adjustRightInd w:val="0"/>
              <w:snapToGrid w:val="0"/>
              <w:spacing w:line="276" w:lineRule="auto"/>
              <w:jc w:val="center"/>
              <w:rPr>
                <w:rFonts w:hAnsi="宋体" w:cs="宋体"/>
                <w:bCs/>
                <w:color w:val="auto"/>
                <w:sz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29CC3B7F">
            <w:pPr>
              <w:pStyle w:val="12"/>
              <w:adjustRightInd w:val="0"/>
              <w:snapToGrid w:val="0"/>
              <w:spacing w:line="276" w:lineRule="auto"/>
              <w:jc w:val="center"/>
              <w:rPr>
                <w:rFonts w:hAnsi="宋体" w:cs="宋体"/>
                <w:color w:val="auto"/>
                <w:sz w:val="21"/>
              </w:rPr>
            </w:pPr>
            <w:r>
              <w:rPr>
                <w:rFonts w:hAnsi="宋体" w:cs="宋体"/>
                <w:bCs/>
                <w:color w:val="auto"/>
                <w:sz w:val="21"/>
              </w:rPr>
              <w:t>资金来源</w:t>
            </w:r>
          </w:p>
        </w:tc>
        <w:tc>
          <w:tcPr>
            <w:tcW w:w="7034" w:type="dxa"/>
            <w:tcBorders>
              <w:top w:val="single" w:color="auto" w:sz="4" w:space="0"/>
              <w:left w:val="single" w:color="auto" w:sz="4" w:space="0"/>
              <w:bottom w:val="single" w:color="auto" w:sz="4" w:space="0"/>
              <w:right w:val="single" w:color="auto" w:sz="4" w:space="0"/>
            </w:tcBorders>
            <w:vAlign w:val="center"/>
          </w:tcPr>
          <w:p w14:paraId="0B5CDB8D">
            <w:pPr>
              <w:pStyle w:val="12"/>
              <w:adjustRightInd w:val="0"/>
              <w:snapToGrid w:val="0"/>
              <w:spacing w:line="276" w:lineRule="auto"/>
              <w:rPr>
                <w:rFonts w:hAnsi="宋体" w:cs="宋体"/>
                <w:color w:val="auto"/>
                <w:sz w:val="21"/>
                <w:lang w:val="en-US"/>
              </w:rPr>
            </w:pPr>
            <w:r>
              <w:rPr>
                <w:rFonts w:hint="eastAsia" w:hAnsi="宋体" w:cs="宋体"/>
                <w:color w:val="auto"/>
                <w:sz w:val="21"/>
              </w:rPr>
              <w:t>本项目资金性质为</w:t>
            </w:r>
            <w:r>
              <w:rPr>
                <w:rFonts w:hint="eastAsia" w:hAnsi="宋体" w:cs="宋体"/>
                <w:color w:val="auto"/>
                <w:sz w:val="21"/>
                <w:lang w:val="en-US"/>
              </w:rPr>
              <w:t>财政</w:t>
            </w:r>
            <w:r>
              <w:rPr>
                <w:rFonts w:hint="eastAsia" w:hAnsi="宋体" w:cs="宋体"/>
                <w:color w:val="auto"/>
                <w:sz w:val="21"/>
              </w:rPr>
              <w:t>资金，但本项目的采购内容不在集中采购目录以内且采购金额在限额标准以下，不纳入政府采购管理范围。</w:t>
            </w:r>
          </w:p>
        </w:tc>
      </w:tr>
      <w:tr w14:paraId="15FF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E2AA23E">
            <w:pPr>
              <w:pStyle w:val="12"/>
              <w:numPr>
                <w:ilvl w:val="0"/>
                <w:numId w:val="3"/>
              </w:numPr>
              <w:adjustRightInd w:val="0"/>
              <w:snapToGrid w:val="0"/>
              <w:spacing w:line="276" w:lineRule="auto"/>
              <w:jc w:val="center"/>
              <w:rPr>
                <w:rFonts w:hAnsi="宋体" w:cs="宋体"/>
                <w:bCs/>
                <w:color w:val="auto"/>
                <w:sz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265A437F">
            <w:pPr>
              <w:pStyle w:val="12"/>
              <w:adjustRightInd w:val="0"/>
              <w:snapToGrid w:val="0"/>
              <w:spacing w:line="276" w:lineRule="auto"/>
              <w:jc w:val="center"/>
              <w:rPr>
                <w:rFonts w:hAnsi="宋体" w:cs="宋体"/>
                <w:bCs/>
                <w:color w:val="auto"/>
                <w:sz w:val="21"/>
              </w:rPr>
            </w:pPr>
            <w:r>
              <w:rPr>
                <w:rFonts w:hAnsi="宋体" w:cs="宋体"/>
                <w:bCs/>
                <w:color w:val="auto"/>
                <w:sz w:val="21"/>
              </w:rPr>
              <w:t>采购方式</w:t>
            </w:r>
          </w:p>
        </w:tc>
        <w:tc>
          <w:tcPr>
            <w:tcW w:w="7034" w:type="dxa"/>
            <w:tcBorders>
              <w:top w:val="single" w:color="auto" w:sz="4" w:space="0"/>
              <w:left w:val="single" w:color="auto" w:sz="4" w:space="0"/>
              <w:bottom w:val="single" w:color="auto" w:sz="4" w:space="0"/>
              <w:right w:val="single" w:color="auto" w:sz="4" w:space="0"/>
            </w:tcBorders>
            <w:vAlign w:val="center"/>
          </w:tcPr>
          <w:p w14:paraId="3C6FCC4D">
            <w:pPr>
              <w:pStyle w:val="12"/>
              <w:adjustRightInd w:val="0"/>
              <w:snapToGrid w:val="0"/>
              <w:spacing w:line="276" w:lineRule="auto"/>
              <w:rPr>
                <w:rFonts w:hAnsi="宋体" w:cs="宋体"/>
                <w:color w:val="auto"/>
                <w:sz w:val="21"/>
              </w:rPr>
            </w:pPr>
            <w:r>
              <w:rPr>
                <w:rFonts w:hint="eastAsia" w:hAnsi="宋体" w:cs="宋体"/>
                <w:color w:val="auto"/>
                <w:sz w:val="21"/>
              </w:rPr>
              <w:t>竞争性磋商（非政府采购），</w:t>
            </w:r>
            <w:r>
              <w:rPr>
                <w:rFonts w:hint="eastAsia" w:hAnsi="宋体" w:cs="宋体"/>
                <w:color w:val="auto"/>
                <w:sz w:val="21"/>
                <w:lang w:val="en-US"/>
              </w:rPr>
              <w:t>文件中政府采购法规的描述均为参照形式。</w:t>
            </w:r>
          </w:p>
        </w:tc>
      </w:tr>
      <w:tr w14:paraId="0CBC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2BFCA76">
            <w:pPr>
              <w:pStyle w:val="12"/>
              <w:numPr>
                <w:ilvl w:val="0"/>
                <w:numId w:val="3"/>
              </w:numPr>
              <w:adjustRightInd w:val="0"/>
              <w:snapToGrid w:val="0"/>
              <w:spacing w:line="276" w:lineRule="auto"/>
              <w:jc w:val="center"/>
              <w:rPr>
                <w:rFonts w:hAnsi="宋体" w:cs="宋体"/>
                <w:bCs/>
                <w:color w:val="auto"/>
                <w:sz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2FEE4BEA">
            <w:pPr>
              <w:pStyle w:val="12"/>
              <w:adjustRightInd w:val="0"/>
              <w:snapToGrid w:val="0"/>
              <w:spacing w:line="276" w:lineRule="auto"/>
              <w:jc w:val="center"/>
              <w:rPr>
                <w:rFonts w:hAnsi="宋体" w:cs="宋体"/>
                <w:bCs/>
                <w:color w:val="auto"/>
                <w:sz w:val="21"/>
              </w:rPr>
            </w:pPr>
            <w:r>
              <w:rPr>
                <w:rFonts w:hint="eastAsia" w:hAnsi="宋体" w:cs="宋体"/>
                <w:bCs/>
                <w:color w:val="auto"/>
                <w:sz w:val="21"/>
              </w:rPr>
              <w:t>最高限价</w:t>
            </w:r>
          </w:p>
        </w:tc>
        <w:tc>
          <w:tcPr>
            <w:tcW w:w="7034" w:type="dxa"/>
            <w:tcBorders>
              <w:top w:val="single" w:color="auto" w:sz="4" w:space="0"/>
              <w:left w:val="single" w:color="auto" w:sz="4" w:space="0"/>
              <w:bottom w:val="single" w:color="auto" w:sz="4" w:space="0"/>
              <w:right w:val="single" w:color="auto" w:sz="4" w:space="0"/>
            </w:tcBorders>
            <w:vAlign w:val="center"/>
          </w:tcPr>
          <w:p w14:paraId="6C97AB5C">
            <w:pPr>
              <w:pStyle w:val="12"/>
              <w:adjustRightInd w:val="0"/>
              <w:snapToGrid w:val="0"/>
              <w:spacing w:line="276" w:lineRule="auto"/>
              <w:rPr>
                <w:rFonts w:hAnsi="宋体" w:cs="宋体"/>
                <w:color w:val="auto"/>
                <w:sz w:val="21"/>
              </w:rPr>
            </w:pPr>
            <w:r>
              <w:rPr>
                <w:rFonts w:hint="eastAsia" w:hAnsi="宋体" w:cs="宋体"/>
                <w:color w:val="auto"/>
                <w:sz w:val="21"/>
              </w:rPr>
              <w:t>¥</w:t>
            </w:r>
            <w:r>
              <w:rPr>
                <w:rFonts w:hint="eastAsia" w:hAnsi="宋体" w:cs="宋体"/>
                <w:color w:val="auto"/>
                <w:sz w:val="21"/>
                <w:lang w:eastAsia="zh-CN"/>
              </w:rPr>
              <w:t>792,800.00</w:t>
            </w:r>
            <w:r>
              <w:rPr>
                <w:rFonts w:hint="eastAsia" w:hAnsi="宋体" w:cs="宋体"/>
                <w:color w:val="auto"/>
                <w:sz w:val="21"/>
              </w:rPr>
              <w:t>元</w:t>
            </w:r>
            <w:r>
              <w:rPr>
                <w:rFonts w:hAnsi="宋体" w:cs="宋体"/>
                <w:color w:val="auto"/>
                <w:sz w:val="21"/>
              </w:rPr>
              <w:t>，凡超过最高限价的，一律视为无效报价。</w:t>
            </w:r>
          </w:p>
        </w:tc>
      </w:tr>
      <w:tr w14:paraId="3996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19E8DEC">
            <w:pPr>
              <w:pStyle w:val="12"/>
              <w:numPr>
                <w:ilvl w:val="0"/>
                <w:numId w:val="3"/>
              </w:numPr>
              <w:adjustRightInd w:val="0"/>
              <w:snapToGrid w:val="0"/>
              <w:spacing w:line="276" w:lineRule="auto"/>
              <w:jc w:val="center"/>
              <w:rPr>
                <w:rFonts w:hAnsi="宋体" w:cs="宋体"/>
                <w:bCs/>
                <w:color w:val="auto"/>
                <w:sz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7E320F2A">
            <w:pPr>
              <w:pStyle w:val="12"/>
              <w:adjustRightInd w:val="0"/>
              <w:snapToGrid w:val="0"/>
              <w:spacing w:line="276" w:lineRule="auto"/>
              <w:jc w:val="center"/>
              <w:rPr>
                <w:rFonts w:hAnsi="宋体" w:cs="宋体"/>
                <w:color w:val="auto"/>
                <w:sz w:val="21"/>
              </w:rPr>
            </w:pPr>
            <w:r>
              <w:rPr>
                <w:rFonts w:hAnsi="宋体" w:cs="宋体"/>
                <w:bCs/>
                <w:color w:val="auto"/>
                <w:sz w:val="21"/>
              </w:rPr>
              <w:t>答疑及踏勘现场等</w:t>
            </w:r>
          </w:p>
        </w:tc>
        <w:tc>
          <w:tcPr>
            <w:tcW w:w="7034" w:type="dxa"/>
            <w:tcBorders>
              <w:top w:val="single" w:color="auto" w:sz="4" w:space="0"/>
              <w:left w:val="single" w:color="auto" w:sz="4" w:space="0"/>
              <w:bottom w:val="single" w:color="auto" w:sz="4" w:space="0"/>
              <w:right w:val="single" w:color="auto" w:sz="4" w:space="0"/>
            </w:tcBorders>
            <w:vAlign w:val="center"/>
          </w:tcPr>
          <w:p w14:paraId="4AB0D6B0">
            <w:pPr>
              <w:pStyle w:val="12"/>
              <w:adjustRightInd w:val="0"/>
              <w:snapToGrid w:val="0"/>
              <w:spacing w:line="276" w:lineRule="auto"/>
              <w:rPr>
                <w:rFonts w:hAnsi="宋体" w:cs="宋体"/>
                <w:bCs/>
                <w:color w:val="auto"/>
                <w:sz w:val="21"/>
              </w:rPr>
            </w:pPr>
            <w:r>
              <w:rPr>
                <w:rFonts w:hAnsi="宋体" w:cs="宋体"/>
                <w:color w:val="auto"/>
                <w:sz w:val="21"/>
              </w:rPr>
              <w:t>本项目不举行集中答疑会</w:t>
            </w:r>
            <w:r>
              <w:rPr>
                <w:rFonts w:hint="eastAsia" w:hAnsi="宋体" w:cs="宋体"/>
                <w:bCs/>
                <w:color w:val="auto"/>
                <w:sz w:val="21"/>
              </w:rPr>
              <w:t>。</w:t>
            </w:r>
          </w:p>
          <w:p w14:paraId="7C3358B1">
            <w:pPr>
              <w:pStyle w:val="12"/>
              <w:tabs>
                <w:tab w:val="left" w:pos="1084"/>
              </w:tabs>
              <w:adjustRightInd w:val="0"/>
              <w:snapToGrid w:val="0"/>
              <w:spacing w:line="276" w:lineRule="auto"/>
              <w:rPr>
                <w:rFonts w:hAnsi="宋体" w:cs="宋体"/>
                <w:color w:val="auto"/>
                <w:sz w:val="21"/>
              </w:rPr>
            </w:pPr>
            <w:r>
              <w:rPr>
                <w:rFonts w:hAnsi="宋体" w:cs="宋体"/>
                <w:color w:val="auto"/>
                <w:sz w:val="21"/>
              </w:rPr>
              <w:t>本项目不举行集中</w:t>
            </w:r>
            <w:r>
              <w:rPr>
                <w:rFonts w:hAnsi="宋体" w:cs="宋体"/>
                <w:bCs/>
                <w:color w:val="auto"/>
                <w:sz w:val="21"/>
              </w:rPr>
              <w:t>现场考察。</w:t>
            </w:r>
          </w:p>
        </w:tc>
      </w:tr>
      <w:tr w14:paraId="0534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A10C15A">
            <w:pPr>
              <w:pStyle w:val="12"/>
              <w:numPr>
                <w:ilvl w:val="0"/>
                <w:numId w:val="3"/>
              </w:numPr>
              <w:adjustRightInd w:val="0"/>
              <w:snapToGrid w:val="0"/>
              <w:spacing w:line="276" w:lineRule="auto"/>
              <w:jc w:val="center"/>
              <w:rPr>
                <w:rFonts w:hAnsi="宋体" w:cs="宋体"/>
                <w:color w:val="auto"/>
                <w:sz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6D08FA77">
            <w:pPr>
              <w:pStyle w:val="12"/>
              <w:adjustRightInd w:val="0"/>
              <w:snapToGrid w:val="0"/>
              <w:spacing w:line="276" w:lineRule="auto"/>
              <w:jc w:val="center"/>
              <w:rPr>
                <w:rFonts w:hAnsi="宋体" w:cs="宋体"/>
                <w:color w:val="auto"/>
                <w:sz w:val="21"/>
              </w:rPr>
            </w:pPr>
            <w:r>
              <w:rPr>
                <w:rFonts w:hint="eastAsia" w:hAnsi="宋体" w:cs="宋体"/>
                <w:color w:val="auto"/>
                <w:sz w:val="21"/>
              </w:rPr>
              <w:t>磋商有效期</w:t>
            </w:r>
          </w:p>
        </w:tc>
        <w:tc>
          <w:tcPr>
            <w:tcW w:w="7034" w:type="dxa"/>
            <w:tcBorders>
              <w:top w:val="single" w:color="auto" w:sz="4" w:space="0"/>
              <w:left w:val="single" w:color="auto" w:sz="4" w:space="0"/>
              <w:bottom w:val="single" w:color="auto" w:sz="4" w:space="0"/>
              <w:right w:val="single" w:color="auto" w:sz="4" w:space="0"/>
            </w:tcBorders>
            <w:vAlign w:val="center"/>
          </w:tcPr>
          <w:p w14:paraId="44C8DACF">
            <w:pPr>
              <w:pStyle w:val="8"/>
              <w:spacing w:line="276" w:lineRule="auto"/>
              <w:jc w:val="both"/>
              <w:rPr>
                <w:rFonts w:ascii="宋体" w:hAnsi="宋体" w:cs="宋体"/>
                <w:color w:val="auto"/>
                <w:szCs w:val="21"/>
              </w:rPr>
            </w:pPr>
            <w:r>
              <w:rPr>
                <w:rFonts w:hint="eastAsia" w:ascii="宋体" w:hAnsi="宋体" w:cs="宋体"/>
                <w:color w:val="auto"/>
                <w:szCs w:val="21"/>
              </w:rPr>
              <w:t>自</w:t>
            </w:r>
            <w:r>
              <w:rPr>
                <w:rFonts w:ascii="宋体" w:hAnsi="宋体" w:cs="宋体"/>
                <w:color w:val="auto"/>
                <w:szCs w:val="21"/>
                <w:shd w:val="clear" w:color="auto" w:fill="FFFFFF"/>
              </w:rPr>
              <w:t>提交首次</w:t>
            </w:r>
            <w:r>
              <w:rPr>
                <w:rFonts w:hint="eastAsia" w:ascii="宋体" w:hAnsi="宋体" w:cs="宋体"/>
                <w:color w:val="auto"/>
                <w:szCs w:val="21"/>
                <w:shd w:val="clear" w:color="auto" w:fill="FFFFFF"/>
              </w:rPr>
              <w:t>响应文件</w:t>
            </w:r>
            <w:r>
              <w:rPr>
                <w:rFonts w:hint="eastAsia" w:ascii="宋体" w:hAnsi="宋体" w:cs="宋体"/>
                <w:color w:val="auto"/>
                <w:szCs w:val="21"/>
              </w:rPr>
              <w:t>截止之日起</w:t>
            </w:r>
            <w:r>
              <w:rPr>
                <w:rFonts w:ascii="宋体" w:hAnsi="宋体" w:cs="宋体"/>
                <w:color w:val="auto"/>
                <w:szCs w:val="21"/>
                <w:lang w:eastAsia="zh-TW"/>
              </w:rPr>
              <w:t>90</w:t>
            </w:r>
            <w:r>
              <w:rPr>
                <w:rFonts w:hint="eastAsia" w:ascii="宋体" w:hAnsi="宋体" w:cs="宋体"/>
                <w:color w:val="auto"/>
                <w:szCs w:val="21"/>
              </w:rPr>
              <w:t>日。</w:t>
            </w:r>
          </w:p>
        </w:tc>
      </w:tr>
      <w:tr w14:paraId="15D1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vMerge w:val="restart"/>
            <w:tcBorders>
              <w:top w:val="single" w:color="auto" w:sz="4" w:space="0"/>
              <w:left w:val="single" w:color="auto" w:sz="4" w:space="0"/>
              <w:right w:val="single" w:color="auto" w:sz="4" w:space="0"/>
            </w:tcBorders>
            <w:vAlign w:val="center"/>
          </w:tcPr>
          <w:p w14:paraId="2C2A5941">
            <w:pPr>
              <w:numPr>
                <w:ilvl w:val="0"/>
                <w:numId w:val="3"/>
              </w:numPr>
              <w:spacing w:line="276" w:lineRule="auto"/>
              <w:jc w:val="center"/>
              <w:rPr>
                <w:rFonts w:ascii="宋体" w:hAnsi="宋体" w:cs="宋体"/>
                <w:color w:val="auto"/>
                <w:szCs w:val="21"/>
              </w:rPr>
            </w:pPr>
          </w:p>
        </w:tc>
        <w:tc>
          <w:tcPr>
            <w:tcW w:w="1592" w:type="dxa"/>
            <w:vMerge w:val="restart"/>
            <w:tcBorders>
              <w:top w:val="single" w:color="auto" w:sz="4" w:space="0"/>
              <w:left w:val="single" w:color="auto" w:sz="4" w:space="0"/>
              <w:right w:val="single" w:color="auto" w:sz="4" w:space="0"/>
            </w:tcBorders>
            <w:vAlign w:val="center"/>
          </w:tcPr>
          <w:p w14:paraId="798D3636">
            <w:pPr>
              <w:spacing w:line="276" w:lineRule="auto"/>
              <w:jc w:val="center"/>
              <w:rPr>
                <w:rFonts w:ascii="宋体" w:hAnsi="宋体" w:cs="宋体"/>
                <w:color w:val="auto"/>
                <w:szCs w:val="21"/>
              </w:rPr>
            </w:pPr>
            <w:r>
              <w:rPr>
                <w:rFonts w:hint="eastAsia" w:ascii="宋体" w:hAnsi="宋体" w:cs="宋体"/>
                <w:color w:val="auto"/>
                <w:szCs w:val="21"/>
              </w:rPr>
              <w:t>响应文件</w:t>
            </w:r>
            <w:r>
              <w:rPr>
                <w:rFonts w:ascii="宋体" w:hAnsi="宋体" w:cs="宋体"/>
                <w:color w:val="auto"/>
                <w:szCs w:val="21"/>
              </w:rPr>
              <w:t>份数</w:t>
            </w:r>
          </w:p>
        </w:tc>
        <w:tc>
          <w:tcPr>
            <w:tcW w:w="7034" w:type="dxa"/>
            <w:tcBorders>
              <w:top w:val="single" w:color="auto" w:sz="4" w:space="0"/>
              <w:left w:val="single" w:color="auto" w:sz="4" w:space="0"/>
              <w:bottom w:val="single" w:color="auto" w:sz="4" w:space="0"/>
              <w:right w:val="single" w:color="auto" w:sz="4" w:space="0"/>
            </w:tcBorders>
            <w:vAlign w:val="center"/>
          </w:tcPr>
          <w:p w14:paraId="50A869E4">
            <w:pPr>
              <w:ind w:left="4" w:leftChars="2"/>
              <w:rPr>
                <w:rFonts w:ascii="宋体" w:hAnsi="宋体" w:cs="宋体"/>
                <w:color w:val="auto"/>
                <w:szCs w:val="21"/>
              </w:rPr>
            </w:pPr>
            <w:r>
              <w:rPr>
                <w:rFonts w:ascii="宋体" w:hAnsi="宋体" w:cs="宋体"/>
                <w:color w:val="auto"/>
                <w:szCs w:val="21"/>
              </w:rPr>
              <w:t>1.正本壹份、副本三份和不作任何加密的电子文件壹份</w:t>
            </w:r>
            <w:r>
              <w:rPr>
                <w:rFonts w:hint="eastAsia" w:ascii="宋体" w:hAnsi="宋体" w:cs="宋体"/>
                <w:color w:val="auto"/>
                <w:szCs w:val="21"/>
              </w:rPr>
              <w:t>。</w:t>
            </w:r>
          </w:p>
          <w:p w14:paraId="40404895">
            <w:pPr>
              <w:tabs>
                <w:tab w:val="left" w:pos="720"/>
              </w:tabs>
              <w:snapToGrid w:val="0"/>
              <w:spacing w:line="276" w:lineRule="auto"/>
              <w:ind w:left="4" w:leftChars="2"/>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.电子文件</w:t>
            </w:r>
            <w:r>
              <w:rPr>
                <w:rFonts w:hint="eastAsia" w:ascii="宋体" w:hAnsi="宋体" w:cs="宋体"/>
                <w:color w:val="auto"/>
                <w:szCs w:val="21"/>
              </w:rPr>
              <w:t>：</w:t>
            </w:r>
            <w:r>
              <w:rPr>
                <w:rFonts w:ascii="宋体" w:hAnsi="宋体" w:cs="宋体"/>
                <w:color w:val="auto"/>
                <w:szCs w:val="21"/>
              </w:rPr>
              <w:t xml:space="preserve">1 份（要求光盘或者 U 盘介质，采用 Word </w:t>
            </w:r>
            <w:r>
              <w:rPr>
                <w:rFonts w:hint="eastAsia" w:ascii="宋体" w:hAnsi="宋体" w:cs="宋体"/>
                <w:color w:val="auto"/>
                <w:szCs w:val="21"/>
              </w:rPr>
              <w:t>和</w:t>
            </w:r>
            <w:r>
              <w:rPr>
                <w:rFonts w:ascii="宋体" w:hAnsi="宋体" w:cs="宋体"/>
                <w:color w:val="auto"/>
                <w:szCs w:val="21"/>
              </w:rPr>
              <w:t xml:space="preserve"> PDF </w:t>
            </w:r>
            <w:r>
              <w:rPr>
                <w:rFonts w:hint="eastAsia" w:ascii="宋体" w:hAnsi="宋体" w:cs="宋体"/>
                <w:color w:val="auto"/>
                <w:szCs w:val="21"/>
              </w:rPr>
              <w:t>格式，</w:t>
            </w:r>
            <w:r>
              <w:rPr>
                <w:rFonts w:ascii="宋体" w:hAnsi="宋体" w:cs="宋体"/>
                <w:color w:val="auto"/>
                <w:szCs w:val="21"/>
              </w:rPr>
              <w:t>Word 内容应与</w:t>
            </w:r>
            <w:r>
              <w:rPr>
                <w:rFonts w:hint="eastAsia" w:ascii="宋体" w:hAnsi="宋体" w:cs="宋体"/>
                <w:color w:val="auto"/>
                <w:szCs w:val="21"/>
              </w:rPr>
              <w:t>响应供应商</w:t>
            </w:r>
            <w:r>
              <w:rPr>
                <w:rFonts w:ascii="宋体" w:hAnsi="宋体" w:cs="宋体"/>
                <w:color w:val="auto"/>
                <w:szCs w:val="21"/>
              </w:rPr>
              <w:t>打印产生的纸质</w:t>
            </w:r>
            <w:r>
              <w:rPr>
                <w:rFonts w:hint="eastAsia" w:ascii="宋体" w:hAnsi="宋体" w:cs="宋体"/>
                <w:color w:val="auto"/>
                <w:szCs w:val="21"/>
              </w:rPr>
              <w:t>响应文件</w:t>
            </w:r>
            <w:r>
              <w:rPr>
                <w:rFonts w:ascii="宋体" w:hAnsi="宋体" w:cs="宋体"/>
                <w:color w:val="auto"/>
                <w:szCs w:val="21"/>
              </w:rPr>
              <w:t>内容一致，PDF 内容必须是盖章、签署的纸质</w:t>
            </w:r>
            <w:r>
              <w:rPr>
                <w:rFonts w:hint="eastAsia" w:ascii="宋体" w:hAnsi="宋体" w:cs="宋体"/>
                <w:color w:val="auto"/>
                <w:szCs w:val="21"/>
              </w:rPr>
              <w:t>响应文件</w:t>
            </w:r>
            <w:r>
              <w:rPr>
                <w:rFonts w:ascii="宋体" w:hAnsi="宋体" w:cs="宋体"/>
                <w:color w:val="auto"/>
                <w:szCs w:val="21"/>
              </w:rPr>
              <w:t>正本扫描件，电子文件封面注明公司名称和项目编号，不留密码，无病毒，不压缩</w:t>
            </w:r>
            <w:r>
              <w:rPr>
                <w:rFonts w:hint="eastAsia" w:ascii="宋体" w:hAnsi="宋体" w:cs="宋体"/>
                <w:color w:val="auto"/>
                <w:szCs w:val="21"/>
              </w:rPr>
              <w:t>）。</w:t>
            </w:r>
          </w:p>
        </w:tc>
      </w:tr>
      <w:tr w14:paraId="025D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87" w:type="dxa"/>
            <w:vMerge w:val="continue"/>
            <w:tcBorders>
              <w:left w:val="single" w:color="auto" w:sz="4" w:space="0"/>
              <w:right w:val="single" w:color="auto" w:sz="4" w:space="0"/>
            </w:tcBorders>
            <w:vAlign w:val="center"/>
          </w:tcPr>
          <w:p w14:paraId="733FF336">
            <w:pPr>
              <w:numPr>
                <w:ilvl w:val="0"/>
                <w:numId w:val="3"/>
              </w:numPr>
              <w:spacing w:line="276" w:lineRule="auto"/>
              <w:jc w:val="center"/>
              <w:rPr>
                <w:rFonts w:ascii="宋体" w:hAnsi="宋体" w:cs="宋体"/>
                <w:color w:val="auto"/>
                <w:szCs w:val="21"/>
              </w:rPr>
            </w:pPr>
          </w:p>
        </w:tc>
        <w:tc>
          <w:tcPr>
            <w:tcW w:w="1592" w:type="dxa"/>
            <w:vMerge w:val="continue"/>
            <w:tcBorders>
              <w:left w:val="single" w:color="auto" w:sz="4" w:space="0"/>
              <w:right w:val="single" w:color="auto" w:sz="4" w:space="0"/>
            </w:tcBorders>
            <w:vAlign w:val="center"/>
          </w:tcPr>
          <w:p w14:paraId="39BDF01C">
            <w:pPr>
              <w:spacing w:line="276" w:lineRule="auto"/>
              <w:jc w:val="center"/>
              <w:rPr>
                <w:rFonts w:ascii="宋体" w:hAnsi="宋体" w:cs="宋体"/>
                <w:color w:val="auto"/>
                <w:szCs w:val="21"/>
              </w:rPr>
            </w:pPr>
          </w:p>
        </w:tc>
        <w:tc>
          <w:tcPr>
            <w:tcW w:w="7034" w:type="dxa"/>
            <w:tcBorders>
              <w:top w:val="single" w:color="auto" w:sz="4" w:space="0"/>
              <w:left w:val="single" w:color="auto" w:sz="4" w:space="0"/>
              <w:bottom w:val="single" w:color="auto" w:sz="4" w:space="0"/>
              <w:right w:val="single" w:color="auto" w:sz="4" w:space="0"/>
            </w:tcBorders>
            <w:vAlign w:val="center"/>
          </w:tcPr>
          <w:p w14:paraId="76F6EDC0">
            <w:pPr>
              <w:ind w:left="4" w:leftChars="2"/>
              <w:rPr>
                <w:rFonts w:ascii="宋体" w:hAnsi="宋体" w:cs="宋体"/>
                <w:color w:val="auto"/>
                <w:szCs w:val="21"/>
              </w:rPr>
            </w:pPr>
            <w:r>
              <w:rPr>
                <w:rFonts w:ascii="宋体" w:hAnsi="宋体" w:cs="宋体"/>
                <w:color w:val="auto"/>
                <w:szCs w:val="21"/>
              </w:rPr>
              <w:t>正本和电子文件一起封装，副本一起封装，</w:t>
            </w:r>
            <w:r>
              <w:rPr>
                <w:rFonts w:hint="eastAsia" w:ascii="宋体" w:hAnsi="宋体" w:cs="宋体"/>
                <w:color w:val="auto"/>
                <w:szCs w:val="21"/>
              </w:rPr>
              <w:t>并在每一个封套上标明项目名称、项目编号、供应商名称、地址及“正本/副本”等字样。</w:t>
            </w:r>
          </w:p>
        </w:tc>
      </w:tr>
      <w:tr w14:paraId="5B28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5FA9D8C">
            <w:pPr>
              <w:widowControl/>
              <w:numPr>
                <w:ilvl w:val="0"/>
                <w:numId w:val="3"/>
              </w:numPr>
              <w:spacing w:line="276" w:lineRule="auto"/>
              <w:jc w:val="center"/>
              <w:rPr>
                <w:rFonts w:ascii="宋体" w:hAnsi="宋体" w:cs="宋体"/>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69CA1B93">
            <w:pPr>
              <w:widowControl/>
              <w:spacing w:line="276" w:lineRule="auto"/>
              <w:jc w:val="center"/>
              <w:rPr>
                <w:rFonts w:ascii="宋体" w:hAnsi="宋体" w:cs="宋体"/>
                <w:color w:val="auto"/>
                <w:szCs w:val="21"/>
              </w:rPr>
            </w:pPr>
            <w:r>
              <w:rPr>
                <w:rFonts w:ascii="宋体" w:hAnsi="宋体" w:cs="宋体"/>
                <w:color w:val="auto"/>
                <w:szCs w:val="21"/>
              </w:rPr>
              <w:t>样品要求</w:t>
            </w:r>
          </w:p>
        </w:tc>
        <w:tc>
          <w:tcPr>
            <w:tcW w:w="7034" w:type="dxa"/>
            <w:tcBorders>
              <w:top w:val="single" w:color="auto" w:sz="4" w:space="0"/>
              <w:left w:val="single" w:color="auto" w:sz="4" w:space="0"/>
              <w:bottom w:val="single" w:color="auto" w:sz="4" w:space="0"/>
              <w:right w:val="single" w:color="auto" w:sz="4" w:space="0"/>
            </w:tcBorders>
            <w:vAlign w:val="center"/>
          </w:tcPr>
          <w:p w14:paraId="6DDECBD2">
            <w:pPr>
              <w:tabs>
                <w:tab w:val="left" w:pos="720"/>
              </w:tabs>
              <w:snapToGrid w:val="0"/>
              <w:spacing w:line="276" w:lineRule="auto"/>
              <w:ind w:left="4" w:leftChars="2"/>
              <w:rPr>
                <w:rFonts w:ascii="宋体" w:hAnsi="宋体" w:cs="宋体"/>
                <w:color w:val="auto"/>
                <w:szCs w:val="21"/>
              </w:rPr>
            </w:pPr>
            <w:r>
              <w:rPr>
                <w:rFonts w:ascii="宋体" w:hAnsi="宋体" w:cs="宋体"/>
                <w:color w:val="auto"/>
                <w:szCs w:val="21"/>
              </w:rPr>
              <w:t>无。</w:t>
            </w:r>
          </w:p>
        </w:tc>
      </w:tr>
      <w:tr w14:paraId="0007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AAEAB22">
            <w:pPr>
              <w:numPr>
                <w:ilvl w:val="0"/>
                <w:numId w:val="3"/>
              </w:numPr>
              <w:spacing w:line="276" w:lineRule="auto"/>
              <w:jc w:val="center"/>
              <w:rPr>
                <w:rFonts w:ascii="宋体" w:hAnsi="宋体" w:cs="宋体"/>
                <w:color w:val="auto"/>
                <w:szCs w:val="21"/>
              </w:rPr>
            </w:pPr>
            <w:r>
              <w:rPr>
                <w:rFonts w:ascii="宋体" w:hAnsi="宋体" w:cs="宋体"/>
                <w:color w:val="auto"/>
                <w:szCs w:val="21"/>
              </w:rPr>
              <w:t xml:space="preserve">  </w:t>
            </w:r>
          </w:p>
        </w:tc>
        <w:tc>
          <w:tcPr>
            <w:tcW w:w="1592" w:type="dxa"/>
            <w:tcBorders>
              <w:top w:val="single" w:color="auto" w:sz="4" w:space="0"/>
              <w:left w:val="single" w:color="auto" w:sz="4" w:space="0"/>
              <w:bottom w:val="single" w:color="auto" w:sz="4" w:space="0"/>
              <w:right w:val="single" w:color="auto" w:sz="4" w:space="0"/>
            </w:tcBorders>
            <w:vAlign w:val="center"/>
          </w:tcPr>
          <w:p w14:paraId="60E43F42">
            <w:pPr>
              <w:spacing w:line="276" w:lineRule="auto"/>
              <w:jc w:val="center"/>
              <w:rPr>
                <w:rFonts w:ascii="宋体" w:hAnsi="宋体" w:cs="宋体"/>
                <w:color w:val="auto"/>
                <w:szCs w:val="21"/>
              </w:rPr>
            </w:pPr>
            <w:r>
              <w:rPr>
                <w:rFonts w:ascii="宋体" w:hAnsi="宋体" w:cs="宋体"/>
                <w:color w:val="auto"/>
                <w:szCs w:val="21"/>
              </w:rPr>
              <w:t>磋商小组组成</w:t>
            </w:r>
          </w:p>
        </w:tc>
        <w:tc>
          <w:tcPr>
            <w:tcW w:w="7034" w:type="dxa"/>
            <w:tcBorders>
              <w:top w:val="single" w:color="auto" w:sz="4" w:space="0"/>
              <w:left w:val="single" w:color="auto" w:sz="4" w:space="0"/>
              <w:bottom w:val="single" w:color="auto" w:sz="4" w:space="0"/>
              <w:right w:val="single" w:color="auto" w:sz="4" w:space="0"/>
            </w:tcBorders>
            <w:vAlign w:val="center"/>
          </w:tcPr>
          <w:p w14:paraId="09F744BC">
            <w:pPr>
              <w:tabs>
                <w:tab w:val="left" w:pos="540"/>
              </w:tabs>
              <w:snapToGrid w:val="0"/>
              <w:spacing w:line="276" w:lineRule="auto"/>
              <w:rPr>
                <w:rFonts w:ascii="宋体" w:hAnsi="宋体" w:cs="宋体"/>
                <w:color w:val="auto"/>
                <w:szCs w:val="21"/>
              </w:rPr>
            </w:pPr>
            <w:r>
              <w:rPr>
                <w:rFonts w:ascii="宋体" w:hAnsi="宋体" w:cs="宋体"/>
                <w:color w:val="auto"/>
                <w:szCs w:val="21"/>
              </w:rPr>
              <w:t>本项目评审工作由依法组建的磋商小组负责完成，磋商小组由3人组成。</w:t>
            </w:r>
          </w:p>
        </w:tc>
      </w:tr>
      <w:tr w14:paraId="68DD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4873DCF">
            <w:pPr>
              <w:numPr>
                <w:ilvl w:val="0"/>
                <w:numId w:val="3"/>
              </w:numPr>
              <w:spacing w:line="276" w:lineRule="auto"/>
              <w:jc w:val="center"/>
              <w:rPr>
                <w:rFonts w:ascii="宋体" w:hAnsi="宋体" w:cs="宋体"/>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58908CAF">
            <w:pPr>
              <w:spacing w:line="276" w:lineRule="auto"/>
              <w:jc w:val="center"/>
              <w:rPr>
                <w:rFonts w:ascii="宋体" w:hAnsi="宋体" w:cs="宋体"/>
                <w:color w:val="auto"/>
                <w:szCs w:val="21"/>
              </w:rPr>
            </w:pPr>
            <w:r>
              <w:rPr>
                <w:rFonts w:ascii="宋体" w:hAnsi="宋体" w:cs="宋体"/>
                <w:color w:val="auto"/>
                <w:szCs w:val="21"/>
              </w:rPr>
              <w:t>评审方法</w:t>
            </w:r>
          </w:p>
        </w:tc>
        <w:tc>
          <w:tcPr>
            <w:tcW w:w="7034" w:type="dxa"/>
            <w:tcBorders>
              <w:top w:val="single" w:color="auto" w:sz="4" w:space="0"/>
              <w:left w:val="single" w:color="auto" w:sz="4" w:space="0"/>
              <w:bottom w:val="single" w:color="auto" w:sz="4" w:space="0"/>
              <w:right w:val="single" w:color="auto" w:sz="4" w:space="0"/>
            </w:tcBorders>
            <w:vAlign w:val="center"/>
          </w:tcPr>
          <w:p w14:paraId="44890DB5">
            <w:pPr>
              <w:spacing w:line="276" w:lineRule="auto"/>
              <w:rPr>
                <w:rFonts w:ascii="宋体" w:hAnsi="宋体" w:cs="宋体"/>
                <w:color w:val="auto"/>
                <w:szCs w:val="21"/>
              </w:rPr>
            </w:pPr>
            <w:r>
              <w:rPr>
                <w:rFonts w:ascii="宋体" w:hAnsi="宋体" w:cs="宋体"/>
                <w:color w:val="auto"/>
                <w:szCs w:val="21"/>
              </w:rPr>
              <w:t>本次磋商采用一轮磋商，两次报价形式进行。经磋商确定最终采购需求和提交最后报价的供应商后，由磋商小组采用综合评分法对提交最后报价的供应商的</w:t>
            </w:r>
            <w:r>
              <w:rPr>
                <w:rFonts w:hint="eastAsia" w:ascii="宋体" w:hAnsi="宋体" w:cs="宋体"/>
                <w:color w:val="auto"/>
                <w:szCs w:val="21"/>
              </w:rPr>
              <w:t>响应文件</w:t>
            </w:r>
            <w:r>
              <w:rPr>
                <w:rFonts w:ascii="宋体" w:hAnsi="宋体" w:cs="宋体"/>
                <w:color w:val="auto"/>
                <w:szCs w:val="21"/>
              </w:rPr>
              <w:t>和最后报价进行综合评分。</w:t>
            </w:r>
          </w:p>
          <w:p w14:paraId="1FD9D10C">
            <w:pPr>
              <w:spacing w:line="276" w:lineRule="auto"/>
              <w:rPr>
                <w:rFonts w:ascii="宋体" w:hAnsi="宋体" w:cs="宋体"/>
                <w:color w:val="auto"/>
                <w:szCs w:val="21"/>
              </w:rPr>
            </w:pPr>
            <w:r>
              <w:rPr>
                <w:rFonts w:ascii="宋体" w:hAnsi="宋体" w:cs="宋体"/>
                <w:color w:val="auto"/>
                <w:szCs w:val="21"/>
              </w:rPr>
              <w:t>综合评分法，是指</w:t>
            </w:r>
            <w:r>
              <w:rPr>
                <w:rFonts w:hint="eastAsia" w:ascii="宋体" w:hAnsi="宋体" w:cs="宋体"/>
                <w:color w:val="auto"/>
                <w:szCs w:val="21"/>
              </w:rPr>
              <w:t>响应文件</w:t>
            </w:r>
            <w:r>
              <w:rPr>
                <w:rFonts w:ascii="宋体" w:hAnsi="宋体" w:cs="宋体"/>
                <w:color w:val="auto"/>
                <w:szCs w:val="21"/>
              </w:rPr>
              <w:t>满足磋商文件全部实质性要求且按评审因素的量化指标评审得分最高的供应商为成交候选人的评审方法。</w:t>
            </w:r>
          </w:p>
        </w:tc>
      </w:tr>
      <w:tr w14:paraId="29C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1E3A02A">
            <w:pPr>
              <w:numPr>
                <w:ilvl w:val="0"/>
                <w:numId w:val="3"/>
              </w:numPr>
              <w:spacing w:line="276" w:lineRule="auto"/>
              <w:jc w:val="center"/>
              <w:rPr>
                <w:rFonts w:ascii="宋体" w:hAnsi="宋体" w:cs="宋体"/>
                <w:bCs/>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14:paraId="3FD8985C">
            <w:pPr>
              <w:spacing w:line="276" w:lineRule="auto"/>
              <w:jc w:val="center"/>
              <w:rPr>
                <w:rFonts w:ascii="宋体" w:hAnsi="宋体" w:cs="宋体"/>
                <w:color w:val="auto"/>
                <w:szCs w:val="21"/>
              </w:rPr>
            </w:pPr>
            <w:r>
              <w:rPr>
                <w:rFonts w:ascii="宋体" w:hAnsi="宋体" w:cs="宋体"/>
                <w:bCs/>
                <w:color w:val="auto"/>
                <w:szCs w:val="21"/>
              </w:rPr>
              <w:t>成交候选人的推荐</w:t>
            </w:r>
          </w:p>
        </w:tc>
        <w:tc>
          <w:tcPr>
            <w:tcW w:w="7034" w:type="dxa"/>
            <w:tcBorders>
              <w:top w:val="single" w:color="auto" w:sz="4" w:space="0"/>
              <w:left w:val="single" w:color="auto" w:sz="4" w:space="0"/>
              <w:bottom w:val="single" w:color="auto" w:sz="4" w:space="0"/>
              <w:right w:val="single" w:color="auto" w:sz="4" w:space="0"/>
            </w:tcBorders>
            <w:vAlign w:val="center"/>
          </w:tcPr>
          <w:p w14:paraId="6EB36DBF">
            <w:pPr>
              <w:rPr>
                <w:rFonts w:ascii="宋体" w:hAnsi="宋体" w:cs="宋体"/>
                <w:color w:val="auto"/>
                <w:szCs w:val="21"/>
              </w:rPr>
            </w:pPr>
            <w:r>
              <w:rPr>
                <w:rFonts w:hint="eastAsia" w:ascii="宋体" w:hAnsi="宋体" w:cs="宋体"/>
                <w:color w:val="auto"/>
                <w:szCs w:val="21"/>
              </w:rPr>
              <w:t>磋商小组根据综合评分情况，编写书面的评审报告，按综合得分高低次序排出名次，并推荐综合得分排名第一的供应商为第一成交候选人，排名第二的供应商为第二成交候选人，排名第三的供应商为第三成交候选人。若排名第二的供应商的报价高于第一成交候选人报价20%以上的，只推荐1名成交候选人。排名第三的供应商报价高于排名第二的供应商报价</w:t>
            </w:r>
            <w:r>
              <w:rPr>
                <w:rFonts w:ascii="宋体" w:hAnsi="宋体" w:cs="宋体"/>
                <w:color w:val="auto"/>
                <w:szCs w:val="21"/>
              </w:rPr>
              <w:t xml:space="preserve"> 20</w:t>
            </w:r>
            <w:r>
              <w:rPr>
                <w:rFonts w:hint="eastAsia" w:ascii="宋体" w:hAnsi="宋体" w:cs="宋体"/>
                <w:color w:val="auto"/>
                <w:szCs w:val="21"/>
              </w:rPr>
              <w:t>％（含）以上的，只推荐</w:t>
            </w:r>
            <w:r>
              <w:rPr>
                <w:rFonts w:ascii="宋体" w:hAnsi="宋体" w:cs="宋体"/>
                <w:color w:val="auto"/>
                <w:szCs w:val="21"/>
              </w:rPr>
              <w:t xml:space="preserve"> 2 </w:t>
            </w:r>
            <w:r>
              <w:rPr>
                <w:rFonts w:hint="eastAsia" w:ascii="宋体" w:hAnsi="宋体" w:cs="宋体"/>
                <w:color w:val="auto"/>
                <w:szCs w:val="21"/>
              </w:rPr>
              <w:t>名成交候选人。</w:t>
            </w:r>
          </w:p>
          <w:p w14:paraId="4919D2B0">
            <w:pPr>
              <w:spacing w:line="276" w:lineRule="auto"/>
              <w:rPr>
                <w:rFonts w:ascii="宋体" w:hAnsi="宋体"/>
                <w:bCs/>
                <w:color w:val="auto"/>
                <w:szCs w:val="21"/>
              </w:rPr>
            </w:pPr>
            <w:r>
              <w:rPr>
                <w:rFonts w:hint="eastAsia" w:ascii="宋体" w:hAnsi="宋体" w:cs="宋体"/>
                <w:color w:val="auto"/>
                <w:szCs w:val="21"/>
              </w:rPr>
              <w:t>综合得分相同的，按照最后报价由低到高的顺序推荐。综合得分且最后报价相同的，按照技术指标优劣顺序推荐。综合得分相同、评审价和技术评分均相同的，名次由磋商小组抽签确定。法律法规有明确规定的，以法律法规规定为准。</w:t>
            </w:r>
          </w:p>
        </w:tc>
      </w:tr>
      <w:tr w14:paraId="7028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vMerge w:val="restart"/>
            <w:tcBorders>
              <w:top w:val="single" w:color="auto" w:sz="4" w:space="0"/>
              <w:left w:val="single" w:color="auto" w:sz="4" w:space="0"/>
              <w:right w:val="single" w:color="auto" w:sz="4" w:space="0"/>
            </w:tcBorders>
            <w:vAlign w:val="center"/>
          </w:tcPr>
          <w:p w14:paraId="50353B6F">
            <w:pPr>
              <w:pStyle w:val="12"/>
              <w:numPr>
                <w:ilvl w:val="0"/>
                <w:numId w:val="3"/>
              </w:numPr>
              <w:adjustRightInd w:val="0"/>
              <w:snapToGrid w:val="0"/>
              <w:spacing w:line="276" w:lineRule="auto"/>
              <w:jc w:val="center"/>
              <w:rPr>
                <w:rFonts w:hAnsi="宋体" w:cs="宋体"/>
                <w:color w:val="auto"/>
                <w:sz w:val="21"/>
              </w:rPr>
            </w:pPr>
          </w:p>
        </w:tc>
        <w:tc>
          <w:tcPr>
            <w:tcW w:w="1592" w:type="dxa"/>
            <w:vMerge w:val="restart"/>
            <w:tcBorders>
              <w:top w:val="single" w:color="auto" w:sz="4" w:space="0"/>
              <w:left w:val="single" w:color="auto" w:sz="4" w:space="0"/>
              <w:bottom w:val="single" w:color="auto" w:sz="4" w:space="0"/>
              <w:right w:val="single" w:color="auto" w:sz="4" w:space="0"/>
            </w:tcBorders>
            <w:vAlign w:val="center"/>
          </w:tcPr>
          <w:p w14:paraId="67AA1F2B">
            <w:pPr>
              <w:pStyle w:val="12"/>
              <w:adjustRightInd w:val="0"/>
              <w:snapToGrid w:val="0"/>
              <w:spacing w:line="276" w:lineRule="auto"/>
              <w:jc w:val="center"/>
              <w:rPr>
                <w:rFonts w:hAnsi="宋体" w:cs="宋体"/>
                <w:color w:val="auto"/>
                <w:sz w:val="21"/>
              </w:rPr>
            </w:pPr>
            <w:r>
              <w:rPr>
                <w:rFonts w:hAnsi="宋体" w:cs="宋体"/>
                <w:color w:val="auto"/>
                <w:sz w:val="21"/>
              </w:rPr>
              <w:t>招标代理服务费</w:t>
            </w:r>
          </w:p>
        </w:tc>
        <w:tc>
          <w:tcPr>
            <w:tcW w:w="7034" w:type="dxa"/>
            <w:tcBorders>
              <w:top w:val="single" w:color="auto" w:sz="4" w:space="0"/>
              <w:left w:val="single" w:color="auto" w:sz="4" w:space="0"/>
              <w:bottom w:val="single" w:color="auto" w:sz="4" w:space="0"/>
              <w:right w:val="single" w:color="auto" w:sz="4" w:space="0"/>
            </w:tcBorders>
            <w:vAlign w:val="center"/>
          </w:tcPr>
          <w:p w14:paraId="5C2AB5B4">
            <w:pPr>
              <w:rPr>
                <w:rFonts w:ascii="宋体" w:hAnsi="宋体" w:cs="宋体"/>
                <w:bCs/>
                <w:color w:val="auto"/>
                <w:szCs w:val="21"/>
              </w:rPr>
            </w:pPr>
            <w:r>
              <w:rPr>
                <w:rFonts w:hint="eastAsia"/>
                <w:color w:val="auto"/>
              </w:rPr>
              <w:t>成交供应商在领取《成交通知书》前，向采购代理机构交纳的招标服务费，</w:t>
            </w:r>
            <w:r>
              <w:rPr>
                <w:rFonts w:hint="eastAsia"/>
                <w:color w:val="auto"/>
                <w:lang w:val="zh-TW" w:eastAsia="zh-TW"/>
              </w:rPr>
              <w:t>根据《国家发展改革委关于进一步放开建设项目专业服务价格的通知发改价格》[2015]299号的通知实行市场调节价</w:t>
            </w:r>
            <w:r>
              <w:rPr>
                <w:rFonts w:hint="eastAsia"/>
                <w:color w:val="auto"/>
              </w:rPr>
              <w:t>，</w:t>
            </w:r>
            <w:r>
              <w:rPr>
                <w:rFonts w:hint="eastAsia" w:ascii="宋体" w:hAnsi="宋体" w:cs="宋体"/>
                <w:bCs/>
                <w:color w:val="auto"/>
                <w:szCs w:val="21"/>
              </w:rPr>
              <w:t>本次招标代理服务费以本项目预算金额作为收费的计算基数，按差额定率累进法</w:t>
            </w:r>
            <w:r>
              <w:rPr>
                <w:rFonts w:hint="eastAsia" w:ascii="宋体" w:hAnsi="宋体" w:cs="宋体"/>
                <w:bCs/>
                <w:color w:val="auto"/>
                <w:szCs w:val="21"/>
                <w:lang w:val="en-US" w:eastAsia="zh-CN"/>
              </w:rPr>
              <w:t>并下浮20%</w:t>
            </w:r>
            <w:r>
              <w:rPr>
                <w:rFonts w:hint="eastAsia" w:ascii="宋体" w:hAnsi="宋体" w:cs="宋体"/>
                <w:bCs/>
                <w:color w:val="auto"/>
                <w:szCs w:val="21"/>
              </w:rPr>
              <w:t>计算：</w:t>
            </w:r>
          </w:p>
          <w:p w14:paraId="45831441">
            <w:pPr>
              <w:autoSpaceDE w:val="0"/>
              <w:autoSpaceDN w:val="0"/>
              <w:adjustRightInd w:val="0"/>
              <w:jc w:val="left"/>
              <w:rPr>
                <w:rFonts w:ascii="宋体" w:hAnsi="宋体" w:cs="宋体"/>
                <w:bCs/>
                <w:color w:val="auto"/>
                <w:szCs w:val="21"/>
              </w:rPr>
            </w:pPr>
            <w:r>
              <w:rPr>
                <w:rFonts w:hint="eastAsia" w:ascii="宋体" w:hAnsi="宋体" w:cs="宋体"/>
                <w:bCs/>
                <w:color w:val="auto"/>
                <w:szCs w:val="21"/>
              </w:rPr>
              <w:t>金额在100万元（含）以下按1.5</w:t>
            </w:r>
            <w:r>
              <w:rPr>
                <w:rFonts w:ascii="宋体" w:hAnsi="宋体" w:cs="宋体"/>
                <w:bCs/>
                <w:color w:val="auto"/>
                <w:szCs w:val="21"/>
              </w:rPr>
              <w:t>%</w:t>
            </w:r>
            <w:r>
              <w:rPr>
                <w:rFonts w:hint="eastAsia" w:ascii="宋体" w:hAnsi="宋体" w:cs="宋体"/>
                <w:bCs/>
                <w:color w:val="auto"/>
                <w:szCs w:val="21"/>
              </w:rPr>
              <w:t>计算；</w:t>
            </w:r>
          </w:p>
          <w:p w14:paraId="71FBAF93">
            <w:pPr>
              <w:spacing w:line="276" w:lineRule="auto"/>
              <w:rPr>
                <w:color w:val="auto"/>
              </w:rPr>
            </w:pPr>
            <w:r>
              <w:rPr>
                <w:rFonts w:hint="eastAsia" w:ascii="宋体" w:hAnsi="宋体" w:cs="宋体"/>
                <w:bCs/>
                <w:color w:val="auto"/>
                <w:szCs w:val="21"/>
              </w:rPr>
              <w:t>注：若本项目代理服务费按上述方式计算不足¥7,000.00按¥7,000.00收取。</w:t>
            </w:r>
          </w:p>
        </w:tc>
      </w:tr>
      <w:tr w14:paraId="2225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7" w:type="dxa"/>
            <w:vMerge w:val="continue"/>
            <w:tcBorders>
              <w:left w:val="single" w:color="auto" w:sz="4" w:space="0"/>
              <w:bottom w:val="single" w:color="auto" w:sz="4" w:space="0"/>
              <w:right w:val="single" w:color="auto" w:sz="4" w:space="0"/>
            </w:tcBorders>
            <w:vAlign w:val="center"/>
          </w:tcPr>
          <w:p w14:paraId="202F02C8">
            <w:pPr>
              <w:widowControl/>
              <w:numPr>
                <w:ilvl w:val="0"/>
                <w:numId w:val="3"/>
              </w:numPr>
              <w:spacing w:line="276" w:lineRule="auto"/>
              <w:jc w:val="center"/>
              <w:rPr>
                <w:rFonts w:ascii="宋体" w:hAnsi="宋体" w:cs="宋体"/>
                <w:color w:val="auto"/>
                <w:szCs w:val="21"/>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14:paraId="1C87A261">
            <w:pPr>
              <w:widowControl/>
              <w:spacing w:line="276" w:lineRule="auto"/>
              <w:jc w:val="left"/>
              <w:rPr>
                <w:rFonts w:ascii="宋体" w:hAnsi="宋体" w:cs="宋体"/>
                <w:color w:val="auto"/>
                <w:szCs w:val="21"/>
              </w:rPr>
            </w:pPr>
          </w:p>
        </w:tc>
        <w:tc>
          <w:tcPr>
            <w:tcW w:w="7034" w:type="dxa"/>
            <w:tcBorders>
              <w:top w:val="single" w:color="auto" w:sz="4" w:space="0"/>
              <w:left w:val="single" w:color="auto" w:sz="4" w:space="0"/>
              <w:bottom w:val="single" w:color="auto" w:sz="4" w:space="0"/>
              <w:right w:val="single" w:color="auto" w:sz="4" w:space="0"/>
            </w:tcBorders>
            <w:vAlign w:val="center"/>
          </w:tcPr>
          <w:p w14:paraId="35FEFFDA">
            <w:pPr>
              <w:spacing w:line="276" w:lineRule="auto"/>
              <w:rPr>
                <w:rFonts w:ascii="宋体" w:hAnsi="宋体" w:cs="宋体"/>
                <w:color w:val="auto"/>
                <w:szCs w:val="21"/>
              </w:rPr>
            </w:pPr>
            <w:r>
              <w:rPr>
                <w:rFonts w:ascii="宋体" w:hAnsi="宋体" w:cs="宋体"/>
                <w:bCs/>
                <w:color w:val="auto"/>
                <w:szCs w:val="21"/>
              </w:rPr>
              <w:t>招标代理服务费由</w:t>
            </w:r>
            <w:r>
              <w:rPr>
                <w:rFonts w:hint="eastAsia" w:ascii="宋体" w:hAnsi="宋体" w:cs="宋体"/>
                <w:bCs/>
                <w:color w:val="auto"/>
                <w:szCs w:val="21"/>
              </w:rPr>
              <w:t>成交供应商</w:t>
            </w:r>
            <w:r>
              <w:rPr>
                <w:rFonts w:ascii="宋体" w:hAnsi="宋体" w:cs="宋体"/>
                <w:bCs/>
                <w:color w:val="auto"/>
                <w:szCs w:val="21"/>
              </w:rPr>
              <w:t>支付</w:t>
            </w:r>
            <w:r>
              <w:rPr>
                <w:rFonts w:hint="eastAsia" w:ascii="宋体" w:hAnsi="宋体" w:cs="宋体"/>
                <w:bCs/>
                <w:color w:val="auto"/>
                <w:szCs w:val="21"/>
              </w:rPr>
              <w:t>。</w:t>
            </w:r>
          </w:p>
          <w:p w14:paraId="6EA5DAAB">
            <w:pPr>
              <w:spacing w:line="276" w:lineRule="auto"/>
              <w:rPr>
                <w:rFonts w:ascii="宋体" w:hAnsi="宋体" w:cs="宋体"/>
                <w:color w:val="auto"/>
                <w:szCs w:val="21"/>
              </w:rPr>
            </w:pPr>
            <w:r>
              <w:rPr>
                <w:rFonts w:ascii="宋体" w:hAnsi="宋体" w:cs="宋体"/>
                <w:color w:val="auto"/>
                <w:szCs w:val="21"/>
              </w:rPr>
              <w:t>收款单位：广东为诚招标代理有限公司</w:t>
            </w:r>
          </w:p>
          <w:p w14:paraId="48354ABC">
            <w:pPr>
              <w:spacing w:line="276" w:lineRule="auto"/>
              <w:rPr>
                <w:rFonts w:ascii="宋体" w:hAnsi="宋体" w:cs="宋体"/>
                <w:color w:val="auto"/>
                <w:szCs w:val="21"/>
              </w:rPr>
            </w:pPr>
            <w:r>
              <w:rPr>
                <w:rFonts w:ascii="宋体" w:hAnsi="宋体" w:cs="宋体"/>
                <w:bCs/>
                <w:color w:val="auto"/>
                <w:szCs w:val="21"/>
              </w:rPr>
              <w:t>开户</w:t>
            </w:r>
            <w:r>
              <w:rPr>
                <w:rFonts w:ascii="宋体" w:hAnsi="宋体" w:cs="宋体"/>
                <w:color w:val="auto"/>
                <w:szCs w:val="21"/>
              </w:rPr>
              <w:t>银行：中国农业银行股份有限公司广州天府支行</w:t>
            </w:r>
          </w:p>
          <w:p w14:paraId="54C97729">
            <w:pPr>
              <w:spacing w:line="276" w:lineRule="auto"/>
              <w:rPr>
                <w:rFonts w:ascii="宋体" w:hAnsi="宋体" w:cs="宋体"/>
                <w:color w:val="auto"/>
                <w:szCs w:val="21"/>
              </w:rPr>
            </w:pPr>
            <w:r>
              <w:rPr>
                <w:rFonts w:ascii="宋体" w:hAnsi="宋体" w:cs="宋体"/>
                <w:color w:val="auto"/>
                <w:szCs w:val="21"/>
              </w:rPr>
              <w:t>银行账号：4405 7701 0400 17100（交纳招标代理服务费账号）</w:t>
            </w:r>
          </w:p>
          <w:p w14:paraId="5EBBD5C0">
            <w:pPr>
              <w:spacing w:line="276" w:lineRule="auto"/>
              <w:rPr>
                <w:rFonts w:ascii="宋体" w:hAnsi="宋体" w:cs="宋体"/>
                <w:color w:val="auto"/>
                <w:szCs w:val="21"/>
              </w:rPr>
            </w:pPr>
            <w:r>
              <w:rPr>
                <w:rFonts w:ascii="宋体" w:hAnsi="宋体" w:cs="宋体"/>
                <w:color w:val="auto"/>
                <w:szCs w:val="21"/>
              </w:rPr>
              <w:t>注明项目编号。</w:t>
            </w:r>
          </w:p>
        </w:tc>
      </w:tr>
    </w:tbl>
    <w:p w14:paraId="58CA6791">
      <w:pPr>
        <w:spacing w:line="400" w:lineRule="exact"/>
        <w:ind w:firstLine="422" w:firstLineChars="200"/>
        <w:rPr>
          <w:rFonts w:ascii="宋体" w:hAnsi="宋体" w:cs="宋体"/>
          <w:b/>
          <w:color w:val="auto"/>
          <w:szCs w:val="21"/>
        </w:rPr>
      </w:pPr>
      <w:bookmarkStart w:id="23" w:name="_Toc457998535"/>
      <w:bookmarkStart w:id="24" w:name="_Toc111890779"/>
      <w:bookmarkStart w:id="25" w:name="_Toc475977914"/>
      <w:bookmarkStart w:id="26" w:name="_Toc337541095"/>
      <w:bookmarkStart w:id="27" w:name="_Toc9029"/>
      <w:bookmarkStart w:id="28" w:name="_Toc476235564"/>
      <w:bookmarkStart w:id="29" w:name="_Toc488339866"/>
      <w:r>
        <w:rPr>
          <w:rFonts w:ascii="宋体" w:hAnsi="宋体" w:cs="宋体"/>
          <w:b/>
          <w:color w:val="auto"/>
          <w:szCs w:val="21"/>
        </w:rPr>
        <w:t>供应商必须认真阅读以下内容，以免造成响应失败。</w:t>
      </w:r>
    </w:p>
    <w:p w14:paraId="2F92CDB9">
      <w:pPr>
        <w:pStyle w:val="3"/>
        <w:ind w:firstLine="0"/>
        <w:jc w:val="center"/>
        <w:rPr>
          <w:rFonts w:hAnsi="宋体" w:cs="宋体"/>
          <w:color w:val="auto"/>
          <w:sz w:val="21"/>
          <w:szCs w:val="21"/>
        </w:rPr>
      </w:pPr>
      <w:r>
        <w:rPr>
          <w:rFonts w:hAnsi="宋体" w:cs="宋体"/>
          <w:color w:val="auto"/>
          <w:sz w:val="21"/>
          <w:szCs w:val="21"/>
        </w:rPr>
        <w:br w:type="page"/>
      </w:r>
      <w:bookmarkEnd w:id="23"/>
      <w:bookmarkEnd w:id="24"/>
      <w:bookmarkEnd w:id="25"/>
      <w:bookmarkEnd w:id="26"/>
      <w:bookmarkEnd w:id="27"/>
      <w:bookmarkEnd w:id="28"/>
      <w:bookmarkEnd w:id="29"/>
      <w:bookmarkStart w:id="30" w:name="_Toc22136"/>
      <w:bookmarkStart w:id="31" w:name="_Toc143506652"/>
      <w:bookmarkStart w:id="32" w:name="_Toc3384"/>
      <w:bookmarkStart w:id="33" w:name="_Toc79741549"/>
      <w:bookmarkStart w:id="34" w:name="_Toc10792"/>
      <w:bookmarkStart w:id="35" w:name="_Toc129780347"/>
      <w:bookmarkStart w:id="36" w:name="_Toc23289"/>
      <w:bookmarkStart w:id="37" w:name="_Toc87953655"/>
      <w:bookmarkStart w:id="38" w:name="_Toc29939"/>
      <w:bookmarkStart w:id="39" w:name="_Toc79745395"/>
      <w:bookmarkStart w:id="40" w:name="_Toc25266"/>
      <w:bookmarkStart w:id="41" w:name="_Toc101353625"/>
      <w:bookmarkStart w:id="42" w:name="_Toc21311"/>
      <w:bookmarkStart w:id="43" w:name="_Toc19280"/>
      <w:bookmarkStart w:id="44" w:name="_Toc18653"/>
      <w:bookmarkStart w:id="45" w:name="_Toc87965315"/>
      <w:bookmarkStart w:id="46" w:name="_Toc101722479"/>
      <w:bookmarkStart w:id="47" w:name="_Toc18881"/>
      <w:r>
        <w:rPr>
          <w:rFonts w:hAnsi="宋体" w:cs="宋体"/>
          <w:color w:val="auto"/>
        </w:rPr>
        <w:t>（一）总  则</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AFF396A">
      <w:pPr>
        <w:numPr>
          <w:ilvl w:val="0"/>
          <w:numId w:val="4"/>
        </w:numPr>
        <w:tabs>
          <w:tab w:val="left" w:pos="284"/>
        </w:tabs>
        <w:snapToGrid w:val="0"/>
        <w:spacing w:line="360" w:lineRule="auto"/>
        <w:ind w:hanging="1118"/>
        <w:rPr>
          <w:rFonts w:ascii="宋体" w:hAnsi="宋体" w:cs="宋体"/>
          <w:b/>
          <w:color w:val="auto"/>
          <w:szCs w:val="21"/>
        </w:rPr>
      </w:pPr>
      <w:r>
        <w:rPr>
          <w:rFonts w:ascii="宋体" w:hAnsi="宋体" w:cs="宋体"/>
          <w:b/>
          <w:color w:val="auto"/>
          <w:szCs w:val="21"/>
        </w:rPr>
        <w:t>项目说明</w:t>
      </w:r>
    </w:p>
    <w:p w14:paraId="31620748">
      <w:pPr>
        <w:tabs>
          <w:tab w:val="left" w:pos="567"/>
          <w:tab w:val="left" w:pos="747"/>
          <w:tab w:val="left" w:pos="851"/>
        </w:tabs>
        <w:snapToGrid w:val="0"/>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.1 资金性质、资金来源，详见磋商须知前附表。</w:t>
      </w:r>
    </w:p>
    <w:p w14:paraId="1057AA2D">
      <w:pPr>
        <w:tabs>
          <w:tab w:val="left" w:pos="567"/>
          <w:tab w:val="left" w:pos="747"/>
          <w:tab w:val="left" w:pos="851"/>
        </w:tabs>
        <w:snapToGrid w:val="0"/>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 最高限价，详见磋商须知前附表。</w:t>
      </w:r>
    </w:p>
    <w:p w14:paraId="23B8375D">
      <w:pPr>
        <w:tabs>
          <w:tab w:val="left" w:pos="567"/>
          <w:tab w:val="left" w:pos="747"/>
          <w:tab w:val="left" w:pos="851"/>
        </w:tabs>
        <w:snapToGrid w:val="0"/>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.3 磋商内容（详细内容请参阅磋商文件中的相关内容）</w:t>
      </w:r>
    </w:p>
    <w:p w14:paraId="2FF08B84">
      <w:pPr>
        <w:numPr>
          <w:ilvl w:val="0"/>
          <w:numId w:val="4"/>
        </w:numPr>
        <w:tabs>
          <w:tab w:val="left" w:pos="284"/>
        </w:tabs>
        <w:snapToGrid w:val="0"/>
        <w:spacing w:line="360" w:lineRule="auto"/>
        <w:ind w:hanging="1118"/>
        <w:rPr>
          <w:rFonts w:ascii="宋体" w:hAnsi="宋体" w:cs="宋体"/>
          <w:b/>
          <w:color w:val="auto"/>
          <w:szCs w:val="21"/>
        </w:rPr>
      </w:pPr>
      <w:r>
        <w:rPr>
          <w:rFonts w:ascii="宋体" w:hAnsi="宋体" w:cs="宋体"/>
          <w:b/>
          <w:color w:val="auto"/>
          <w:szCs w:val="21"/>
        </w:rPr>
        <w:t>概念释义</w:t>
      </w:r>
    </w:p>
    <w:p w14:paraId="52616D0F">
      <w:pPr>
        <w:tabs>
          <w:tab w:val="left" w:pos="567"/>
          <w:tab w:val="left" w:pos="747"/>
          <w:tab w:val="left" w:pos="851"/>
        </w:tabs>
        <w:snapToGrid w:val="0"/>
        <w:spacing w:line="360" w:lineRule="auto"/>
        <w:ind w:left="372" w:hanging="371" w:hangingChars="177"/>
        <w:rPr>
          <w:rFonts w:ascii="宋体" w:hAnsi="宋体" w:cs="宋体"/>
          <w:color w:val="auto"/>
          <w:szCs w:val="21"/>
          <w:lang w:eastAsia="zh-TW"/>
        </w:rPr>
      </w:pPr>
      <w:r>
        <w:rPr>
          <w:rFonts w:hint="eastAsia" w:ascii="宋体" w:hAnsi="宋体" w:cs="宋体"/>
          <w:color w:val="auto"/>
          <w:szCs w:val="21"/>
        </w:rPr>
        <w:t>2</w:t>
      </w:r>
      <w:r>
        <w:rPr>
          <w:rFonts w:ascii="宋体" w:hAnsi="宋体" w:cs="宋体"/>
          <w:color w:val="auto"/>
          <w:szCs w:val="21"/>
        </w:rPr>
        <w:t>.1采购人：指依法进行采购的国家机关、事业单位和团体组织。在采购阶段称为采购人，在合同阶段称为甲方或买方。为便于磋商文件及附件直接转化为合同条款，在磋商文件中有时称采购人为买方、甲方或业主</w:t>
      </w:r>
      <w:r>
        <w:rPr>
          <w:rFonts w:hint="eastAsia" w:ascii="宋体" w:hAnsi="宋体" w:cs="宋体"/>
          <w:color w:val="auto"/>
          <w:szCs w:val="21"/>
        </w:rPr>
        <w:t>。</w:t>
      </w:r>
    </w:p>
    <w:p w14:paraId="612FCA47">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.2采购代理机构：依法设立、从事招标代理业务并提供相关服务的社会中介组织-广东为诚招标代理有限公司。</w:t>
      </w:r>
    </w:p>
    <w:p w14:paraId="79378AE3">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.3供应商</w:t>
      </w:r>
      <w:r>
        <w:rPr>
          <w:rFonts w:hint="eastAsia" w:ascii="宋体" w:hAnsi="宋体" w:cs="宋体"/>
          <w:color w:val="auto"/>
          <w:szCs w:val="21"/>
        </w:rPr>
        <w:t>：</w:t>
      </w:r>
      <w:r>
        <w:rPr>
          <w:rFonts w:ascii="宋体" w:hAnsi="宋体" w:cs="宋体"/>
          <w:color w:val="auto"/>
          <w:szCs w:val="21"/>
        </w:rPr>
        <w:t>指参加采购市场的合法供应主体，具体是指向采购人提供货物、工程或者服务的法人、其他组织或者自然人。</w:t>
      </w:r>
    </w:p>
    <w:p w14:paraId="6971012E">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.4招标采购单位：指采购人和采购代理机构。</w:t>
      </w:r>
    </w:p>
    <w:p w14:paraId="6541B567">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.5磋商小组：磋商小组是依法组建的专门负责本次评审工作的临时性机构。</w:t>
      </w:r>
    </w:p>
    <w:p w14:paraId="6060A8C3">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响应供应商</w:t>
      </w:r>
      <w:r>
        <w:rPr>
          <w:rFonts w:ascii="宋体" w:hAnsi="宋体" w:cs="宋体"/>
          <w:color w:val="auto"/>
          <w:szCs w:val="21"/>
        </w:rPr>
        <w:t>：符合资格要求，响应磋商、参加磋商竞争的依法成立的供应商。</w:t>
      </w:r>
    </w:p>
    <w:p w14:paraId="6F558027">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w:t>
      </w:r>
      <w:r>
        <w:rPr>
          <w:rFonts w:hint="eastAsia" w:ascii="宋体" w:hAnsi="宋体" w:cs="宋体"/>
          <w:color w:val="auto"/>
          <w:szCs w:val="21"/>
        </w:rPr>
        <w:t>成交供应商：</w:t>
      </w:r>
      <w:r>
        <w:rPr>
          <w:rFonts w:ascii="宋体" w:hAnsi="宋体" w:cs="宋体"/>
          <w:color w:val="auto"/>
          <w:szCs w:val="21"/>
        </w:rPr>
        <w:t>经合法招、磋商程序评选出来并经采购人确认的获得本项目成交资格的供应商。</w:t>
      </w:r>
    </w:p>
    <w:p w14:paraId="376003B0">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.8货物：供应商按磋商文件及采购合同的规定，须向采购人提供的货物、备件、工具、手册及其它技术资料和材料。</w:t>
      </w:r>
    </w:p>
    <w:p w14:paraId="45393C92">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.9服务：磋商文件规定供应商须承担的服务。</w:t>
      </w:r>
    </w:p>
    <w:p w14:paraId="3C74890A">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0</w:t>
      </w:r>
      <w:r>
        <w:rPr>
          <w:rFonts w:ascii="宋体" w:hAnsi="宋体" w:cs="宋体"/>
          <w:color w:val="auto"/>
          <w:szCs w:val="21"/>
        </w:rPr>
        <w:t>履约保证金：是指采购人为防止</w:t>
      </w:r>
      <w:r>
        <w:rPr>
          <w:rFonts w:hint="eastAsia" w:ascii="宋体" w:hAnsi="宋体" w:cs="宋体"/>
          <w:color w:val="auto"/>
          <w:szCs w:val="21"/>
        </w:rPr>
        <w:t>成交供应商</w:t>
      </w:r>
      <w:r>
        <w:rPr>
          <w:rFonts w:ascii="宋体" w:hAnsi="宋体" w:cs="宋体"/>
          <w:color w:val="auto"/>
          <w:szCs w:val="21"/>
        </w:rPr>
        <w:t>在合同执行过程中违反合同规定或违约，并弥补给采购人造成的经济损失，既不同于定金，也不同于预付款。</w:t>
      </w:r>
    </w:p>
    <w:p w14:paraId="78B6AACC">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1日期：</w:t>
      </w:r>
      <w:r>
        <w:rPr>
          <w:rFonts w:ascii="宋体" w:hAnsi="宋体" w:cs="宋体"/>
          <w:color w:val="auto"/>
          <w:szCs w:val="21"/>
        </w:rPr>
        <w:t>指公历日。</w:t>
      </w:r>
    </w:p>
    <w:p w14:paraId="0A0C9E3A">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w:t>
      </w:r>
      <w:r>
        <w:rPr>
          <w:rFonts w:ascii="宋体" w:hAnsi="宋体" w:cs="宋体"/>
          <w:color w:val="auto"/>
          <w:szCs w:val="21"/>
        </w:rPr>
        <w:t>时间：指北京时间，特殊说明除外。</w:t>
      </w:r>
    </w:p>
    <w:p w14:paraId="77015BC3">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3</w:t>
      </w:r>
      <w:r>
        <w:rPr>
          <w:rFonts w:ascii="宋体" w:hAnsi="宋体" w:cs="宋体"/>
          <w:color w:val="auto"/>
          <w:szCs w:val="21"/>
        </w:rPr>
        <w:t>磋商文件中的标题或题名仅起引导作用，不应视为对磋商文件内容的理解和解释。</w:t>
      </w:r>
    </w:p>
    <w:p w14:paraId="58F37338">
      <w:pPr>
        <w:numPr>
          <w:ilvl w:val="0"/>
          <w:numId w:val="4"/>
        </w:numPr>
        <w:tabs>
          <w:tab w:val="left" w:pos="284"/>
        </w:tabs>
        <w:snapToGrid w:val="0"/>
        <w:spacing w:line="360" w:lineRule="auto"/>
        <w:ind w:hanging="1118"/>
        <w:rPr>
          <w:rFonts w:ascii="宋体" w:hAnsi="宋体" w:cs="宋体"/>
          <w:b/>
          <w:color w:val="auto"/>
          <w:szCs w:val="21"/>
        </w:rPr>
      </w:pPr>
      <w:r>
        <w:rPr>
          <w:rFonts w:ascii="宋体" w:hAnsi="宋体" w:cs="宋体"/>
          <w:b/>
          <w:color w:val="auto"/>
          <w:szCs w:val="21"/>
        </w:rPr>
        <w:t>合格的供应商</w:t>
      </w:r>
    </w:p>
    <w:p w14:paraId="1421D9D0">
      <w:pPr>
        <w:tabs>
          <w:tab w:val="left" w:pos="567"/>
          <w:tab w:val="left" w:pos="747"/>
          <w:tab w:val="left" w:pos="851"/>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w:t>
      </w:r>
      <w:r>
        <w:rPr>
          <w:rFonts w:hint="eastAsia" w:ascii="宋体" w:hAnsi="宋体" w:cs="宋体"/>
          <w:color w:val="auto"/>
          <w:szCs w:val="21"/>
        </w:rPr>
        <w:t>响应供应商</w:t>
      </w:r>
      <w:r>
        <w:rPr>
          <w:rFonts w:ascii="宋体" w:hAnsi="宋体" w:cs="宋体"/>
          <w:color w:val="auto"/>
          <w:szCs w:val="21"/>
        </w:rPr>
        <w:t>是响应招标、已在采购人或采购代理机构处领购磋商文件并参加报价竞争的法人或其他组织。</w:t>
      </w:r>
    </w:p>
    <w:p w14:paraId="1D8646E4">
      <w:pPr>
        <w:tabs>
          <w:tab w:val="left" w:pos="426"/>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.2任何未在采购人或采购代理机构处领购磋商文件的法人或其他组织均不得参加报价</w:t>
      </w:r>
      <w:r>
        <w:rPr>
          <w:rFonts w:hint="eastAsia" w:ascii="宋体" w:hAnsi="宋体" w:cs="宋体"/>
          <w:color w:val="auto"/>
          <w:szCs w:val="21"/>
        </w:rPr>
        <w:t>。</w:t>
      </w:r>
    </w:p>
    <w:p w14:paraId="3B5B8E5B">
      <w:pPr>
        <w:tabs>
          <w:tab w:val="left" w:pos="426"/>
        </w:tabs>
        <w:snapToGrid w:val="0"/>
        <w:spacing w:line="360" w:lineRule="auto"/>
        <w:ind w:left="372" w:hanging="371" w:hangingChars="177"/>
        <w:rPr>
          <w:rFonts w:ascii="宋体" w:hAnsi="宋体" w:cs="宋体"/>
          <w:b/>
          <w:bCs/>
          <w:color w:val="auto"/>
          <w:szCs w:val="21"/>
          <w:lang w:eastAsia="zh-TW"/>
        </w:rPr>
      </w:pPr>
      <w:r>
        <w:rPr>
          <w:rFonts w:hint="eastAsia" w:ascii="宋体" w:hAnsi="宋体" w:cs="宋体"/>
          <w:color w:val="auto"/>
          <w:szCs w:val="21"/>
        </w:rPr>
        <w:t>3</w:t>
      </w:r>
      <w:r>
        <w:rPr>
          <w:rFonts w:ascii="宋体" w:hAnsi="宋体" w:cs="宋体"/>
          <w:color w:val="auto"/>
          <w:szCs w:val="21"/>
        </w:rPr>
        <w:t>.3除非另有规定，凡是来自中华人民共和国的法人或其他组织，符合</w:t>
      </w:r>
      <w:r>
        <w:rPr>
          <w:rFonts w:ascii="宋体" w:hAnsi="宋体" w:cs="宋体"/>
          <w:b/>
          <w:bCs/>
          <w:color w:val="auto"/>
          <w:szCs w:val="21"/>
        </w:rPr>
        <w:t>竞争性磋商公告中“申请人的资格要求”部分</w:t>
      </w:r>
      <w:r>
        <w:rPr>
          <w:rFonts w:hint="eastAsia" w:ascii="宋体" w:hAnsi="宋体" w:cs="宋体"/>
          <w:b/>
          <w:bCs/>
          <w:color w:val="auto"/>
          <w:szCs w:val="21"/>
        </w:rPr>
        <w:t>规定的条件均可报价</w:t>
      </w:r>
      <w:r>
        <w:rPr>
          <w:rFonts w:ascii="宋体" w:hAnsi="宋体" w:cs="宋体"/>
          <w:b/>
          <w:bCs/>
          <w:color w:val="auto"/>
          <w:szCs w:val="21"/>
        </w:rPr>
        <w:t>。</w:t>
      </w:r>
    </w:p>
    <w:p w14:paraId="33988FD9">
      <w:pPr>
        <w:tabs>
          <w:tab w:val="left" w:pos="426"/>
        </w:tabs>
        <w:snapToGrid w:val="0"/>
        <w:spacing w:line="360" w:lineRule="auto"/>
        <w:ind w:left="372" w:hanging="371" w:hangingChars="177"/>
        <w:rPr>
          <w:rFonts w:ascii="宋体" w:hAnsi="宋体" w:cs="宋体"/>
          <w:bCs/>
          <w:color w:val="auto"/>
          <w:szCs w:val="21"/>
          <w:lang w:eastAsia="zh-TW"/>
        </w:rPr>
      </w:pPr>
      <w:r>
        <w:rPr>
          <w:rFonts w:hint="eastAsia" w:ascii="宋体" w:hAnsi="宋体" w:cs="宋体"/>
          <w:bCs/>
          <w:color w:val="auto"/>
          <w:szCs w:val="21"/>
        </w:rPr>
        <w:t>3</w:t>
      </w:r>
      <w:r>
        <w:rPr>
          <w:rFonts w:ascii="宋体" w:hAnsi="宋体" w:cs="宋体"/>
          <w:bCs/>
          <w:color w:val="auto"/>
          <w:szCs w:val="21"/>
        </w:rPr>
        <w:t>.4与采购人存在利害关系可能影响招标公正性的法人或其他组织不得参加报价。</w:t>
      </w:r>
    </w:p>
    <w:p w14:paraId="56C4BBC5">
      <w:pPr>
        <w:tabs>
          <w:tab w:val="left" w:pos="426"/>
        </w:tabs>
        <w:snapToGrid w:val="0"/>
        <w:spacing w:line="360" w:lineRule="auto"/>
        <w:ind w:left="372" w:hanging="371" w:hangingChars="177"/>
        <w:rPr>
          <w:rFonts w:ascii="宋体" w:hAnsi="宋体" w:cs="宋体"/>
          <w:bCs/>
          <w:color w:val="auto"/>
          <w:szCs w:val="21"/>
          <w:lang w:eastAsia="zh-TW"/>
        </w:rPr>
      </w:pPr>
      <w:r>
        <w:rPr>
          <w:rFonts w:hint="eastAsia" w:ascii="宋体" w:hAnsi="宋体" w:cs="宋体"/>
          <w:bCs/>
          <w:color w:val="auto"/>
          <w:szCs w:val="21"/>
        </w:rPr>
        <w:t>3</w:t>
      </w:r>
      <w:r>
        <w:rPr>
          <w:rFonts w:ascii="宋体" w:hAnsi="宋体" w:cs="宋体"/>
          <w:bCs/>
          <w:color w:val="auto"/>
          <w:szCs w:val="21"/>
        </w:rPr>
        <w:t>.5单位负责人为同一人或者存在控股、管理关系的不同单位，不得参加同一采购项目（或包组）的报价，共同组成联合体报价的除外。</w:t>
      </w:r>
    </w:p>
    <w:p w14:paraId="558D7929">
      <w:pPr>
        <w:tabs>
          <w:tab w:val="left" w:pos="426"/>
        </w:tabs>
        <w:snapToGrid w:val="0"/>
        <w:spacing w:line="360" w:lineRule="auto"/>
        <w:ind w:left="372" w:hanging="371" w:hangingChars="177"/>
        <w:rPr>
          <w:rFonts w:ascii="宋体" w:hAnsi="宋体" w:cs="宋体"/>
          <w:bCs/>
          <w:color w:val="auto"/>
          <w:szCs w:val="21"/>
        </w:rPr>
      </w:pPr>
      <w:r>
        <w:rPr>
          <w:rFonts w:hint="eastAsia" w:ascii="宋体" w:hAnsi="宋体" w:cs="宋体"/>
          <w:bCs/>
          <w:color w:val="auto"/>
          <w:szCs w:val="21"/>
        </w:rPr>
        <w:t>3</w:t>
      </w:r>
      <w:r>
        <w:rPr>
          <w:rFonts w:ascii="宋体" w:hAnsi="宋体" w:cs="宋体"/>
          <w:bCs/>
          <w:color w:val="auto"/>
          <w:szCs w:val="21"/>
        </w:rPr>
        <w:t>.6</w:t>
      </w:r>
      <w:r>
        <w:rPr>
          <w:rFonts w:ascii="宋体" w:hAnsi="宋体" w:cs="宋体"/>
          <w:bCs/>
          <w:color w:val="auto"/>
          <w:szCs w:val="21"/>
        </w:rPr>
        <w:tab/>
      </w:r>
      <w:r>
        <w:rPr>
          <w:rFonts w:ascii="宋体" w:hAnsi="宋体" w:cs="宋体"/>
          <w:bCs/>
          <w:color w:val="auto"/>
          <w:szCs w:val="21"/>
        </w:rPr>
        <w:t>联合体各方不得在同一招标项目（或包组）中以</w:t>
      </w:r>
      <w:bookmarkStart w:id="335" w:name="_GoBack"/>
      <w:bookmarkEnd w:id="335"/>
      <w:r>
        <w:rPr>
          <w:rFonts w:hint="eastAsia" w:ascii="宋体" w:hAnsi="宋体" w:cs="宋体"/>
          <w:bCs/>
          <w:color w:val="auto"/>
          <w:szCs w:val="21"/>
          <w:lang w:eastAsia="zh-CN"/>
        </w:rPr>
        <w:t>自己</w:t>
      </w:r>
      <w:r>
        <w:rPr>
          <w:rFonts w:ascii="宋体" w:hAnsi="宋体" w:cs="宋体"/>
          <w:bCs/>
          <w:color w:val="auto"/>
          <w:szCs w:val="21"/>
        </w:rPr>
        <w:t>名义单独报价或者参加其他联合体报价。</w:t>
      </w:r>
    </w:p>
    <w:p w14:paraId="51251552">
      <w:pPr>
        <w:tabs>
          <w:tab w:val="left" w:pos="426"/>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.7只有在法律上和财务上独立、合法运作并独立于采购人和采购代理机构的供应商才能参加报价。</w:t>
      </w:r>
    </w:p>
    <w:p w14:paraId="4C9373BB">
      <w:pPr>
        <w:tabs>
          <w:tab w:val="left" w:pos="426"/>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.8 磋商文件要求的其他条款。</w:t>
      </w:r>
    </w:p>
    <w:p w14:paraId="5E7A6B91">
      <w:pPr>
        <w:tabs>
          <w:tab w:val="left" w:pos="567"/>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.9供应商必须由法定代表人（负责人）或其委托代理人（具有法定代表人签署的授权书）</w:t>
      </w:r>
      <w:r>
        <w:rPr>
          <w:rFonts w:ascii="宋体" w:hAnsi="宋体" w:cs="宋体"/>
          <w:b/>
          <w:bCs/>
          <w:color w:val="auto"/>
        </w:rPr>
        <w:t>携带身份证原件或其它法定可证明其个人身份证明的原件证件照（如车辆驾驶证）</w:t>
      </w:r>
      <w:r>
        <w:rPr>
          <w:rFonts w:ascii="宋体" w:hAnsi="宋体" w:cs="宋体"/>
          <w:color w:val="auto"/>
          <w:szCs w:val="21"/>
        </w:rPr>
        <w:t>参加磋商，在评审过程中随时接受磋商小组就</w:t>
      </w:r>
      <w:r>
        <w:rPr>
          <w:rFonts w:hint="eastAsia" w:ascii="宋体" w:hAnsi="宋体" w:cs="宋体"/>
          <w:color w:val="auto"/>
          <w:szCs w:val="21"/>
        </w:rPr>
        <w:t>响应文件</w:t>
      </w:r>
      <w:r>
        <w:rPr>
          <w:rFonts w:ascii="宋体" w:hAnsi="宋体" w:cs="宋体"/>
          <w:color w:val="auto"/>
          <w:szCs w:val="21"/>
        </w:rPr>
        <w:t>的内容提出的质询，并予以解答。</w:t>
      </w:r>
    </w:p>
    <w:p w14:paraId="42185FE3">
      <w:pPr>
        <w:numPr>
          <w:ilvl w:val="0"/>
          <w:numId w:val="4"/>
        </w:numPr>
        <w:tabs>
          <w:tab w:val="left" w:pos="284"/>
        </w:tabs>
        <w:snapToGrid w:val="0"/>
        <w:spacing w:line="360" w:lineRule="auto"/>
        <w:ind w:hanging="1118"/>
        <w:rPr>
          <w:rFonts w:ascii="宋体" w:hAnsi="宋体" w:cs="宋体"/>
          <w:b/>
          <w:color w:val="auto"/>
          <w:szCs w:val="21"/>
        </w:rPr>
      </w:pPr>
      <w:r>
        <w:rPr>
          <w:rFonts w:ascii="宋体" w:hAnsi="宋体" w:cs="宋体"/>
          <w:b/>
          <w:color w:val="auto"/>
          <w:szCs w:val="21"/>
        </w:rPr>
        <w:t>合格的货物和服务</w:t>
      </w:r>
    </w:p>
    <w:p w14:paraId="49F9FDB2">
      <w:pPr>
        <w:tabs>
          <w:tab w:val="left" w:pos="567"/>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供应商提供的所有货物和服务，必须是合法生产、合法来源，符合国家有关标准要求，并满足磋商文件规定的规格、参数、质量、价格、有效期、售后服务及供应商须承担的运输、安装、技术支持、培训和磋商文件规定的其它伴随服务等要求</w:t>
      </w:r>
      <w:r>
        <w:rPr>
          <w:rFonts w:hint="eastAsia" w:ascii="宋体" w:hAnsi="宋体" w:cs="宋体"/>
          <w:color w:val="auto"/>
          <w:szCs w:val="21"/>
        </w:rPr>
        <w:t>。</w:t>
      </w:r>
    </w:p>
    <w:p w14:paraId="11FE6B02">
      <w:pPr>
        <w:tabs>
          <w:tab w:val="left" w:pos="567"/>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.2采购人有权拒绝接受任何不合格的货物和服务，由此产生的费用及相关后果均由供应商自行承担。</w:t>
      </w:r>
    </w:p>
    <w:p w14:paraId="4A3CD7DB">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.3政府采购若需采购进口产品的，依据《政府采购进口产品管理办法》执行。</w:t>
      </w:r>
    </w:p>
    <w:p w14:paraId="50A4C59D">
      <w:pPr>
        <w:tabs>
          <w:tab w:val="left" w:pos="567"/>
        </w:tabs>
        <w:snapToGrid w:val="0"/>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.4进口产品是指通过中国海关报关验放进入中国境内且产自关境外的产品。</w:t>
      </w:r>
    </w:p>
    <w:p w14:paraId="6CD2C860">
      <w:pPr>
        <w:numPr>
          <w:ilvl w:val="0"/>
          <w:numId w:val="4"/>
        </w:numPr>
        <w:tabs>
          <w:tab w:val="left" w:pos="284"/>
        </w:tabs>
        <w:snapToGrid w:val="0"/>
        <w:spacing w:line="360" w:lineRule="auto"/>
        <w:ind w:left="284" w:hanging="284"/>
        <w:rPr>
          <w:rFonts w:ascii="宋体" w:hAnsi="宋体" w:cs="宋体"/>
          <w:b/>
          <w:color w:val="auto"/>
          <w:szCs w:val="21"/>
          <w:lang w:eastAsia="zh-TW"/>
        </w:rPr>
      </w:pPr>
      <w:r>
        <w:rPr>
          <w:rFonts w:ascii="宋体" w:hAnsi="宋体" w:cs="宋体"/>
          <w:b/>
          <w:bCs/>
          <w:color w:val="auto"/>
          <w:szCs w:val="21"/>
        </w:rPr>
        <w:t>本磋商文件及磋商过程中发生的澄清、修改和补充文件，凡标有“★”的地方，</w:t>
      </w:r>
      <w:r>
        <w:rPr>
          <w:rFonts w:hint="eastAsia" w:ascii="宋体" w:hAnsi="宋体" w:cs="宋体"/>
          <w:b/>
          <w:bCs/>
          <w:color w:val="auto"/>
          <w:szCs w:val="21"/>
        </w:rPr>
        <w:t>响应供应商</w:t>
      </w:r>
      <w:r>
        <w:rPr>
          <w:rFonts w:ascii="宋体" w:hAnsi="宋体" w:cs="宋体"/>
          <w:b/>
          <w:bCs/>
          <w:color w:val="auto"/>
          <w:szCs w:val="21"/>
        </w:rPr>
        <w:t>要特别加以注意，必须对此回答并完全满足这些要求。否则若有一项带“★”的指标未响应或不满足，将对其</w:t>
      </w:r>
      <w:r>
        <w:rPr>
          <w:rFonts w:hint="eastAsia" w:ascii="宋体" w:hAnsi="宋体" w:cs="宋体"/>
          <w:b/>
          <w:bCs/>
          <w:color w:val="auto"/>
          <w:szCs w:val="21"/>
        </w:rPr>
        <w:t>响应文件</w:t>
      </w:r>
      <w:r>
        <w:rPr>
          <w:rFonts w:ascii="宋体" w:hAnsi="宋体" w:cs="宋体"/>
          <w:b/>
          <w:bCs/>
          <w:color w:val="auto"/>
          <w:szCs w:val="21"/>
        </w:rPr>
        <w:t>作无效处理。</w:t>
      </w:r>
    </w:p>
    <w:p w14:paraId="042E6BA7">
      <w:pPr>
        <w:numPr>
          <w:ilvl w:val="0"/>
          <w:numId w:val="4"/>
        </w:numPr>
        <w:tabs>
          <w:tab w:val="left" w:pos="284"/>
        </w:tabs>
        <w:snapToGrid w:val="0"/>
        <w:spacing w:line="360" w:lineRule="auto"/>
        <w:ind w:hanging="1118"/>
        <w:rPr>
          <w:rFonts w:ascii="宋体" w:hAnsi="宋体" w:cs="宋体"/>
          <w:b/>
          <w:color w:val="auto"/>
          <w:szCs w:val="21"/>
        </w:rPr>
      </w:pPr>
      <w:r>
        <w:rPr>
          <w:rFonts w:ascii="宋体" w:hAnsi="宋体" w:cs="宋体"/>
          <w:b/>
          <w:color w:val="auto"/>
          <w:szCs w:val="21"/>
        </w:rPr>
        <w:t>关于分公司磋商</w:t>
      </w:r>
    </w:p>
    <w:p w14:paraId="559DAB14">
      <w:pPr>
        <w:pStyle w:val="14"/>
        <w:ind w:left="567" w:leftChars="270"/>
        <w:rPr>
          <w:rFonts w:ascii="宋体" w:hAnsi="宋体" w:cs="宋体"/>
          <w:color w:val="auto"/>
          <w:szCs w:val="21"/>
        </w:rPr>
      </w:pPr>
      <w:r>
        <w:rPr>
          <w:rFonts w:ascii="宋体" w:hAnsi="宋体" w:cs="宋体"/>
          <w:color w:val="auto"/>
          <w:szCs w:val="21"/>
        </w:rPr>
        <w:t>分公司磋商的，需提供具有法人资格的总公司的营业执照副本复印件及授权书</w:t>
      </w:r>
      <w:r>
        <w:rPr>
          <w:rFonts w:hint="eastAsia" w:ascii="宋体" w:hAnsi="宋体" w:cs="宋体"/>
          <w:color w:val="auto"/>
          <w:szCs w:val="21"/>
        </w:rPr>
        <w:t>。</w:t>
      </w:r>
      <w:r>
        <w:rPr>
          <w:rFonts w:ascii="宋体" w:hAnsi="宋体" w:cs="宋体"/>
          <w:color w:val="auto"/>
          <w:szCs w:val="21"/>
        </w:rPr>
        <w:t>总公司可就本项目或此类项目在一定范围或时间内出具唯一的授权书</w:t>
      </w:r>
      <w:r>
        <w:rPr>
          <w:rFonts w:hint="eastAsia" w:ascii="宋体" w:hAnsi="宋体" w:cs="宋体"/>
          <w:color w:val="auto"/>
          <w:szCs w:val="21"/>
        </w:rPr>
        <w:t>。</w:t>
      </w:r>
      <w:r>
        <w:rPr>
          <w:rFonts w:ascii="宋体" w:hAnsi="宋体" w:cs="宋体"/>
          <w:color w:val="auto"/>
          <w:szCs w:val="21"/>
        </w:rPr>
        <w:t>已由总公司授权的，总公司取得的相关资质证书对分公司有效，法律法规或者行业另有规定的</w:t>
      </w:r>
      <w:r>
        <w:rPr>
          <w:rFonts w:hint="eastAsia" w:ascii="宋体" w:hAnsi="宋体" w:cs="宋体"/>
          <w:color w:val="auto"/>
          <w:szCs w:val="21"/>
        </w:rPr>
        <w:t>除外。</w:t>
      </w:r>
    </w:p>
    <w:p w14:paraId="5FAFBBE1">
      <w:pPr>
        <w:numPr>
          <w:ilvl w:val="0"/>
          <w:numId w:val="4"/>
        </w:numPr>
        <w:tabs>
          <w:tab w:val="left" w:pos="284"/>
        </w:tabs>
        <w:snapToGrid w:val="0"/>
        <w:spacing w:line="360" w:lineRule="auto"/>
        <w:ind w:hanging="1118"/>
        <w:rPr>
          <w:rFonts w:ascii="宋体" w:hAnsi="宋体" w:cs="宋体"/>
          <w:b/>
          <w:color w:val="auto"/>
          <w:szCs w:val="21"/>
        </w:rPr>
      </w:pPr>
      <w:bookmarkStart w:id="48" w:name="_Toc307881272"/>
      <w:bookmarkStart w:id="49" w:name="_Toc357161069"/>
      <w:bookmarkStart w:id="50" w:name="_Toc325537971"/>
      <w:r>
        <w:rPr>
          <w:rFonts w:ascii="宋体" w:hAnsi="宋体" w:cs="宋体"/>
          <w:b/>
          <w:color w:val="auto"/>
          <w:szCs w:val="21"/>
        </w:rPr>
        <w:t>关于联合体磋商</w:t>
      </w:r>
    </w:p>
    <w:p w14:paraId="61A8CAFD">
      <w:pPr>
        <w:snapToGrid w:val="0"/>
        <w:spacing w:line="360" w:lineRule="auto"/>
        <w:ind w:firstLine="420" w:firstLineChars="200"/>
        <w:rPr>
          <w:rFonts w:ascii="宋体" w:hAnsi="宋体" w:cs="宋体"/>
          <w:color w:val="auto"/>
          <w:szCs w:val="21"/>
        </w:rPr>
      </w:pPr>
      <w:r>
        <w:rPr>
          <w:rFonts w:ascii="宋体" w:hAnsi="宋体" w:cs="Tahoma"/>
          <w:color w:val="auto"/>
          <w:szCs w:val="21"/>
        </w:rPr>
        <w:t>本项目不接受联合体投标。</w:t>
      </w:r>
    </w:p>
    <w:p w14:paraId="0CBE8A38">
      <w:pPr>
        <w:numPr>
          <w:ilvl w:val="0"/>
          <w:numId w:val="4"/>
        </w:numPr>
        <w:tabs>
          <w:tab w:val="left" w:pos="284"/>
        </w:tabs>
        <w:snapToGrid w:val="0"/>
        <w:spacing w:line="360" w:lineRule="auto"/>
        <w:ind w:hanging="1118"/>
        <w:rPr>
          <w:rFonts w:ascii="宋体" w:hAnsi="宋体" w:cs="宋体"/>
          <w:b/>
          <w:color w:val="auto"/>
          <w:szCs w:val="21"/>
        </w:rPr>
      </w:pPr>
      <w:r>
        <w:rPr>
          <w:rFonts w:ascii="宋体" w:hAnsi="宋体" w:cs="宋体"/>
          <w:b/>
          <w:color w:val="auto"/>
          <w:szCs w:val="21"/>
        </w:rPr>
        <w:t>关于关联企业</w:t>
      </w:r>
    </w:p>
    <w:p w14:paraId="2DB45D37">
      <w:pPr>
        <w:tabs>
          <w:tab w:val="left" w:pos="567"/>
        </w:tabs>
        <w:snapToGrid w:val="0"/>
        <w:spacing w:line="360" w:lineRule="auto"/>
        <w:ind w:left="372" w:hanging="371" w:hangingChars="177"/>
        <w:rPr>
          <w:rFonts w:ascii="宋体" w:hAnsi="宋体" w:cs="宋体"/>
          <w:color w:val="auto"/>
          <w:szCs w:val="21"/>
          <w:lang w:eastAsia="zh-TW"/>
        </w:rPr>
      </w:pPr>
      <w:r>
        <w:rPr>
          <w:rFonts w:hint="eastAsia" w:ascii="宋体" w:hAnsi="宋体" w:cs="宋体"/>
          <w:color w:val="auto"/>
          <w:szCs w:val="21"/>
        </w:rPr>
        <w:t>8</w:t>
      </w:r>
      <w:r>
        <w:rPr>
          <w:rFonts w:ascii="宋体" w:hAnsi="宋体" w:cs="宋体"/>
          <w:color w:val="auto"/>
          <w:szCs w:val="21"/>
        </w:rPr>
        <w:t>.1单位负责人为同一人或者存在直接控股、管理关系的不同供应商，不得参加同一包组磋商或者未划分包组的同一采购项目的采购活动。如同时参加，评审时均作无效响应处理。</w:t>
      </w:r>
    </w:p>
    <w:p w14:paraId="6C93E4DE">
      <w:pPr>
        <w:tabs>
          <w:tab w:val="left" w:pos="567"/>
        </w:tabs>
        <w:snapToGrid w:val="0"/>
        <w:spacing w:line="360" w:lineRule="auto"/>
        <w:ind w:left="372" w:hanging="371" w:hangingChars="177"/>
        <w:rPr>
          <w:rFonts w:ascii="宋体" w:hAnsi="宋体" w:cs="宋体"/>
          <w:color w:val="auto"/>
          <w:szCs w:val="21"/>
          <w:lang w:eastAsia="zh-TW"/>
        </w:rPr>
      </w:pPr>
      <w:r>
        <w:rPr>
          <w:rFonts w:hint="eastAsia" w:ascii="宋体" w:hAnsi="宋体" w:cs="宋体"/>
          <w:color w:val="auto"/>
          <w:szCs w:val="21"/>
        </w:rPr>
        <w:t>8</w:t>
      </w:r>
      <w:r>
        <w:rPr>
          <w:rFonts w:ascii="宋体" w:hAnsi="宋体" w:cs="宋体"/>
          <w:color w:val="auto"/>
          <w:szCs w:val="21"/>
        </w:rPr>
        <w:t>.2彼此存在投资与被投资关系的，不得参与同一采购项目竞争。如同时参加，评审时均作无效响应处理。</w:t>
      </w:r>
    </w:p>
    <w:p w14:paraId="76F58FB8">
      <w:pPr>
        <w:tabs>
          <w:tab w:val="left" w:pos="567"/>
        </w:tabs>
        <w:snapToGrid w:val="0"/>
        <w:spacing w:line="360" w:lineRule="auto"/>
        <w:ind w:left="372" w:hanging="371" w:hangingChars="177"/>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.3彼此的经营者、董事会（或同类管理机构）成员属于直系亲属或配偶关系的，不得参与同一采购项目竞争。如同时参加，评审时均作无效响应处理。</w:t>
      </w:r>
    </w:p>
    <w:p w14:paraId="009BA51E">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关于提供前期服务的供应商</w:t>
      </w:r>
    </w:p>
    <w:p w14:paraId="0832B750">
      <w:pPr>
        <w:tabs>
          <w:tab w:val="left" w:pos="567"/>
        </w:tabs>
        <w:snapToGrid w:val="0"/>
        <w:spacing w:line="360" w:lineRule="auto"/>
        <w:ind w:left="567" w:leftChars="270"/>
        <w:rPr>
          <w:rFonts w:ascii="宋体" w:hAnsi="宋体" w:cs="宋体"/>
          <w:color w:val="auto"/>
          <w:szCs w:val="21"/>
        </w:rPr>
      </w:pPr>
      <w:r>
        <w:rPr>
          <w:rFonts w:ascii="宋体" w:hAnsi="宋体" w:cs="宋体"/>
          <w:color w:val="auto"/>
          <w:szCs w:val="21"/>
        </w:rPr>
        <w:t>为采购项目提供整体设计、规范编制或者项目管理、监理、检测等服务的供应商，不得再参加该采购项目的其他采购活动。</w:t>
      </w:r>
    </w:p>
    <w:p w14:paraId="11987C99">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参考的</w:t>
      </w:r>
      <w:r>
        <w:rPr>
          <w:rFonts w:ascii="宋体" w:hAnsi="宋体" w:cs="宋体"/>
          <w:b/>
          <w:color w:val="auto"/>
          <w:szCs w:val="21"/>
        </w:rPr>
        <w:t>政府采购政策</w:t>
      </w:r>
    </w:p>
    <w:p w14:paraId="20054E3F">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10</w:t>
      </w:r>
      <w:r>
        <w:rPr>
          <w:rFonts w:ascii="宋体" w:hAnsi="宋体" w:cs="宋体"/>
          <w:color w:val="auto"/>
          <w:szCs w:val="21"/>
        </w:rPr>
        <w:t>.1中小微企业报价是指符合《中小企业划型标准规定》的供应商，通过报价提供本企业制造的货物、承担的工程或者服务，或者提供其他中小微企业制造的货物。本项所指货物不包括使用大型企业注册商标的货物。中小微企业报价应提供《中小企业声明函》。</w:t>
      </w:r>
    </w:p>
    <w:p w14:paraId="0939A6E4">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1</w:t>
      </w:r>
      <w:r>
        <w:rPr>
          <w:rFonts w:hint="eastAsia" w:ascii="宋体" w:hAnsi="宋体" w:cs="宋体"/>
          <w:color w:val="auto"/>
          <w:szCs w:val="21"/>
        </w:rPr>
        <w:t>0</w:t>
      </w:r>
      <w:r>
        <w:rPr>
          <w:rFonts w:ascii="宋体" w:hAnsi="宋体" w:cs="宋体"/>
          <w:color w:val="auto"/>
          <w:szCs w:val="21"/>
        </w:rPr>
        <w:t>.2根据财库〔2014</w:t>
      </w:r>
      <w:r>
        <w:rPr>
          <w:rFonts w:hint="eastAsia" w:ascii="宋体" w:hAnsi="宋体" w:cs="宋体"/>
          <w:color w:val="auto"/>
          <w:szCs w:val="21"/>
        </w:rPr>
        <w:t>〕</w:t>
      </w:r>
      <w:r>
        <w:rPr>
          <w:rFonts w:ascii="宋体" w:hAnsi="宋体" w:cs="宋体"/>
          <w:color w:val="auto"/>
          <w:szCs w:val="21"/>
        </w:rPr>
        <w:t>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报价时，提供由省级以上监狱管理局、戒毒管理局(含新疆生产建设兵团)出具的属于监狱企业的证明文件。</w:t>
      </w:r>
    </w:p>
    <w:p w14:paraId="36DEC9FA">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1</w:t>
      </w:r>
      <w:r>
        <w:rPr>
          <w:rFonts w:hint="eastAsia" w:ascii="宋体" w:hAnsi="宋体" w:cs="宋体"/>
          <w:color w:val="auto"/>
          <w:szCs w:val="21"/>
        </w:rPr>
        <w:t>0</w:t>
      </w:r>
      <w:r>
        <w:rPr>
          <w:rFonts w:ascii="宋体" w:hAnsi="宋体" w:cs="宋体"/>
          <w:color w:val="auto"/>
          <w:szCs w:val="21"/>
        </w:rPr>
        <w:t>.3根据财库〔2017</w:t>
      </w:r>
      <w:r>
        <w:rPr>
          <w:rFonts w:hint="eastAsia" w:ascii="宋体" w:hAnsi="宋体" w:cs="宋体"/>
          <w:color w:val="auto"/>
          <w:szCs w:val="21"/>
        </w:rPr>
        <w:t>〕</w:t>
      </w:r>
      <w:r>
        <w:rPr>
          <w:rFonts w:ascii="宋体" w:hAnsi="宋体" w:cs="宋体"/>
          <w:color w:val="auto"/>
          <w:szCs w:val="21"/>
        </w:rPr>
        <w:t xml:space="preserve">141号《财政部 </w:t>
      </w:r>
      <w:r>
        <w:rPr>
          <w:rFonts w:hint="eastAsia" w:ascii="宋体" w:hAnsi="宋体" w:cs="宋体"/>
          <w:color w:val="auto"/>
          <w:szCs w:val="21"/>
        </w:rPr>
        <w:t>民政部</w:t>
      </w:r>
      <w:r>
        <w:rPr>
          <w:rFonts w:ascii="宋体" w:hAnsi="宋体" w:cs="宋体"/>
          <w:color w:val="auto"/>
          <w:szCs w:val="21"/>
        </w:rPr>
        <w:t xml:space="preserve"> 中国残疾人联合会关于促进残疾人就业政府采购政策的通知》，在政府采购活动中，残疾人福利性单位视同小型、微型企业，享受政府采购支持政策的残疾人福利性单位应当同时满足《财政部 </w:t>
      </w:r>
      <w:r>
        <w:rPr>
          <w:rFonts w:hint="eastAsia" w:ascii="宋体" w:hAnsi="宋体" w:cs="宋体"/>
          <w:color w:val="auto"/>
          <w:szCs w:val="21"/>
        </w:rPr>
        <w:t>民政部</w:t>
      </w:r>
      <w:r>
        <w:rPr>
          <w:rFonts w:ascii="宋体" w:hAnsi="宋体" w:cs="宋体"/>
          <w:color w:val="auto"/>
          <w:szCs w:val="21"/>
        </w:rP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bookmarkEnd w:id="48"/>
    <w:bookmarkEnd w:id="49"/>
    <w:bookmarkEnd w:id="50"/>
    <w:p w14:paraId="289C5F26">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0</w:t>
      </w:r>
      <w:r>
        <w:rPr>
          <w:rFonts w:ascii="宋体" w:hAnsi="宋体" w:cs="宋体"/>
          <w:color w:val="auto"/>
          <w:szCs w:val="21"/>
        </w:rPr>
        <w:t>.4</w:t>
      </w:r>
      <w:r>
        <w:rPr>
          <w:rFonts w:hint="eastAsia" w:ascii="宋体" w:hAnsi="宋体" w:cs="宋体"/>
          <w:color w:val="auto"/>
          <w:szCs w:val="21"/>
        </w:rPr>
        <w:t>响应供应商</w:t>
      </w:r>
      <w:r>
        <w:rPr>
          <w:rFonts w:ascii="宋体" w:hAnsi="宋体" w:cs="宋体"/>
          <w:color w:val="auto"/>
          <w:szCs w:val="21"/>
        </w:rPr>
        <w:t>同时为小型、微型企业、监狱企业、残疾人福利性单位任两种或以上情况的，评审中只享受一次价格扣除，不重复进行价格扣除。</w:t>
      </w:r>
    </w:p>
    <w:p w14:paraId="588CC4CA">
      <w:pPr>
        <w:numPr>
          <w:ilvl w:val="0"/>
          <w:numId w:val="4"/>
        </w:numPr>
        <w:tabs>
          <w:tab w:val="left" w:pos="284"/>
          <w:tab w:val="left" w:pos="426"/>
        </w:tabs>
        <w:snapToGrid w:val="0"/>
        <w:spacing w:line="360" w:lineRule="auto"/>
        <w:ind w:hanging="1118"/>
        <w:rPr>
          <w:rFonts w:ascii="宋体" w:hAnsi="宋体" w:cs="宋体"/>
          <w:b/>
          <w:color w:val="auto"/>
          <w:szCs w:val="21"/>
        </w:rPr>
      </w:pPr>
      <w:bookmarkStart w:id="51" w:name="_Toc111890780"/>
      <w:r>
        <w:rPr>
          <w:rFonts w:ascii="宋体" w:hAnsi="宋体" w:cs="宋体"/>
          <w:b/>
          <w:color w:val="auto"/>
          <w:szCs w:val="21"/>
        </w:rPr>
        <w:t>磋商文件的解释权</w:t>
      </w:r>
    </w:p>
    <w:p w14:paraId="6A2392B8">
      <w:pPr>
        <w:snapToGrid w:val="0"/>
        <w:spacing w:line="360" w:lineRule="auto"/>
        <w:ind w:left="426"/>
        <w:rPr>
          <w:rFonts w:ascii="宋体" w:hAnsi="宋体" w:cs="宋体"/>
          <w:b/>
          <w:color w:val="auto"/>
          <w:kern w:val="0"/>
          <w:szCs w:val="21"/>
        </w:rPr>
      </w:pPr>
      <w:r>
        <w:rPr>
          <w:rFonts w:ascii="宋体" w:hAnsi="宋体" w:cs="宋体"/>
          <w:b/>
          <w:color w:val="auto"/>
          <w:kern w:val="0"/>
          <w:szCs w:val="21"/>
        </w:rPr>
        <w:t>本磋商文件的解释权归“广东为诚招标代理有限公司”所有。</w:t>
      </w:r>
    </w:p>
    <w:bookmarkEnd w:id="51"/>
    <w:p w14:paraId="17BE7319">
      <w:pPr>
        <w:pStyle w:val="3"/>
        <w:ind w:firstLine="0"/>
        <w:jc w:val="center"/>
        <w:rPr>
          <w:rFonts w:hAnsi="宋体" w:cs="宋体"/>
          <w:color w:val="auto"/>
        </w:rPr>
      </w:pPr>
      <w:bookmarkStart w:id="52" w:name="_Toc79741550"/>
      <w:bookmarkStart w:id="53" w:name="_Toc79745396"/>
      <w:bookmarkStart w:id="54" w:name="_Toc101353626"/>
      <w:bookmarkStart w:id="55" w:name="_Toc29242"/>
      <w:bookmarkStart w:id="56" w:name="_Toc2625"/>
      <w:bookmarkStart w:id="57" w:name="_Toc7158"/>
      <w:bookmarkStart w:id="58" w:name="_Toc101722480"/>
      <w:bookmarkStart w:id="59" w:name="_Toc26023"/>
      <w:bookmarkStart w:id="60" w:name="_Toc23621"/>
      <w:bookmarkStart w:id="61" w:name="_Toc13762"/>
      <w:bookmarkStart w:id="62" w:name="_Toc27473"/>
      <w:bookmarkStart w:id="63" w:name="_Toc143506653"/>
      <w:bookmarkStart w:id="64" w:name="_Toc16511"/>
      <w:bookmarkStart w:id="65" w:name="_Toc9441"/>
      <w:bookmarkStart w:id="66" w:name="_Toc26619"/>
      <w:bookmarkStart w:id="67" w:name="_Toc87965316"/>
      <w:bookmarkStart w:id="68" w:name="_Toc129780348"/>
      <w:bookmarkStart w:id="69" w:name="_Toc87953656"/>
      <w:r>
        <w:rPr>
          <w:rFonts w:hint="eastAsia" w:hAnsi="宋体" w:cs="宋体"/>
          <w:color w:val="auto"/>
        </w:rPr>
        <w:t>（二）磋商</w:t>
      </w:r>
      <w:bookmarkEnd w:id="52"/>
      <w:bookmarkEnd w:id="53"/>
      <w:r>
        <w:rPr>
          <w:rFonts w:hint="eastAsia" w:hAnsi="宋体" w:cs="宋体"/>
          <w:color w:val="auto"/>
        </w:rPr>
        <w:t>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29467F5">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磋商文件构成</w:t>
      </w:r>
    </w:p>
    <w:p w14:paraId="0CC7BCB3">
      <w:pPr>
        <w:snapToGrid w:val="0"/>
        <w:spacing w:line="360" w:lineRule="auto"/>
        <w:ind w:left="420" w:leftChars="200" w:firstLine="147" w:firstLineChars="70"/>
        <w:rPr>
          <w:rFonts w:ascii="宋体" w:hAnsi="宋体" w:cs="宋体"/>
          <w:color w:val="auto"/>
          <w:szCs w:val="21"/>
        </w:rPr>
      </w:pPr>
      <w:r>
        <w:rPr>
          <w:rFonts w:ascii="宋体" w:hAnsi="宋体" w:cs="宋体"/>
          <w:color w:val="auto"/>
          <w:szCs w:val="21"/>
        </w:rPr>
        <w:t>要求提供的服务、磋商过程和合同条件在磋商文件中均有说明。</w:t>
      </w:r>
      <w:r>
        <w:rPr>
          <w:rFonts w:hint="eastAsia" w:ascii="宋体" w:hAnsi="宋体" w:cs="宋体"/>
          <w:color w:val="auto"/>
          <w:szCs w:val="21"/>
        </w:rPr>
        <w:t>磋商文件包括：</w:t>
      </w:r>
    </w:p>
    <w:p w14:paraId="33CA4E95">
      <w:pPr>
        <w:numPr>
          <w:ilvl w:val="0"/>
          <w:numId w:val="5"/>
        </w:numPr>
        <w:tabs>
          <w:tab w:val="left" w:pos="1080"/>
        </w:tabs>
        <w:snapToGrid w:val="0"/>
        <w:spacing w:line="360" w:lineRule="auto"/>
        <w:ind w:firstLine="289"/>
        <w:rPr>
          <w:rFonts w:ascii="宋体" w:hAnsi="宋体" w:cs="宋体"/>
          <w:color w:val="auto"/>
          <w:szCs w:val="21"/>
        </w:rPr>
      </w:pPr>
      <w:r>
        <w:rPr>
          <w:rFonts w:ascii="宋体" w:hAnsi="宋体" w:cs="宋体"/>
          <w:color w:val="auto"/>
          <w:szCs w:val="21"/>
        </w:rPr>
        <w:t>竞争性磋商公告；</w:t>
      </w:r>
    </w:p>
    <w:p w14:paraId="018C944E">
      <w:pPr>
        <w:numPr>
          <w:ilvl w:val="0"/>
          <w:numId w:val="5"/>
        </w:numPr>
        <w:tabs>
          <w:tab w:val="left" w:pos="1080"/>
        </w:tabs>
        <w:snapToGrid w:val="0"/>
        <w:spacing w:line="360" w:lineRule="auto"/>
        <w:ind w:firstLine="289"/>
        <w:rPr>
          <w:rFonts w:ascii="宋体" w:hAnsi="宋体" w:cs="宋体"/>
          <w:color w:val="auto"/>
          <w:szCs w:val="21"/>
        </w:rPr>
      </w:pPr>
      <w:r>
        <w:rPr>
          <w:rFonts w:ascii="宋体" w:hAnsi="宋体" w:cs="宋体"/>
          <w:color w:val="auto"/>
          <w:szCs w:val="21"/>
        </w:rPr>
        <w:t>磋商须知；</w:t>
      </w:r>
    </w:p>
    <w:p w14:paraId="11925ECF">
      <w:pPr>
        <w:numPr>
          <w:ilvl w:val="0"/>
          <w:numId w:val="5"/>
        </w:numPr>
        <w:tabs>
          <w:tab w:val="left" w:pos="1080"/>
        </w:tabs>
        <w:snapToGrid w:val="0"/>
        <w:spacing w:line="360" w:lineRule="auto"/>
        <w:ind w:firstLine="289"/>
        <w:rPr>
          <w:rFonts w:ascii="宋体" w:hAnsi="宋体" w:cs="宋体"/>
          <w:color w:val="auto"/>
          <w:szCs w:val="21"/>
        </w:rPr>
      </w:pPr>
      <w:r>
        <w:rPr>
          <w:rFonts w:ascii="宋体" w:hAnsi="宋体" w:cs="宋体"/>
          <w:color w:val="auto"/>
          <w:szCs w:val="21"/>
        </w:rPr>
        <w:t>用户需求书；</w:t>
      </w:r>
    </w:p>
    <w:p w14:paraId="6974F2CE">
      <w:pPr>
        <w:numPr>
          <w:ilvl w:val="0"/>
          <w:numId w:val="5"/>
        </w:numPr>
        <w:tabs>
          <w:tab w:val="left" w:pos="1080"/>
        </w:tabs>
        <w:snapToGrid w:val="0"/>
        <w:spacing w:line="360" w:lineRule="auto"/>
        <w:ind w:firstLine="289"/>
        <w:rPr>
          <w:rFonts w:ascii="宋体" w:hAnsi="宋体" w:cs="宋体"/>
          <w:color w:val="auto"/>
          <w:szCs w:val="21"/>
        </w:rPr>
      </w:pPr>
      <w:r>
        <w:rPr>
          <w:rFonts w:ascii="宋体" w:hAnsi="宋体" w:cs="宋体"/>
          <w:color w:val="auto"/>
          <w:szCs w:val="21"/>
        </w:rPr>
        <w:t>评审办法；</w:t>
      </w:r>
    </w:p>
    <w:p w14:paraId="07840AF9">
      <w:pPr>
        <w:numPr>
          <w:ilvl w:val="0"/>
          <w:numId w:val="5"/>
        </w:numPr>
        <w:tabs>
          <w:tab w:val="left" w:pos="1080"/>
        </w:tabs>
        <w:snapToGrid w:val="0"/>
        <w:spacing w:line="360" w:lineRule="auto"/>
        <w:ind w:firstLine="289"/>
        <w:rPr>
          <w:rFonts w:ascii="宋体" w:hAnsi="宋体" w:cs="宋体"/>
          <w:color w:val="auto"/>
          <w:szCs w:val="21"/>
        </w:rPr>
      </w:pPr>
      <w:r>
        <w:rPr>
          <w:rFonts w:hint="eastAsia" w:ascii="宋体" w:hAnsi="宋体" w:cs="宋体"/>
          <w:color w:val="auto"/>
          <w:szCs w:val="21"/>
        </w:rPr>
        <w:t>合同草案；</w:t>
      </w:r>
    </w:p>
    <w:p w14:paraId="553938B0">
      <w:pPr>
        <w:numPr>
          <w:ilvl w:val="0"/>
          <w:numId w:val="5"/>
        </w:numPr>
        <w:tabs>
          <w:tab w:val="left" w:pos="1080"/>
        </w:tabs>
        <w:snapToGrid w:val="0"/>
        <w:spacing w:line="360" w:lineRule="auto"/>
        <w:ind w:firstLine="289"/>
        <w:rPr>
          <w:rFonts w:ascii="宋体" w:hAnsi="宋体" w:cs="宋体"/>
          <w:color w:val="auto"/>
          <w:szCs w:val="21"/>
        </w:rPr>
      </w:pPr>
      <w:r>
        <w:rPr>
          <w:rFonts w:hint="eastAsia" w:ascii="宋体" w:hAnsi="宋体" w:cs="宋体"/>
          <w:color w:val="auto"/>
          <w:szCs w:val="21"/>
        </w:rPr>
        <w:t>响应文件</w:t>
      </w:r>
      <w:r>
        <w:rPr>
          <w:rFonts w:ascii="宋体" w:hAnsi="宋体" w:cs="宋体"/>
          <w:color w:val="auto"/>
          <w:szCs w:val="21"/>
        </w:rPr>
        <w:t>格式；</w:t>
      </w:r>
    </w:p>
    <w:p w14:paraId="5E33AA44">
      <w:pPr>
        <w:numPr>
          <w:ilvl w:val="0"/>
          <w:numId w:val="5"/>
        </w:numPr>
        <w:tabs>
          <w:tab w:val="left" w:pos="1080"/>
        </w:tabs>
        <w:snapToGrid w:val="0"/>
        <w:spacing w:line="360" w:lineRule="auto"/>
        <w:ind w:firstLine="289"/>
        <w:rPr>
          <w:rFonts w:ascii="宋体" w:hAnsi="宋体" w:cs="宋体"/>
          <w:color w:val="auto"/>
          <w:szCs w:val="21"/>
        </w:rPr>
      </w:pPr>
      <w:r>
        <w:rPr>
          <w:rFonts w:ascii="宋体" w:hAnsi="宋体" w:cs="宋体"/>
          <w:color w:val="auto"/>
          <w:szCs w:val="21"/>
        </w:rPr>
        <w:t>磋商过程中发生的澄清、修改和补充文件（如有）。</w:t>
      </w:r>
    </w:p>
    <w:p w14:paraId="0DC3E665">
      <w:pPr>
        <w:numPr>
          <w:ilvl w:val="0"/>
          <w:numId w:val="4"/>
        </w:numPr>
        <w:tabs>
          <w:tab w:val="left" w:pos="567"/>
        </w:tabs>
        <w:snapToGrid w:val="0"/>
        <w:spacing w:line="360" w:lineRule="auto"/>
        <w:ind w:left="567" w:hanging="567"/>
        <w:rPr>
          <w:rFonts w:ascii="宋体" w:hAnsi="宋体" w:cs="宋体"/>
          <w:color w:val="auto"/>
          <w:szCs w:val="21"/>
          <w:lang w:eastAsia="zh-TW"/>
        </w:rPr>
      </w:pPr>
      <w:r>
        <w:rPr>
          <w:rFonts w:ascii="宋体" w:hAnsi="宋体" w:cs="宋体"/>
          <w:color w:val="auto"/>
          <w:szCs w:val="21"/>
        </w:rPr>
        <w:t>供应商应认真阅读、并充分理解磋商文件的全部内容（包括所有的补充、修改内容、重要事项、格式、条款和技术规范、参数及要求等）。供应商没有按照磋商文件要求提交全部资料，或者</w:t>
      </w:r>
      <w:r>
        <w:rPr>
          <w:rFonts w:hint="eastAsia" w:ascii="宋体" w:hAnsi="宋体" w:cs="宋体"/>
          <w:color w:val="auto"/>
          <w:szCs w:val="21"/>
        </w:rPr>
        <w:t>响应文件</w:t>
      </w:r>
      <w:r>
        <w:rPr>
          <w:rFonts w:ascii="宋体" w:hAnsi="宋体" w:cs="宋体"/>
          <w:color w:val="auto"/>
          <w:szCs w:val="21"/>
        </w:rPr>
        <w:t>没有对磋商文件在各方面都作出实质性响应是供应商的风险，有可能导致其磋商响应被拒绝，或被确定为响应无</w:t>
      </w:r>
      <w:r>
        <w:rPr>
          <w:rFonts w:hint="eastAsia" w:ascii="宋体" w:hAnsi="宋体" w:cs="宋体"/>
          <w:color w:val="auto"/>
          <w:szCs w:val="21"/>
        </w:rPr>
        <w:t>效。</w:t>
      </w:r>
    </w:p>
    <w:p w14:paraId="72DF46CD">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磋商文件的澄清和修改</w:t>
      </w:r>
    </w:p>
    <w:p w14:paraId="12DE8B9B">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1</w:t>
      </w:r>
      <w:r>
        <w:rPr>
          <w:rFonts w:hint="eastAsia" w:ascii="宋体" w:hAnsi="宋体" w:cs="宋体"/>
          <w:color w:val="auto"/>
          <w:szCs w:val="21"/>
        </w:rPr>
        <w:t>4</w:t>
      </w:r>
      <w:r>
        <w:rPr>
          <w:rFonts w:ascii="宋体" w:hAnsi="宋体" w:cs="宋体"/>
          <w:color w:val="auto"/>
          <w:szCs w:val="21"/>
        </w:rPr>
        <w:t>.1提交首次</w:t>
      </w:r>
      <w:r>
        <w:rPr>
          <w:rFonts w:hint="eastAsia" w:ascii="宋体" w:hAnsi="宋体" w:cs="宋体"/>
          <w:color w:val="auto"/>
          <w:szCs w:val="21"/>
        </w:rPr>
        <w:t>响应文件</w:t>
      </w:r>
      <w:r>
        <w:rPr>
          <w:rFonts w:ascii="宋体" w:hAnsi="宋体" w:cs="宋体"/>
          <w:color w:val="auto"/>
          <w:szCs w:val="21"/>
        </w:rPr>
        <w:t>截止之日前，采购人、采购代理机构可以对已发出的</w:t>
      </w:r>
      <w:r>
        <w:rPr>
          <w:rFonts w:hint="eastAsia" w:ascii="宋体" w:hAnsi="宋体" w:cs="宋体"/>
          <w:color w:val="auto"/>
          <w:szCs w:val="21"/>
        </w:rPr>
        <w:t>磋商文件</w:t>
      </w:r>
      <w:r>
        <w:rPr>
          <w:rFonts w:ascii="宋体" w:hAnsi="宋体" w:cs="宋体"/>
          <w:color w:val="auto"/>
          <w:szCs w:val="21"/>
        </w:rPr>
        <w:t>进行必要的澄清或者修改，澄清或者修改的内容作为磋商文件的组成部分。</w:t>
      </w:r>
      <w:r>
        <w:rPr>
          <w:rFonts w:hint="eastAsia" w:ascii="宋体" w:hAnsi="宋体" w:cs="宋体"/>
          <w:color w:val="auto"/>
          <w:szCs w:val="21"/>
        </w:rPr>
        <w:t>澄清</w:t>
      </w:r>
      <w:r>
        <w:rPr>
          <w:rFonts w:ascii="宋体" w:hAnsi="宋体" w:cs="宋体"/>
          <w:color w:val="auto"/>
          <w:szCs w:val="21"/>
        </w:rPr>
        <w:t>或者修改的内容可能影响</w:t>
      </w:r>
      <w:r>
        <w:rPr>
          <w:rFonts w:hint="eastAsia" w:ascii="宋体" w:hAnsi="宋体" w:cs="宋体"/>
          <w:color w:val="auto"/>
          <w:szCs w:val="21"/>
        </w:rPr>
        <w:t>响应文件</w:t>
      </w:r>
      <w:r>
        <w:rPr>
          <w:rFonts w:ascii="宋体" w:hAnsi="宋体" w:cs="宋体"/>
          <w:color w:val="auto"/>
          <w:szCs w:val="21"/>
        </w:rPr>
        <w:t>编制的，采购人、采购代理机构应当在提交首次</w:t>
      </w:r>
      <w:r>
        <w:rPr>
          <w:rFonts w:hint="eastAsia" w:ascii="宋体" w:hAnsi="宋体" w:cs="宋体"/>
          <w:color w:val="auto"/>
          <w:szCs w:val="21"/>
        </w:rPr>
        <w:t>响应文件</w:t>
      </w:r>
      <w:r>
        <w:rPr>
          <w:rFonts w:ascii="宋体" w:hAnsi="宋体" w:cs="宋体"/>
          <w:color w:val="auto"/>
          <w:szCs w:val="21"/>
        </w:rPr>
        <w:t>截止时间至少5日前，以书面形式通知所有获取磋商文件的供应商；</w:t>
      </w:r>
      <w:r>
        <w:rPr>
          <w:rFonts w:hint="eastAsia" w:ascii="宋体" w:hAnsi="宋体" w:cs="宋体"/>
          <w:color w:val="auto"/>
          <w:szCs w:val="21"/>
        </w:rPr>
        <w:t>不足</w:t>
      </w:r>
      <w:r>
        <w:rPr>
          <w:rFonts w:ascii="宋体" w:hAnsi="宋体" w:cs="宋体"/>
          <w:color w:val="auto"/>
          <w:szCs w:val="21"/>
        </w:rPr>
        <w:t>5日的，采购人、采购代理机构应当顺延提交首次</w:t>
      </w:r>
      <w:r>
        <w:rPr>
          <w:rFonts w:hint="eastAsia" w:ascii="宋体" w:hAnsi="宋体" w:cs="宋体"/>
          <w:color w:val="auto"/>
          <w:szCs w:val="21"/>
        </w:rPr>
        <w:t>响应文件</w:t>
      </w:r>
      <w:r>
        <w:rPr>
          <w:rFonts w:ascii="宋体" w:hAnsi="宋体" w:cs="宋体"/>
          <w:color w:val="auto"/>
          <w:szCs w:val="21"/>
        </w:rPr>
        <w:t>截止时间。潜在供应商在收到上述通知后，应立即以书面形式向招标采购单位确认。</w:t>
      </w:r>
      <w:r>
        <w:rPr>
          <w:rFonts w:hint="eastAsia" w:ascii="宋体" w:hAnsi="宋体" w:cs="宋体"/>
          <w:color w:val="auto"/>
          <w:szCs w:val="21"/>
        </w:rPr>
        <w:t>如在</w:t>
      </w:r>
      <w:r>
        <w:rPr>
          <w:rFonts w:ascii="宋体" w:hAnsi="宋体" w:cs="宋体"/>
          <w:color w:val="auto"/>
          <w:szCs w:val="21"/>
        </w:rPr>
        <w:t>24小时之内无书面回复则视为同意澄清或者修改的内容，并有责任履行相应的义务。如采购代理机构在征得所有已购买磋商文件的潜在供应商同意并书面确认后，可以不改变首次</w:t>
      </w:r>
      <w:r>
        <w:rPr>
          <w:rFonts w:hint="eastAsia" w:ascii="宋体" w:hAnsi="宋体" w:cs="宋体"/>
          <w:color w:val="auto"/>
          <w:szCs w:val="21"/>
        </w:rPr>
        <w:t>响应文件</w:t>
      </w:r>
      <w:r>
        <w:rPr>
          <w:rFonts w:ascii="宋体" w:hAnsi="宋体" w:cs="宋体"/>
          <w:color w:val="auto"/>
          <w:szCs w:val="21"/>
        </w:rPr>
        <w:t>提交截止时间和磋商时间。</w:t>
      </w:r>
    </w:p>
    <w:p w14:paraId="06F67E25">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w:t>
      </w:r>
      <w:r>
        <w:rPr>
          <w:rFonts w:ascii="宋体" w:hAnsi="宋体" w:cs="宋体"/>
          <w:color w:val="auto"/>
          <w:szCs w:val="21"/>
        </w:rPr>
        <w:t>.2磋商文件的修改内容是磋商文件的组成部分</w:t>
      </w:r>
      <w:r>
        <w:rPr>
          <w:rFonts w:hint="eastAsia" w:ascii="宋体" w:hAnsi="宋体" w:cs="宋体"/>
          <w:color w:val="auto"/>
          <w:szCs w:val="21"/>
        </w:rPr>
        <w:t>。</w:t>
      </w:r>
    </w:p>
    <w:p w14:paraId="020CBC85">
      <w:pPr>
        <w:tabs>
          <w:tab w:val="left" w:pos="567"/>
        </w:tabs>
        <w:snapToGrid w:val="0"/>
        <w:spacing w:line="360" w:lineRule="auto"/>
        <w:ind w:left="372" w:hanging="371" w:hangingChars="177"/>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w:t>
      </w:r>
      <w:r>
        <w:rPr>
          <w:rFonts w:ascii="宋体" w:hAnsi="宋体" w:cs="宋体"/>
          <w:color w:val="auto"/>
          <w:szCs w:val="21"/>
        </w:rPr>
        <w:t>.3对磋商文件中描述有歧义或前后不一致的地方，磋商小组有权进行评判，但对同一条款的评判应适用于每个供应商。</w:t>
      </w:r>
    </w:p>
    <w:p w14:paraId="65939343">
      <w:pPr>
        <w:tabs>
          <w:tab w:val="left" w:pos="567"/>
        </w:tabs>
        <w:snapToGrid w:val="0"/>
        <w:spacing w:line="360" w:lineRule="auto"/>
        <w:ind w:left="372" w:hanging="371" w:hangingChars="177"/>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w:t>
      </w:r>
      <w:r>
        <w:rPr>
          <w:rFonts w:ascii="宋体" w:hAnsi="宋体" w:cs="宋体"/>
          <w:color w:val="auto"/>
          <w:szCs w:val="21"/>
        </w:rPr>
        <w:t>.4</w:t>
      </w:r>
      <w:r>
        <w:rPr>
          <w:rFonts w:hint="eastAsia" w:ascii="宋体" w:hAnsi="宋体" w:cs="宋体"/>
          <w:color w:val="auto"/>
          <w:szCs w:val="21"/>
        </w:rPr>
        <w:t>响应供应商</w:t>
      </w:r>
      <w:r>
        <w:rPr>
          <w:rFonts w:ascii="宋体" w:hAnsi="宋体" w:cs="宋体"/>
          <w:color w:val="auto"/>
          <w:szCs w:val="21"/>
        </w:rPr>
        <w:t>在规定的时间内未对磋商文件提出澄清或疑问的，采购人或采购代理机构将视为对磋商文件无异议。</w:t>
      </w:r>
    </w:p>
    <w:p w14:paraId="61A12A7D">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答疑会或现场考察</w:t>
      </w:r>
    </w:p>
    <w:p w14:paraId="1F860C65">
      <w:pPr>
        <w:snapToGrid w:val="0"/>
        <w:spacing w:line="360" w:lineRule="auto"/>
        <w:ind w:left="567" w:leftChars="270"/>
        <w:rPr>
          <w:rFonts w:ascii="宋体" w:hAnsi="宋体" w:cs="宋体"/>
          <w:color w:val="auto"/>
          <w:szCs w:val="21"/>
        </w:rPr>
      </w:pPr>
      <w:bookmarkStart w:id="70" w:name="_Toc111890781"/>
      <w:bookmarkStart w:id="71" w:name="_Toc337541097"/>
      <w:r>
        <w:rPr>
          <w:rFonts w:ascii="宋体" w:hAnsi="宋体" w:cs="宋体"/>
          <w:color w:val="auto"/>
          <w:szCs w:val="21"/>
        </w:rPr>
        <w:t>详见磋商须知前附表。</w:t>
      </w:r>
    </w:p>
    <w:bookmarkEnd w:id="70"/>
    <w:bookmarkEnd w:id="71"/>
    <w:p w14:paraId="3461E3EB">
      <w:pPr>
        <w:pStyle w:val="3"/>
        <w:ind w:firstLine="0"/>
        <w:jc w:val="center"/>
        <w:rPr>
          <w:rFonts w:hAnsi="宋体" w:cs="宋体"/>
          <w:color w:val="auto"/>
        </w:rPr>
      </w:pPr>
      <w:bookmarkStart w:id="72" w:name="_Toc1391"/>
      <w:bookmarkStart w:id="73" w:name="_Toc129780349"/>
      <w:bookmarkStart w:id="74" w:name="_Toc7908"/>
      <w:bookmarkStart w:id="75" w:name="_Toc87953657"/>
      <w:bookmarkStart w:id="76" w:name="_Toc79745397"/>
      <w:bookmarkStart w:id="77" w:name="_Toc101722481"/>
      <w:bookmarkStart w:id="78" w:name="_Toc16202"/>
      <w:bookmarkStart w:id="79" w:name="_Toc79741551"/>
      <w:bookmarkStart w:id="80" w:name="_Toc11668"/>
      <w:bookmarkStart w:id="81" w:name="_Toc143506654"/>
      <w:bookmarkStart w:id="82" w:name="_Toc87965317"/>
      <w:bookmarkStart w:id="83" w:name="_Toc1765"/>
      <w:bookmarkStart w:id="84" w:name="_Toc30941"/>
      <w:bookmarkStart w:id="85" w:name="_Toc23324"/>
      <w:bookmarkStart w:id="86" w:name="_Toc101353627"/>
      <w:bookmarkStart w:id="87" w:name="_Toc23063"/>
      <w:bookmarkStart w:id="88" w:name="_Toc6783"/>
      <w:bookmarkStart w:id="89" w:name="_Toc18257"/>
      <w:r>
        <w:rPr>
          <w:rFonts w:hAnsi="宋体" w:cs="宋体"/>
          <w:color w:val="auto"/>
        </w:rPr>
        <w:t>（三）</w:t>
      </w:r>
      <w:r>
        <w:rPr>
          <w:rFonts w:hint="eastAsia" w:hAnsi="宋体" w:cs="宋体"/>
          <w:color w:val="auto"/>
        </w:rPr>
        <w:t>响应文件</w:t>
      </w:r>
      <w:r>
        <w:rPr>
          <w:rFonts w:hAnsi="宋体" w:cs="宋体"/>
          <w:color w:val="auto"/>
        </w:rPr>
        <w:t>的编制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B6EE5FC">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响应文件</w:t>
      </w:r>
      <w:r>
        <w:rPr>
          <w:rFonts w:ascii="宋体" w:hAnsi="宋体" w:cs="宋体"/>
          <w:b/>
          <w:color w:val="auto"/>
          <w:szCs w:val="21"/>
        </w:rPr>
        <w:t>的构成</w:t>
      </w:r>
    </w:p>
    <w:p w14:paraId="69806A95">
      <w:pPr>
        <w:snapToGrid w:val="0"/>
        <w:spacing w:line="360" w:lineRule="auto"/>
        <w:ind w:left="424" w:leftChars="202"/>
        <w:rPr>
          <w:rFonts w:ascii="宋体" w:hAnsi="宋体" w:cs="宋体"/>
          <w:color w:val="auto"/>
          <w:szCs w:val="21"/>
        </w:rPr>
      </w:pPr>
      <w:r>
        <w:rPr>
          <w:rFonts w:ascii="宋体" w:hAnsi="宋体" w:cs="宋体"/>
          <w:color w:val="auto"/>
          <w:szCs w:val="21"/>
        </w:rPr>
        <w:t>供应商编写的</w:t>
      </w:r>
      <w:r>
        <w:rPr>
          <w:rFonts w:hint="eastAsia" w:ascii="宋体" w:hAnsi="宋体" w:cs="宋体"/>
          <w:color w:val="auto"/>
          <w:szCs w:val="21"/>
        </w:rPr>
        <w:t>响应文件</w:t>
      </w:r>
      <w:r>
        <w:rPr>
          <w:rFonts w:ascii="宋体" w:hAnsi="宋体" w:cs="宋体"/>
          <w:color w:val="auto"/>
          <w:szCs w:val="21"/>
        </w:rPr>
        <w:t>应包括资格证明文件、商务文件和技术文件，编排顺序参见</w:t>
      </w:r>
      <w:r>
        <w:rPr>
          <w:rFonts w:hint="eastAsia" w:ascii="宋体" w:hAnsi="宋体" w:cs="宋体"/>
          <w:color w:val="auto"/>
          <w:szCs w:val="21"/>
        </w:rPr>
        <w:t>响应文件</w:t>
      </w:r>
      <w:r>
        <w:rPr>
          <w:rFonts w:ascii="宋体" w:hAnsi="宋体" w:cs="宋体"/>
          <w:color w:val="auto"/>
          <w:szCs w:val="21"/>
        </w:rPr>
        <w:t>格式</w:t>
      </w:r>
      <w:r>
        <w:rPr>
          <w:rFonts w:hint="eastAsia" w:ascii="宋体" w:hAnsi="宋体" w:cs="宋体"/>
          <w:color w:val="auto"/>
          <w:szCs w:val="21"/>
        </w:rPr>
        <w:t>。</w:t>
      </w:r>
      <w:r>
        <w:rPr>
          <w:rFonts w:ascii="宋体" w:hAnsi="宋体" w:cs="宋体"/>
          <w:color w:val="auto"/>
          <w:szCs w:val="21"/>
        </w:rPr>
        <w:t>资格证明文件、商务文件部分指供应商提交的证明其有资格参加磋商和成交后有能力履行合同的文件。技术方案说明部分是能够证明供应商提供的货物及服务符合磋商文件规定的文件。供应商应按规定提交资格证明文件、商务文件部分和技术文件。</w:t>
      </w:r>
    </w:p>
    <w:p w14:paraId="4C1B3F35">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磋商费用</w:t>
      </w:r>
    </w:p>
    <w:p w14:paraId="7E95FD04">
      <w:pPr>
        <w:snapToGrid w:val="0"/>
        <w:spacing w:line="360" w:lineRule="auto"/>
        <w:ind w:left="567" w:leftChars="270"/>
        <w:rPr>
          <w:rFonts w:ascii="宋体" w:hAnsi="宋体" w:cs="宋体"/>
          <w:color w:val="auto"/>
          <w:szCs w:val="21"/>
        </w:rPr>
      </w:pPr>
      <w:r>
        <w:rPr>
          <w:rFonts w:ascii="宋体" w:hAnsi="宋体" w:cs="宋体"/>
          <w:color w:val="auto"/>
          <w:szCs w:val="21"/>
        </w:rPr>
        <w:t>供应商应承担所有与编写和提交</w:t>
      </w:r>
      <w:r>
        <w:rPr>
          <w:rFonts w:hint="eastAsia" w:ascii="宋体" w:hAnsi="宋体" w:cs="宋体"/>
          <w:color w:val="auto"/>
          <w:szCs w:val="21"/>
        </w:rPr>
        <w:t>响应文件</w:t>
      </w:r>
      <w:r>
        <w:rPr>
          <w:rFonts w:ascii="宋体" w:hAnsi="宋体" w:cs="宋体"/>
          <w:color w:val="auto"/>
          <w:szCs w:val="21"/>
        </w:rPr>
        <w:t>有关的费用，不论磋商的结果如何，采购代理机构、采购人在任何情况下均无义务和责任承担这些费用。</w:t>
      </w:r>
    </w:p>
    <w:p w14:paraId="3577A3F6">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报价函</w:t>
      </w:r>
    </w:p>
    <w:p w14:paraId="4675B053">
      <w:pPr>
        <w:snapToGrid w:val="0"/>
        <w:spacing w:line="360" w:lineRule="auto"/>
        <w:ind w:left="567" w:leftChars="270"/>
        <w:rPr>
          <w:rFonts w:ascii="宋体" w:hAnsi="宋体" w:cs="宋体"/>
          <w:color w:val="auto"/>
          <w:szCs w:val="21"/>
        </w:rPr>
      </w:pPr>
      <w:r>
        <w:rPr>
          <w:rFonts w:ascii="宋体" w:hAnsi="宋体" w:cs="宋体"/>
          <w:color w:val="auto"/>
          <w:szCs w:val="21"/>
        </w:rPr>
        <w:t>供应商应完整地填写磋商文件格式中规定的报价函。</w:t>
      </w:r>
    </w:p>
    <w:p w14:paraId="791B18B1">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报价说明</w:t>
      </w:r>
    </w:p>
    <w:p w14:paraId="6CAF9A40">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.1供应商应以人民币报价，并保留小数点后两位。</w:t>
      </w:r>
    </w:p>
    <w:p w14:paraId="6AF58267">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.2供应商应按磋商文件格式要求填写报价明细表。</w:t>
      </w:r>
    </w:p>
    <w:p w14:paraId="1844FC97">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.3供应商所报的价格在合同执行期间是固定不变的，不得以任何理由予以变更。报价不是固定价的，将作为非响应性报价而予以拒绝。</w:t>
      </w:r>
    </w:p>
    <w:p w14:paraId="4E57E9E5">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4供应商所报的最后价格应为所投项目的最终报价，包含一切税费；供应商应自行增加正常运行及使用所必需但磋商文件没有包含的所有部件、工具、版权、专利等一切费用，如果供应商在成交并签署合同后，在项目实施等工作中出现任何遗漏，均由</w:t>
      </w:r>
      <w:r>
        <w:rPr>
          <w:rFonts w:hint="eastAsia" w:ascii="宋体" w:hAnsi="宋体" w:cs="宋体"/>
          <w:color w:val="auto"/>
          <w:szCs w:val="21"/>
        </w:rPr>
        <w:t>成交供应商</w:t>
      </w:r>
      <w:r>
        <w:rPr>
          <w:rFonts w:ascii="宋体" w:hAnsi="宋体" w:cs="宋体"/>
          <w:color w:val="auto"/>
          <w:szCs w:val="21"/>
        </w:rPr>
        <w:t>免费提供，采购人将不再支付任何费用。</w:t>
      </w:r>
    </w:p>
    <w:p w14:paraId="652F8416">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响应文件</w:t>
      </w:r>
      <w:r>
        <w:rPr>
          <w:rFonts w:ascii="宋体" w:hAnsi="宋体" w:cs="宋体"/>
          <w:b/>
          <w:color w:val="auto"/>
          <w:szCs w:val="21"/>
        </w:rPr>
        <w:t>的编写原则</w:t>
      </w:r>
    </w:p>
    <w:p w14:paraId="213B663E">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20</w:t>
      </w:r>
      <w:r>
        <w:rPr>
          <w:rFonts w:ascii="宋体" w:hAnsi="宋体" w:cs="宋体"/>
          <w:color w:val="auto"/>
          <w:szCs w:val="21"/>
        </w:rPr>
        <w:t>.1磋商语言：</w:t>
      </w:r>
      <w:r>
        <w:rPr>
          <w:rFonts w:hint="eastAsia" w:ascii="宋体" w:hAnsi="宋体" w:cs="宋体"/>
          <w:color w:val="auto"/>
          <w:szCs w:val="21"/>
        </w:rPr>
        <w:t>响应文件</w:t>
      </w:r>
      <w:r>
        <w:rPr>
          <w:rFonts w:ascii="宋体" w:hAnsi="宋体" w:cs="宋体"/>
          <w:color w:val="auto"/>
          <w:szCs w:val="21"/>
        </w:rPr>
        <w:t>、供应商与采购代理机构就磋商交换的文件和来往信件，应以中文书写</w:t>
      </w:r>
      <w:r>
        <w:rPr>
          <w:rFonts w:hint="eastAsia" w:ascii="宋体" w:hAnsi="宋体" w:cs="宋体"/>
          <w:color w:val="auto"/>
          <w:szCs w:val="21"/>
        </w:rPr>
        <w:t>。</w:t>
      </w:r>
      <w:r>
        <w:rPr>
          <w:rFonts w:ascii="宋体" w:hAnsi="宋体" w:cs="宋体"/>
          <w:color w:val="auto"/>
          <w:szCs w:val="21"/>
        </w:rPr>
        <w:t>供应商提供的支持文件、技术资料和印</w:t>
      </w:r>
      <w:r>
        <w:rPr>
          <w:rFonts w:hint="eastAsia" w:ascii="宋体" w:hAnsi="宋体" w:cs="宋体"/>
          <w:color w:val="auto"/>
          <w:szCs w:val="21"/>
        </w:rPr>
        <w:t>刷</w:t>
      </w:r>
      <w:r>
        <w:rPr>
          <w:rFonts w:ascii="宋体" w:hAnsi="宋体" w:cs="宋体"/>
          <w:color w:val="auto"/>
          <w:szCs w:val="21"/>
        </w:rPr>
        <w:t>的文献可以用其他语言，但相应实质性内容须附有中文翻译本，并以中文为准。</w:t>
      </w:r>
    </w:p>
    <w:p w14:paraId="37B22092">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20</w:t>
      </w:r>
      <w:r>
        <w:rPr>
          <w:rFonts w:ascii="宋体" w:hAnsi="宋体" w:cs="宋体"/>
          <w:color w:val="auto"/>
          <w:szCs w:val="21"/>
        </w:rPr>
        <w:t>.2计量单位：除在磋商文件的技术规格中另有规定外，计量单位应使用中华人民共和国法定计量单</w:t>
      </w:r>
      <w:r>
        <w:rPr>
          <w:rFonts w:hint="eastAsia" w:ascii="宋体" w:hAnsi="宋体" w:cs="宋体"/>
          <w:color w:val="auto"/>
          <w:szCs w:val="21"/>
        </w:rPr>
        <w:t>位</w:t>
      </w:r>
      <w:r>
        <w:rPr>
          <w:rFonts w:ascii="宋体" w:hAnsi="宋体" w:cs="宋体"/>
          <w:color w:val="auto"/>
          <w:szCs w:val="21"/>
        </w:rPr>
        <w:t>(国际单位制和国家选定的其他计量单位)</w:t>
      </w:r>
      <w:r>
        <w:rPr>
          <w:rFonts w:hint="eastAsia" w:ascii="宋体" w:hAnsi="宋体" w:cs="宋体"/>
          <w:color w:val="auto"/>
          <w:szCs w:val="21"/>
        </w:rPr>
        <w:t>。</w:t>
      </w:r>
    </w:p>
    <w:p w14:paraId="32C9B4C8">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20</w:t>
      </w:r>
      <w:r>
        <w:rPr>
          <w:rFonts w:ascii="宋体" w:hAnsi="宋体" w:cs="宋体"/>
          <w:color w:val="auto"/>
          <w:szCs w:val="21"/>
        </w:rPr>
        <w:t>.3供应商应保证所提供的所有资料的真实性、准确性、完整性。</w:t>
      </w:r>
    </w:p>
    <w:p w14:paraId="4A842EE5">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20</w:t>
      </w:r>
      <w:r>
        <w:rPr>
          <w:rFonts w:ascii="宋体" w:hAnsi="宋体" w:cs="宋体"/>
          <w:color w:val="auto"/>
          <w:szCs w:val="21"/>
        </w:rPr>
        <w:t>.4供应商应当对</w:t>
      </w:r>
      <w:r>
        <w:rPr>
          <w:rFonts w:hint="eastAsia" w:ascii="宋体" w:hAnsi="宋体" w:cs="宋体"/>
          <w:color w:val="auto"/>
          <w:szCs w:val="21"/>
        </w:rPr>
        <w:t>响应文件</w:t>
      </w:r>
      <w:r>
        <w:rPr>
          <w:rFonts w:ascii="宋体" w:hAnsi="宋体" w:cs="宋体"/>
          <w:color w:val="auto"/>
          <w:szCs w:val="21"/>
        </w:rPr>
        <w:t>进行装订，对未经装订的</w:t>
      </w:r>
      <w:r>
        <w:rPr>
          <w:rFonts w:hint="eastAsia" w:ascii="宋体" w:hAnsi="宋体" w:cs="宋体"/>
          <w:color w:val="auto"/>
          <w:szCs w:val="21"/>
        </w:rPr>
        <w:t>响应文件</w:t>
      </w:r>
      <w:r>
        <w:rPr>
          <w:rFonts w:ascii="宋体" w:hAnsi="宋体" w:cs="宋体"/>
          <w:color w:val="auto"/>
          <w:szCs w:val="21"/>
        </w:rPr>
        <w:t>可能发生的文件散落或缺损，由此造成的后果和责任由供应商承担。若项目含有多个包组，且供应商参与对多个包组磋商的，建议其</w:t>
      </w:r>
      <w:r>
        <w:rPr>
          <w:rFonts w:hint="eastAsia" w:ascii="宋体" w:hAnsi="宋体" w:cs="宋体"/>
          <w:color w:val="auto"/>
          <w:szCs w:val="21"/>
        </w:rPr>
        <w:t>响应文件</w:t>
      </w:r>
      <w:r>
        <w:rPr>
          <w:rFonts w:ascii="宋体" w:hAnsi="宋体" w:cs="宋体"/>
          <w:color w:val="auto"/>
          <w:szCs w:val="21"/>
        </w:rPr>
        <w:t>的编制按每个包组的要求分别装订和封装。</w:t>
      </w:r>
    </w:p>
    <w:p w14:paraId="7D710B12">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20</w:t>
      </w:r>
      <w:r>
        <w:rPr>
          <w:rFonts w:ascii="宋体" w:hAnsi="宋体" w:cs="宋体"/>
          <w:color w:val="auto"/>
          <w:szCs w:val="21"/>
        </w:rPr>
        <w:t>.5供应商在采购过程中提供不真实的材料，无论其材料是否重要，采购人均有权拒绝，并取消供应商的成交资格，供应商需承担相应的后果及法律责任。</w:t>
      </w:r>
    </w:p>
    <w:p w14:paraId="415EAF3E">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21.6本项目概不接受电报、电话、电子邮件、邮寄或传真形式提交的</w:t>
      </w:r>
      <w:r>
        <w:rPr>
          <w:rFonts w:hint="eastAsia" w:ascii="宋体" w:hAnsi="宋体" w:cs="宋体"/>
          <w:color w:val="auto"/>
          <w:szCs w:val="21"/>
        </w:rPr>
        <w:t>响应文件。</w:t>
      </w:r>
    </w:p>
    <w:p w14:paraId="51B07BD4">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证明供应商合格的资格文件</w:t>
      </w:r>
    </w:p>
    <w:p w14:paraId="406AC795">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1</w:t>
      </w:r>
      <w:r>
        <w:rPr>
          <w:rFonts w:ascii="宋体" w:hAnsi="宋体" w:cs="宋体"/>
          <w:color w:val="auto"/>
          <w:szCs w:val="21"/>
        </w:rPr>
        <w:t>.1供应商应提交证明其有资格参加磋商和被确定为</w:t>
      </w:r>
      <w:r>
        <w:rPr>
          <w:rFonts w:hint="eastAsia" w:ascii="宋体" w:hAnsi="宋体" w:cs="宋体"/>
          <w:color w:val="auto"/>
          <w:szCs w:val="21"/>
        </w:rPr>
        <w:t>成交供应商</w:t>
      </w:r>
      <w:r>
        <w:rPr>
          <w:rFonts w:ascii="宋体" w:hAnsi="宋体" w:cs="宋体"/>
          <w:color w:val="auto"/>
          <w:szCs w:val="21"/>
        </w:rPr>
        <w:t>后有能力履行合同的文件，以及证明其提供的合同项下，服务的合格性符合磋商文件规定的文件，并作为</w:t>
      </w:r>
      <w:r>
        <w:rPr>
          <w:rFonts w:hint="eastAsia" w:ascii="宋体" w:hAnsi="宋体" w:cs="宋体"/>
          <w:color w:val="auto"/>
          <w:szCs w:val="21"/>
        </w:rPr>
        <w:t>响应文件</w:t>
      </w:r>
      <w:r>
        <w:rPr>
          <w:rFonts w:ascii="宋体" w:hAnsi="宋体" w:cs="宋体"/>
          <w:color w:val="auto"/>
          <w:szCs w:val="21"/>
        </w:rPr>
        <w:t>的一部分。如果供应商为联合体，应提交联合体各方的资格证明文件、共同磋商协议并注明主体方及各方拟承担的工作和责任</w:t>
      </w:r>
      <w:r>
        <w:rPr>
          <w:rFonts w:hint="eastAsia" w:ascii="宋体" w:hAnsi="宋体" w:cs="宋体"/>
          <w:color w:val="auto"/>
          <w:szCs w:val="21"/>
        </w:rPr>
        <w:t>。</w:t>
      </w:r>
      <w:r>
        <w:rPr>
          <w:rFonts w:ascii="宋体" w:hAnsi="宋体" w:cs="宋体"/>
          <w:color w:val="auto"/>
          <w:szCs w:val="21"/>
        </w:rPr>
        <w:t>否则，将导致其磋商响应无效。</w:t>
      </w:r>
    </w:p>
    <w:p w14:paraId="35EF2131">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w:t>
      </w:r>
      <w:r>
        <w:rPr>
          <w:rFonts w:ascii="宋体" w:hAnsi="宋体" w:cs="宋体"/>
          <w:color w:val="auto"/>
          <w:szCs w:val="21"/>
        </w:rPr>
        <w:t>.2供应商提交的资格证明文件应证明其来自本须知定义的合格的供应商</w:t>
      </w:r>
      <w:r>
        <w:rPr>
          <w:rFonts w:hint="eastAsia" w:ascii="宋体" w:hAnsi="宋体" w:cs="宋体"/>
          <w:color w:val="auto"/>
          <w:szCs w:val="21"/>
        </w:rPr>
        <w:t>。</w:t>
      </w:r>
    </w:p>
    <w:p w14:paraId="22E6E429">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响应文件</w:t>
      </w:r>
      <w:r>
        <w:rPr>
          <w:rFonts w:ascii="宋体" w:hAnsi="宋体" w:cs="宋体"/>
          <w:b/>
          <w:color w:val="auto"/>
          <w:szCs w:val="21"/>
        </w:rPr>
        <w:t>的式样和签署</w:t>
      </w:r>
    </w:p>
    <w:p w14:paraId="0EDA5E48">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.1供应商应按磋商须知前附表准备</w:t>
      </w:r>
      <w:r>
        <w:rPr>
          <w:rFonts w:hint="eastAsia" w:ascii="宋体" w:hAnsi="宋体" w:cs="宋体"/>
          <w:color w:val="auto"/>
          <w:szCs w:val="21"/>
        </w:rPr>
        <w:t>响应文件</w:t>
      </w:r>
      <w:r>
        <w:rPr>
          <w:rFonts w:ascii="宋体" w:hAnsi="宋体" w:cs="宋体"/>
          <w:color w:val="auto"/>
          <w:szCs w:val="21"/>
        </w:rPr>
        <w:t>正本、副本和电子文件标书（刻录光盘），电子文件要求光盘</w:t>
      </w:r>
      <w:r>
        <w:rPr>
          <w:rFonts w:hint="eastAsia" w:ascii="宋体" w:hAnsi="宋体" w:cs="宋体"/>
          <w:color w:val="auto"/>
          <w:szCs w:val="21"/>
        </w:rPr>
        <w:t>或者</w:t>
      </w:r>
      <w:r>
        <w:rPr>
          <w:rFonts w:ascii="宋体" w:hAnsi="宋体" w:cs="宋体"/>
          <w:color w:val="auto"/>
          <w:szCs w:val="21"/>
        </w:rPr>
        <w:t xml:space="preserve"> U 盘介质，采用 Word </w:t>
      </w:r>
      <w:r>
        <w:rPr>
          <w:rFonts w:hint="eastAsia" w:ascii="宋体" w:hAnsi="宋体" w:cs="宋体"/>
          <w:color w:val="auto"/>
          <w:szCs w:val="21"/>
        </w:rPr>
        <w:t>和</w:t>
      </w:r>
      <w:r>
        <w:rPr>
          <w:rFonts w:ascii="宋体" w:hAnsi="宋体" w:cs="宋体"/>
          <w:color w:val="auto"/>
          <w:szCs w:val="21"/>
        </w:rPr>
        <w:t xml:space="preserve"> PDF </w:t>
      </w:r>
      <w:r>
        <w:rPr>
          <w:rFonts w:hint="eastAsia" w:ascii="宋体" w:hAnsi="宋体" w:cs="宋体"/>
          <w:color w:val="auto"/>
          <w:szCs w:val="21"/>
        </w:rPr>
        <w:t>格式，</w:t>
      </w:r>
      <w:r>
        <w:rPr>
          <w:rFonts w:ascii="宋体" w:hAnsi="宋体" w:cs="宋体"/>
          <w:color w:val="auto"/>
          <w:szCs w:val="21"/>
        </w:rPr>
        <w:t>Word 内容应与</w:t>
      </w:r>
      <w:r>
        <w:rPr>
          <w:rFonts w:hint="eastAsia" w:ascii="宋体" w:hAnsi="宋体" w:cs="宋体"/>
          <w:color w:val="auto"/>
          <w:szCs w:val="21"/>
        </w:rPr>
        <w:t>响应供应商</w:t>
      </w:r>
      <w:r>
        <w:rPr>
          <w:rFonts w:ascii="宋体" w:hAnsi="宋体" w:cs="宋体"/>
          <w:color w:val="auto"/>
          <w:szCs w:val="21"/>
        </w:rPr>
        <w:t>打印产生的纸质</w:t>
      </w:r>
      <w:r>
        <w:rPr>
          <w:rFonts w:hint="eastAsia" w:ascii="宋体" w:hAnsi="宋体" w:cs="宋体"/>
          <w:color w:val="auto"/>
          <w:szCs w:val="21"/>
        </w:rPr>
        <w:t>响应文件</w:t>
      </w:r>
      <w:r>
        <w:rPr>
          <w:rFonts w:ascii="宋体" w:hAnsi="宋体" w:cs="宋体"/>
          <w:color w:val="auto"/>
          <w:szCs w:val="21"/>
        </w:rPr>
        <w:t>内容一致，PDF 内容必须是盖章、签署的纸质</w:t>
      </w:r>
      <w:r>
        <w:rPr>
          <w:rFonts w:hint="eastAsia" w:ascii="宋体" w:hAnsi="宋体" w:cs="宋体"/>
          <w:color w:val="auto"/>
          <w:szCs w:val="21"/>
        </w:rPr>
        <w:t>响应文件</w:t>
      </w:r>
      <w:r>
        <w:rPr>
          <w:rFonts w:ascii="宋体" w:hAnsi="宋体" w:cs="宋体"/>
          <w:color w:val="auto"/>
          <w:szCs w:val="21"/>
        </w:rPr>
        <w:t>正本扫描</w:t>
      </w:r>
      <w:r>
        <w:rPr>
          <w:rFonts w:hint="eastAsia" w:ascii="宋体" w:hAnsi="宋体" w:cs="宋体"/>
          <w:color w:val="auto"/>
          <w:szCs w:val="21"/>
        </w:rPr>
        <w:t>件</w:t>
      </w:r>
      <w:r>
        <w:rPr>
          <w:rFonts w:ascii="宋体" w:hAnsi="宋体" w:cs="宋体"/>
          <w:color w:val="auto"/>
          <w:szCs w:val="21"/>
        </w:rPr>
        <w:t>，电子文件封面注明公司名称和项目编号，每份</w:t>
      </w:r>
      <w:r>
        <w:rPr>
          <w:rFonts w:hint="eastAsia" w:ascii="宋体" w:hAnsi="宋体" w:cs="宋体"/>
          <w:color w:val="auto"/>
          <w:szCs w:val="21"/>
        </w:rPr>
        <w:t>响应文件</w:t>
      </w:r>
      <w:r>
        <w:rPr>
          <w:rFonts w:ascii="宋体" w:hAnsi="宋体" w:cs="宋体"/>
          <w:color w:val="auto"/>
          <w:szCs w:val="21"/>
        </w:rPr>
        <w:t>须清楚地标明“正本”或“副本”</w:t>
      </w:r>
      <w:r>
        <w:rPr>
          <w:rFonts w:hint="eastAsia" w:ascii="宋体" w:hAnsi="宋体" w:cs="宋体"/>
          <w:color w:val="auto"/>
          <w:szCs w:val="21"/>
        </w:rPr>
        <w:t>。</w:t>
      </w:r>
      <w:r>
        <w:rPr>
          <w:rFonts w:ascii="宋体" w:hAnsi="宋体" w:cs="宋体"/>
          <w:color w:val="auto"/>
          <w:szCs w:val="21"/>
        </w:rPr>
        <w:t>一旦正本和副本不符，以正本为准。</w:t>
      </w:r>
      <w:r>
        <w:rPr>
          <w:color w:val="auto"/>
        </w:rPr>
        <w:t>纸质</w:t>
      </w:r>
      <w:r>
        <w:rPr>
          <w:rFonts w:hint="eastAsia"/>
          <w:color w:val="auto"/>
        </w:rPr>
        <w:t>响应文件</w:t>
      </w:r>
      <w:r>
        <w:rPr>
          <w:color w:val="auto"/>
        </w:rPr>
        <w:t>与电子介质</w:t>
      </w:r>
      <w:r>
        <w:rPr>
          <w:rFonts w:hint="eastAsia"/>
          <w:color w:val="auto"/>
        </w:rPr>
        <w:t>响应文件</w:t>
      </w:r>
      <w:r>
        <w:rPr>
          <w:color w:val="auto"/>
        </w:rPr>
        <w:t>具有同等法律效力，除另有约定外，两者出现不一致时，以纸质</w:t>
      </w:r>
      <w:r>
        <w:rPr>
          <w:rFonts w:hint="eastAsia"/>
          <w:color w:val="auto"/>
        </w:rPr>
        <w:t>响应文件</w:t>
      </w:r>
      <w:r>
        <w:rPr>
          <w:color w:val="auto"/>
        </w:rPr>
        <w:t>为准。</w:t>
      </w:r>
    </w:p>
    <w:p w14:paraId="43B107F2">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.2供应商应将按照</w:t>
      </w:r>
      <w:r>
        <w:rPr>
          <w:rFonts w:hint="eastAsia" w:ascii="宋体" w:hAnsi="宋体" w:cs="宋体"/>
          <w:color w:val="auto"/>
          <w:szCs w:val="21"/>
        </w:rPr>
        <w:t>响应文件</w:t>
      </w:r>
      <w:r>
        <w:rPr>
          <w:rFonts w:ascii="宋体" w:hAnsi="宋体" w:cs="宋体"/>
          <w:color w:val="auto"/>
          <w:szCs w:val="21"/>
        </w:rPr>
        <w:t>格式的目录要求顺序装订成册</w:t>
      </w:r>
      <w:r>
        <w:rPr>
          <w:rFonts w:hint="eastAsia" w:ascii="宋体" w:hAnsi="宋体" w:cs="宋体"/>
          <w:color w:val="auto"/>
          <w:szCs w:val="21"/>
        </w:rPr>
        <w:t>。响应文件</w:t>
      </w:r>
      <w:r>
        <w:rPr>
          <w:rFonts w:ascii="宋体" w:hAnsi="宋体" w:cs="宋体"/>
          <w:color w:val="auto"/>
          <w:szCs w:val="21"/>
        </w:rPr>
        <w:t>应装订牢固不可拆卸（如：胶订），如因装订不牢固导致的任何损失由供应商承担。各册独立装订的</w:t>
      </w:r>
      <w:r>
        <w:rPr>
          <w:rFonts w:hint="eastAsia" w:ascii="宋体" w:hAnsi="宋体" w:cs="宋体"/>
          <w:color w:val="auto"/>
          <w:szCs w:val="21"/>
        </w:rPr>
        <w:t>响应文件</w:t>
      </w:r>
      <w:r>
        <w:rPr>
          <w:rFonts w:ascii="宋体" w:hAnsi="宋体" w:cs="宋体"/>
          <w:color w:val="auto"/>
          <w:szCs w:val="21"/>
        </w:rPr>
        <w:t>封面必须加盖</w:t>
      </w:r>
      <w:r>
        <w:rPr>
          <w:rFonts w:hint="eastAsia" w:ascii="宋体" w:hAnsi="宋体" w:cs="宋体"/>
          <w:color w:val="auto"/>
          <w:szCs w:val="21"/>
        </w:rPr>
        <w:t>响应供应商</w:t>
      </w:r>
      <w:r>
        <w:rPr>
          <w:rFonts w:ascii="宋体" w:hAnsi="宋体" w:cs="宋体"/>
          <w:color w:val="auto"/>
          <w:szCs w:val="21"/>
        </w:rPr>
        <w:t>单位公章。</w:t>
      </w:r>
      <w:r>
        <w:rPr>
          <w:rFonts w:hint="eastAsia" w:ascii="宋体" w:hAnsi="宋体" w:cs="宋体"/>
          <w:color w:val="auto"/>
          <w:szCs w:val="21"/>
        </w:rPr>
        <w:t>响应文件</w:t>
      </w:r>
      <w:r>
        <w:rPr>
          <w:rFonts w:ascii="宋体" w:hAnsi="宋体" w:cs="宋体"/>
          <w:color w:val="auto"/>
          <w:szCs w:val="21"/>
        </w:rPr>
        <w:t>应封面骑缝及磋商文件格式中明示盖公章处加盖</w:t>
      </w:r>
      <w:r>
        <w:rPr>
          <w:rFonts w:hint="eastAsia" w:ascii="宋体" w:hAnsi="宋体" w:cs="宋体"/>
          <w:color w:val="auto"/>
          <w:szCs w:val="21"/>
        </w:rPr>
        <w:t>响应供应商</w:t>
      </w:r>
      <w:r>
        <w:rPr>
          <w:rFonts w:ascii="宋体" w:hAnsi="宋体" w:cs="宋体"/>
          <w:color w:val="auto"/>
          <w:szCs w:val="21"/>
        </w:rPr>
        <w:t>单位公章或逐页加盖</w:t>
      </w:r>
      <w:r>
        <w:rPr>
          <w:rFonts w:hint="eastAsia" w:ascii="宋体" w:hAnsi="宋体" w:cs="宋体"/>
          <w:color w:val="auto"/>
          <w:szCs w:val="21"/>
        </w:rPr>
        <w:t>响应供应商</w:t>
      </w:r>
      <w:r>
        <w:rPr>
          <w:rFonts w:ascii="宋体" w:hAnsi="宋体" w:cs="宋体"/>
          <w:color w:val="auto"/>
          <w:szCs w:val="21"/>
        </w:rPr>
        <w:t>单位公章。</w:t>
      </w:r>
      <w:r>
        <w:rPr>
          <w:rFonts w:hint="eastAsia" w:ascii="宋体" w:hAnsi="宋体" w:cs="宋体"/>
          <w:color w:val="auto"/>
          <w:szCs w:val="21"/>
        </w:rPr>
        <w:t>响应供应商</w:t>
      </w:r>
      <w:r>
        <w:rPr>
          <w:rFonts w:ascii="宋体" w:hAnsi="宋体" w:cs="宋体"/>
          <w:color w:val="auto"/>
          <w:szCs w:val="21"/>
        </w:rPr>
        <w:t>代表可由法定代表人或其委托代理人担任。由委托代理人签署的</w:t>
      </w:r>
      <w:r>
        <w:rPr>
          <w:rFonts w:hint="eastAsia" w:ascii="宋体" w:hAnsi="宋体" w:cs="宋体"/>
          <w:color w:val="auto"/>
          <w:szCs w:val="21"/>
        </w:rPr>
        <w:t>响应文件</w:t>
      </w:r>
      <w:r>
        <w:rPr>
          <w:rFonts w:ascii="宋体" w:hAnsi="宋体" w:cs="宋体"/>
          <w:color w:val="auto"/>
          <w:szCs w:val="21"/>
        </w:rPr>
        <w:t>中，须同时提交由法定代表人签署的有效的授权委托书。</w:t>
      </w:r>
    </w:p>
    <w:p w14:paraId="3FF9484C">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.3</w:t>
      </w:r>
      <w:r>
        <w:rPr>
          <w:rFonts w:hint="eastAsia" w:ascii="宋体" w:hAnsi="宋体" w:cs="宋体"/>
          <w:color w:val="auto"/>
          <w:szCs w:val="21"/>
        </w:rPr>
        <w:t>响应文件</w:t>
      </w:r>
      <w:r>
        <w:rPr>
          <w:rFonts w:ascii="宋体" w:hAnsi="宋体" w:cs="宋体"/>
          <w:color w:val="auto"/>
          <w:szCs w:val="21"/>
        </w:rPr>
        <w:t>除签字外必须是印刷形式，一般不许有加行、涂抹或改写；如有加行、涂抹或改写，必须由供应商法定代表人或其授权代表在修改处签名或加盖供应商公章。</w:t>
      </w:r>
    </w:p>
    <w:p w14:paraId="5DC3A1D5">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.4</w:t>
      </w:r>
      <w:r>
        <w:rPr>
          <w:rFonts w:hint="eastAsia" w:ascii="宋体" w:hAnsi="宋体" w:cs="宋体"/>
          <w:color w:val="auto"/>
          <w:szCs w:val="21"/>
        </w:rPr>
        <w:t>响应文件</w:t>
      </w:r>
      <w:r>
        <w:rPr>
          <w:rFonts w:ascii="宋体" w:hAnsi="宋体" w:cs="宋体"/>
          <w:color w:val="auto"/>
          <w:szCs w:val="21"/>
        </w:rPr>
        <w:t>正本须打印并由供应商的法定代表人或其委托代理人（具有法定代表人签署的授权书）在</w:t>
      </w:r>
      <w:r>
        <w:rPr>
          <w:rFonts w:hint="eastAsia" w:ascii="宋体" w:hAnsi="宋体" w:cs="宋体"/>
          <w:color w:val="auto"/>
          <w:szCs w:val="21"/>
        </w:rPr>
        <w:t>响应文件</w:t>
      </w:r>
      <w:r>
        <w:rPr>
          <w:rFonts w:ascii="宋体" w:hAnsi="宋体" w:cs="宋体"/>
          <w:color w:val="auto"/>
          <w:szCs w:val="21"/>
        </w:rPr>
        <w:t>上要求的地方签字，副本可通过正本复印。</w:t>
      </w:r>
    </w:p>
    <w:p w14:paraId="54F7C543">
      <w:pPr>
        <w:pStyle w:val="3"/>
        <w:ind w:firstLine="0"/>
        <w:jc w:val="center"/>
        <w:rPr>
          <w:rFonts w:hAnsi="宋体" w:cs="宋体"/>
          <w:color w:val="auto"/>
        </w:rPr>
      </w:pPr>
      <w:bookmarkStart w:id="90" w:name="_Toc527"/>
      <w:bookmarkStart w:id="91" w:name="_Toc79745398"/>
      <w:bookmarkStart w:id="92" w:name="_Toc8014"/>
      <w:bookmarkStart w:id="93" w:name="_Toc87953658"/>
      <w:bookmarkStart w:id="94" w:name="_Toc129780350"/>
      <w:bookmarkStart w:id="95" w:name="_Toc4262"/>
      <w:bookmarkStart w:id="96" w:name="_Toc101353628"/>
      <w:bookmarkStart w:id="97" w:name="_Toc143506655"/>
      <w:bookmarkStart w:id="98" w:name="_Toc87965318"/>
      <w:bookmarkStart w:id="99" w:name="_Toc18463"/>
      <w:bookmarkStart w:id="100" w:name="_Toc19125"/>
      <w:bookmarkStart w:id="101" w:name="_Toc29341"/>
      <w:bookmarkStart w:id="102" w:name="_Toc30342"/>
      <w:bookmarkStart w:id="103" w:name="_Toc19483"/>
      <w:bookmarkStart w:id="104" w:name="_Toc101722482"/>
      <w:bookmarkStart w:id="105" w:name="_Toc14992"/>
      <w:bookmarkStart w:id="106" w:name="_Toc30988"/>
      <w:bookmarkStart w:id="107" w:name="_Toc79741552"/>
      <w:r>
        <w:rPr>
          <w:rFonts w:hAnsi="宋体" w:cs="宋体"/>
          <w:color w:val="auto"/>
        </w:rPr>
        <w:t>（四）</w:t>
      </w:r>
      <w:r>
        <w:rPr>
          <w:rFonts w:hint="eastAsia" w:hAnsi="宋体" w:cs="宋体"/>
          <w:color w:val="auto"/>
        </w:rPr>
        <w:t>响应文件</w:t>
      </w:r>
      <w:r>
        <w:rPr>
          <w:rFonts w:hAnsi="宋体" w:cs="宋体"/>
          <w:color w:val="auto"/>
        </w:rPr>
        <w:t>的提</w:t>
      </w:r>
      <w:r>
        <w:rPr>
          <w:rFonts w:hint="eastAsia" w:hAnsi="宋体" w:cs="宋体"/>
          <w:color w:val="auto"/>
        </w:rPr>
        <w:t>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B26B138">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响应文件</w:t>
      </w:r>
      <w:r>
        <w:rPr>
          <w:rFonts w:ascii="宋体" w:hAnsi="宋体" w:cs="宋体"/>
          <w:b/>
          <w:color w:val="auto"/>
          <w:szCs w:val="21"/>
        </w:rPr>
        <w:t>的密封和标记</w:t>
      </w:r>
    </w:p>
    <w:p w14:paraId="33F7CB2A">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23</w:t>
      </w:r>
      <w:r>
        <w:rPr>
          <w:rFonts w:ascii="宋体" w:hAnsi="宋体" w:cs="宋体"/>
          <w:color w:val="auto"/>
          <w:szCs w:val="21"/>
        </w:rPr>
        <w:t>.1正本和电子文件单独封装，副本全部一起封装，并在每一个封套上标明项目名称、项目编号、供应商名称、地址及“正</w:t>
      </w:r>
      <w:r>
        <w:rPr>
          <w:rFonts w:hint="eastAsia" w:ascii="宋体" w:hAnsi="宋体" w:cs="宋体"/>
          <w:color w:val="auto"/>
          <w:szCs w:val="21"/>
        </w:rPr>
        <w:t>本</w:t>
      </w:r>
      <w:r>
        <w:rPr>
          <w:rFonts w:ascii="宋体" w:hAnsi="宋体" w:cs="宋体"/>
          <w:color w:val="auto"/>
          <w:szCs w:val="21"/>
        </w:rPr>
        <w:t>/</w:t>
      </w:r>
      <w:r>
        <w:rPr>
          <w:rFonts w:hint="eastAsia" w:ascii="宋体" w:hAnsi="宋体" w:cs="宋体"/>
          <w:color w:val="auto"/>
          <w:szCs w:val="21"/>
        </w:rPr>
        <w:t>副本</w:t>
      </w:r>
      <w:r>
        <w:rPr>
          <w:rFonts w:ascii="宋体" w:hAnsi="宋体" w:cs="宋体"/>
          <w:color w:val="auto"/>
          <w:szCs w:val="21"/>
        </w:rPr>
        <w:t>”等字样。</w:t>
      </w:r>
    </w:p>
    <w:p w14:paraId="5CBBFBFE">
      <w:pPr>
        <w:tabs>
          <w:tab w:val="left" w:pos="567"/>
        </w:tabs>
        <w:snapToGrid w:val="0"/>
        <w:spacing w:line="360" w:lineRule="auto"/>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3</w:t>
      </w:r>
      <w:r>
        <w:rPr>
          <w:rFonts w:ascii="宋体" w:hAnsi="宋体" w:cs="宋体"/>
          <w:color w:val="auto"/>
          <w:szCs w:val="21"/>
        </w:rPr>
        <w:t>.2封套上应注明：</w:t>
      </w:r>
    </w:p>
    <w:p w14:paraId="77E416BF">
      <w:pPr>
        <w:pBdr>
          <w:top w:val="single" w:color="auto" w:sz="4" w:space="1"/>
          <w:left w:val="single" w:color="auto" w:sz="4" w:space="4"/>
          <w:bottom w:val="single" w:color="auto" w:sz="4" w:space="1"/>
          <w:right w:val="single" w:color="auto" w:sz="4" w:space="0"/>
        </w:pBdr>
        <w:snapToGrid w:val="0"/>
        <w:spacing w:line="360" w:lineRule="auto"/>
        <w:ind w:left="850" w:leftChars="405" w:firstLine="4427" w:firstLineChars="2100"/>
        <w:jc w:val="right"/>
        <w:rPr>
          <w:rFonts w:ascii="宋体" w:hAnsi="宋体" w:cs="宋体"/>
          <w:b/>
          <w:color w:val="auto"/>
          <w:szCs w:val="21"/>
        </w:rPr>
      </w:pPr>
      <w:r>
        <w:rPr>
          <w:rFonts w:hint="eastAsia" w:ascii="宋体" w:hAnsi="宋体" w:cs="宋体"/>
          <w:b/>
          <w:color w:val="auto"/>
          <w:szCs w:val="21"/>
        </w:rPr>
        <w:t>正本</w:t>
      </w:r>
      <w:r>
        <w:rPr>
          <w:rFonts w:ascii="宋体" w:hAnsi="宋体" w:cs="宋体"/>
          <w:b/>
          <w:color w:val="auto"/>
          <w:szCs w:val="21"/>
        </w:rPr>
        <w:t>/</w:t>
      </w:r>
      <w:r>
        <w:rPr>
          <w:rFonts w:hint="eastAsia" w:ascii="宋体" w:hAnsi="宋体" w:cs="宋体"/>
          <w:b/>
          <w:color w:val="auto"/>
          <w:szCs w:val="21"/>
        </w:rPr>
        <w:t>副本</w:t>
      </w:r>
      <w:r>
        <w:rPr>
          <w:rFonts w:ascii="宋体" w:hAnsi="宋体" w:cs="宋体"/>
          <w:b/>
          <w:color w:val="auto"/>
          <w:szCs w:val="21"/>
        </w:rPr>
        <w:t xml:space="preserve"> </w:t>
      </w:r>
    </w:p>
    <w:p w14:paraId="4C258FFF">
      <w:pPr>
        <w:pBdr>
          <w:top w:val="single" w:color="auto" w:sz="4" w:space="1"/>
          <w:left w:val="single" w:color="auto" w:sz="4" w:space="4"/>
          <w:bottom w:val="single" w:color="auto" w:sz="4" w:space="1"/>
          <w:right w:val="single" w:color="auto" w:sz="4" w:space="0"/>
        </w:pBdr>
        <w:snapToGrid w:val="0"/>
        <w:spacing w:line="360" w:lineRule="auto"/>
        <w:ind w:left="850" w:leftChars="405"/>
        <w:jc w:val="left"/>
        <w:rPr>
          <w:rFonts w:ascii="宋体" w:hAnsi="宋体" w:cs="宋体"/>
          <w:b/>
          <w:color w:val="auto"/>
          <w:szCs w:val="21"/>
        </w:rPr>
      </w:pPr>
      <w:r>
        <w:rPr>
          <w:rFonts w:hint="eastAsia" w:ascii="宋体" w:hAnsi="宋体" w:cs="宋体"/>
          <w:b/>
          <w:color w:val="auto"/>
          <w:szCs w:val="21"/>
        </w:rPr>
        <w:t>收件人：</w:t>
      </w:r>
      <w:r>
        <w:rPr>
          <w:rFonts w:ascii="宋体" w:hAnsi="宋体" w:cs="宋体"/>
          <w:b/>
          <w:color w:val="auto"/>
          <w:szCs w:val="21"/>
        </w:rPr>
        <w:t>广东为诚招标代理有限公司</w:t>
      </w:r>
      <w:r>
        <w:rPr>
          <w:rFonts w:hint="eastAsia" w:ascii="宋体" w:hAnsi="宋体" w:cs="宋体"/>
          <w:b/>
          <w:color w:val="auto"/>
          <w:szCs w:val="21"/>
        </w:rPr>
        <w:t xml:space="preserve">          </w:t>
      </w:r>
    </w:p>
    <w:p w14:paraId="06D92F28">
      <w:pPr>
        <w:pBdr>
          <w:top w:val="single" w:color="auto" w:sz="4" w:space="1"/>
          <w:left w:val="single" w:color="auto" w:sz="4" w:space="4"/>
          <w:bottom w:val="single" w:color="auto" w:sz="4" w:space="1"/>
          <w:right w:val="single" w:color="auto" w:sz="4" w:space="0"/>
        </w:pBdr>
        <w:snapToGrid w:val="0"/>
        <w:spacing w:line="360" w:lineRule="auto"/>
        <w:ind w:left="850" w:leftChars="405"/>
        <w:rPr>
          <w:rFonts w:hint="eastAsia" w:ascii="宋体" w:hAnsi="宋体" w:eastAsia="宋体" w:cs="宋体"/>
          <w:b/>
          <w:color w:val="auto"/>
          <w:szCs w:val="21"/>
          <w:lang w:eastAsia="zh-CN"/>
        </w:rPr>
      </w:pPr>
      <w:r>
        <w:rPr>
          <w:rFonts w:ascii="宋体" w:hAnsi="宋体" w:cs="宋体"/>
          <w:b/>
          <w:color w:val="auto"/>
          <w:szCs w:val="21"/>
        </w:rPr>
        <w:t>项目名称：</w:t>
      </w:r>
      <w:r>
        <w:rPr>
          <w:rFonts w:hint="eastAsia" w:ascii="宋体" w:hAnsi="宋体" w:cs="宋体"/>
          <w:b/>
          <w:color w:val="auto"/>
          <w:szCs w:val="21"/>
          <w:lang w:eastAsia="zh-CN"/>
        </w:rPr>
        <w:t>2024年广州市南沙政务服务公众考核满意度调查项目</w:t>
      </w:r>
    </w:p>
    <w:p w14:paraId="7518AD1B">
      <w:pPr>
        <w:pBdr>
          <w:top w:val="single" w:color="auto" w:sz="4" w:space="1"/>
          <w:left w:val="single" w:color="auto" w:sz="4" w:space="4"/>
          <w:bottom w:val="single" w:color="auto" w:sz="4" w:space="1"/>
          <w:right w:val="single" w:color="auto" w:sz="4" w:space="0"/>
        </w:pBdr>
        <w:snapToGrid w:val="0"/>
        <w:spacing w:line="360" w:lineRule="auto"/>
        <w:ind w:left="850" w:leftChars="405"/>
        <w:rPr>
          <w:rFonts w:hint="eastAsia" w:ascii="宋体" w:hAnsi="宋体" w:eastAsia="宋体" w:cs="宋体"/>
          <w:b/>
          <w:color w:val="auto"/>
          <w:szCs w:val="21"/>
          <w:lang w:eastAsia="zh-CN"/>
        </w:rPr>
      </w:pPr>
      <w:r>
        <w:rPr>
          <w:rFonts w:ascii="宋体" w:hAnsi="宋体" w:cs="宋体"/>
          <w:b/>
          <w:color w:val="auto"/>
          <w:szCs w:val="21"/>
        </w:rPr>
        <w:t>项目编号:</w:t>
      </w:r>
      <w:r>
        <w:rPr>
          <w:rFonts w:hint="eastAsia" w:ascii="宋体" w:hAnsi="宋体" w:cs="宋体"/>
          <w:b/>
          <w:color w:val="auto"/>
          <w:szCs w:val="21"/>
          <w:lang w:eastAsia="zh-CN"/>
        </w:rPr>
        <w:t>GDWCFFC2312121</w:t>
      </w:r>
    </w:p>
    <w:p w14:paraId="69AF8F87">
      <w:pPr>
        <w:pBdr>
          <w:top w:val="single" w:color="auto" w:sz="4" w:space="1"/>
          <w:left w:val="single" w:color="auto" w:sz="4" w:space="4"/>
          <w:bottom w:val="single" w:color="auto" w:sz="4" w:space="1"/>
          <w:right w:val="single" w:color="auto" w:sz="4" w:space="0"/>
        </w:pBdr>
        <w:snapToGrid w:val="0"/>
        <w:spacing w:line="360" w:lineRule="auto"/>
        <w:ind w:left="850" w:leftChars="405"/>
        <w:rPr>
          <w:rFonts w:ascii="宋体" w:hAnsi="宋体" w:cs="宋体"/>
          <w:b/>
          <w:color w:val="auto"/>
          <w:szCs w:val="21"/>
        </w:rPr>
      </w:pPr>
      <w:r>
        <w:rPr>
          <w:rFonts w:ascii="宋体" w:hAnsi="宋体" w:cs="宋体"/>
          <w:b/>
          <w:color w:val="auto"/>
          <w:szCs w:val="21"/>
        </w:rPr>
        <w:t>供应商名称：</w:t>
      </w:r>
    </w:p>
    <w:p w14:paraId="4C8EAFA7">
      <w:pPr>
        <w:pBdr>
          <w:top w:val="single" w:color="auto" w:sz="4" w:space="1"/>
          <w:left w:val="single" w:color="auto" w:sz="4" w:space="4"/>
          <w:bottom w:val="single" w:color="auto" w:sz="4" w:space="1"/>
          <w:right w:val="single" w:color="auto" w:sz="4" w:space="0"/>
        </w:pBdr>
        <w:snapToGrid w:val="0"/>
        <w:spacing w:line="360" w:lineRule="auto"/>
        <w:ind w:left="850" w:leftChars="405"/>
        <w:rPr>
          <w:rFonts w:ascii="宋体" w:hAnsi="宋体" w:cs="宋体"/>
          <w:b/>
          <w:color w:val="auto"/>
          <w:szCs w:val="21"/>
        </w:rPr>
      </w:pPr>
      <w:r>
        <w:rPr>
          <w:rFonts w:ascii="宋体" w:hAnsi="宋体" w:cs="宋体"/>
          <w:b/>
          <w:color w:val="auto"/>
          <w:szCs w:val="21"/>
        </w:rPr>
        <w:t>供应商地址：</w:t>
      </w:r>
    </w:p>
    <w:p w14:paraId="2ECF649C">
      <w:pPr>
        <w:pBdr>
          <w:top w:val="single" w:color="auto" w:sz="4" w:space="1"/>
          <w:left w:val="single" w:color="auto" w:sz="4" w:space="4"/>
          <w:bottom w:val="single" w:color="auto" w:sz="4" w:space="1"/>
          <w:right w:val="single" w:color="auto" w:sz="4" w:space="0"/>
        </w:pBdr>
        <w:snapToGrid w:val="0"/>
        <w:spacing w:line="360" w:lineRule="auto"/>
        <w:ind w:left="850" w:leftChars="405"/>
        <w:rPr>
          <w:rFonts w:ascii="宋体" w:hAnsi="宋体" w:cs="宋体"/>
          <w:b/>
          <w:color w:val="auto"/>
          <w:szCs w:val="21"/>
        </w:rPr>
      </w:pPr>
      <w:r>
        <w:rPr>
          <w:rFonts w:ascii="宋体" w:hAnsi="宋体" w:cs="宋体"/>
          <w:b/>
          <w:color w:val="auto"/>
          <w:szCs w:val="21"/>
        </w:rPr>
        <w:t>在规定</w:t>
      </w:r>
      <w:r>
        <w:rPr>
          <w:rFonts w:ascii="宋体" w:hAnsi="宋体" w:cs="宋体"/>
          <w:b/>
          <w:color w:val="auto"/>
          <w:szCs w:val="21"/>
          <w:u w:val="single"/>
        </w:rPr>
        <w:t xml:space="preserve">    </w:t>
      </w:r>
      <w:r>
        <w:rPr>
          <w:rFonts w:hint="eastAsia" w:ascii="宋体" w:hAnsi="宋体" w:cs="宋体"/>
          <w:b/>
          <w:color w:val="auto"/>
          <w:szCs w:val="21"/>
          <w:u w:val="single"/>
        </w:rPr>
        <w:t>响应文件</w:t>
      </w:r>
      <w:r>
        <w:rPr>
          <w:rFonts w:ascii="宋体" w:hAnsi="宋体" w:cs="宋体"/>
          <w:b/>
          <w:color w:val="auto"/>
          <w:szCs w:val="21"/>
          <w:u w:val="single"/>
        </w:rPr>
        <w:t xml:space="preserve">提交截止时间        </w:t>
      </w:r>
      <w:r>
        <w:rPr>
          <w:rFonts w:ascii="宋体" w:hAnsi="宋体" w:cs="宋体"/>
          <w:b/>
          <w:color w:val="auto"/>
          <w:szCs w:val="21"/>
        </w:rPr>
        <w:t>之前不得启封</w:t>
      </w:r>
    </w:p>
    <w:p w14:paraId="1B903B9E">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迟交的</w:t>
      </w:r>
      <w:r>
        <w:rPr>
          <w:rFonts w:hint="eastAsia" w:ascii="宋体" w:hAnsi="宋体" w:cs="宋体"/>
          <w:b/>
          <w:color w:val="auto"/>
          <w:szCs w:val="21"/>
        </w:rPr>
        <w:t>响应文件</w:t>
      </w:r>
    </w:p>
    <w:p w14:paraId="6E917310">
      <w:pPr>
        <w:tabs>
          <w:tab w:val="left" w:pos="567"/>
        </w:tabs>
        <w:snapToGrid w:val="0"/>
        <w:spacing w:line="360" w:lineRule="auto"/>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4</w:t>
      </w:r>
      <w:r>
        <w:rPr>
          <w:rFonts w:ascii="宋体" w:hAnsi="宋体" w:cs="宋体"/>
          <w:color w:val="auto"/>
          <w:szCs w:val="21"/>
        </w:rPr>
        <w:t>.1采购代理机构将拒绝并原封退回在其规定的</w:t>
      </w:r>
      <w:r>
        <w:rPr>
          <w:rFonts w:hint="eastAsia" w:ascii="宋体" w:hAnsi="宋体" w:cs="宋体"/>
          <w:color w:val="auto"/>
          <w:szCs w:val="21"/>
        </w:rPr>
        <w:t>响应文件</w:t>
      </w:r>
      <w:r>
        <w:rPr>
          <w:rFonts w:ascii="宋体" w:hAnsi="宋体" w:cs="宋体"/>
          <w:color w:val="auto"/>
          <w:szCs w:val="21"/>
        </w:rPr>
        <w:t>提交截止时间后收到的任何</w:t>
      </w:r>
      <w:r>
        <w:rPr>
          <w:rFonts w:hint="eastAsia" w:ascii="宋体" w:hAnsi="宋体" w:cs="宋体"/>
          <w:color w:val="auto"/>
          <w:szCs w:val="21"/>
        </w:rPr>
        <w:t>响应文件</w:t>
      </w:r>
      <w:r>
        <w:rPr>
          <w:rFonts w:ascii="宋体" w:hAnsi="宋体" w:cs="宋体"/>
          <w:color w:val="auto"/>
          <w:szCs w:val="21"/>
        </w:rPr>
        <w:t>。</w:t>
      </w:r>
    </w:p>
    <w:p w14:paraId="1108D6CE">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4</w:t>
      </w:r>
      <w:r>
        <w:rPr>
          <w:rFonts w:ascii="宋体" w:hAnsi="宋体" w:cs="宋体"/>
          <w:color w:val="auto"/>
          <w:szCs w:val="21"/>
        </w:rPr>
        <w:t>.2磋商响应截止时间后如供应商少于3</w:t>
      </w:r>
      <w:r>
        <w:rPr>
          <w:rFonts w:hint="eastAsia" w:ascii="宋体" w:hAnsi="宋体" w:cs="宋体"/>
          <w:color w:val="auto"/>
          <w:szCs w:val="21"/>
        </w:rPr>
        <w:t>名，采</w:t>
      </w:r>
      <w:r>
        <w:rPr>
          <w:rFonts w:ascii="宋体" w:hAnsi="宋体" w:cs="宋体"/>
          <w:color w:val="auto"/>
          <w:szCs w:val="21"/>
        </w:rPr>
        <w:t>购代理机构将宣布本次采购失败，并原封退回收到的任何</w:t>
      </w:r>
      <w:r>
        <w:rPr>
          <w:rFonts w:hint="eastAsia" w:ascii="宋体" w:hAnsi="宋体" w:cs="宋体"/>
          <w:color w:val="auto"/>
          <w:szCs w:val="21"/>
        </w:rPr>
        <w:t>响应文件</w:t>
      </w:r>
      <w:r>
        <w:rPr>
          <w:rFonts w:ascii="宋体" w:hAnsi="宋体" w:cs="宋体"/>
          <w:color w:val="auto"/>
          <w:szCs w:val="21"/>
        </w:rPr>
        <w:t>，对受影响的供应商不承担任何责任。</w:t>
      </w:r>
    </w:p>
    <w:p w14:paraId="2F9832C4">
      <w:pPr>
        <w:tabs>
          <w:tab w:val="left" w:pos="567"/>
        </w:tabs>
        <w:snapToGrid w:val="0"/>
        <w:spacing w:line="360" w:lineRule="auto"/>
        <w:ind w:left="372" w:hanging="371" w:hangingChars="177"/>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4</w:t>
      </w:r>
      <w:r>
        <w:rPr>
          <w:rFonts w:ascii="宋体" w:hAnsi="宋体" w:cs="宋体"/>
          <w:color w:val="auto"/>
          <w:szCs w:val="21"/>
        </w:rPr>
        <w:t>.3如果推迟</w:t>
      </w:r>
      <w:r>
        <w:rPr>
          <w:rFonts w:hint="eastAsia" w:ascii="宋体" w:hAnsi="宋体" w:cs="宋体"/>
          <w:color w:val="auto"/>
          <w:szCs w:val="21"/>
        </w:rPr>
        <w:t>响应文件</w:t>
      </w:r>
      <w:r>
        <w:rPr>
          <w:rFonts w:ascii="宋体" w:hAnsi="宋体" w:cs="宋体"/>
          <w:color w:val="auto"/>
          <w:szCs w:val="21"/>
        </w:rPr>
        <w:t>提交截止时间，采购代理机构、采购人和供应商受</w:t>
      </w:r>
      <w:r>
        <w:rPr>
          <w:rFonts w:hint="eastAsia" w:ascii="宋体" w:hAnsi="宋体" w:cs="宋体"/>
          <w:color w:val="auto"/>
          <w:szCs w:val="21"/>
        </w:rPr>
        <w:t>响应文件</w:t>
      </w:r>
      <w:r>
        <w:rPr>
          <w:rFonts w:ascii="宋体" w:hAnsi="宋体" w:cs="宋体"/>
          <w:color w:val="auto"/>
          <w:szCs w:val="21"/>
        </w:rPr>
        <w:t>提交截止时间制约的所有权利和义务均应相应延长至新的截止时间。</w:t>
      </w:r>
    </w:p>
    <w:p w14:paraId="65302B6A">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响应文件</w:t>
      </w:r>
      <w:r>
        <w:rPr>
          <w:rFonts w:ascii="宋体" w:hAnsi="宋体" w:cs="宋体"/>
          <w:b/>
          <w:color w:val="auto"/>
          <w:szCs w:val="21"/>
        </w:rPr>
        <w:t>的修改和撤回</w:t>
      </w:r>
    </w:p>
    <w:p w14:paraId="5438A904">
      <w:pPr>
        <w:autoSpaceDE w:val="0"/>
        <w:autoSpaceDN w:val="0"/>
        <w:adjustRightInd w:val="0"/>
        <w:snapToGrid w:val="0"/>
        <w:spacing w:line="360" w:lineRule="auto"/>
        <w:ind w:left="372" w:hanging="371" w:hangingChars="177"/>
        <w:jc w:val="left"/>
        <w:rPr>
          <w:rFonts w:ascii="宋体" w:hAnsi="宋体" w:cs="宋体"/>
          <w:color w:val="auto"/>
          <w:szCs w:val="21"/>
          <w:lang w:eastAsia="zh-TW"/>
        </w:rPr>
      </w:pPr>
      <w:bookmarkStart w:id="108" w:name="_Toc337541099"/>
      <w:bookmarkStart w:id="109" w:name="_Toc111890783"/>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.1 供应商在</w:t>
      </w:r>
      <w:r>
        <w:rPr>
          <w:rFonts w:hint="eastAsia" w:ascii="宋体" w:hAnsi="宋体" w:cs="宋体"/>
          <w:color w:val="auto"/>
          <w:szCs w:val="21"/>
        </w:rPr>
        <w:t>响应文件</w:t>
      </w:r>
      <w:r>
        <w:rPr>
          <w:rFonts w:ascii="宋体" w:hAnsi="宋体" w:cs="宋体"/>
          <w:color w:val="auto"/>
          <w:szCs w:val="21"/>
        </w:rPr>
        <w:t>提交截止期前，可以对所提交的</w:t>
      </w:r>
      <w:r>
        <w:rPr>
          <w:rFonts w:hint="eastAsia" w:ascii="宋体" w:hAnsi="宋体" w:cs="宋体"/>
          <w:color w:val="auto"/>
          <w:szCs w:val="21"/>
        </w:rPr>
        <w:t>响应文件</w:t>
      </w:r>
      <w:r>
        <w:rPr>
          <w:rFonts w:ascii="宋体" w:hAnsi="宋体" w:cs="宋体"/>
          <w:color w:val="auto"/>
          <w:szCs w:val="21"/>
        </w:rPr>
        <w:t>进行补充、修改或者撤回，并书面通知招标采购单位。补充、修改的内容应当按磋商文件要求签署、盖章，并作为</w:t>
      </w:r>
      <w:r>
        <w:rPr>
          <w:rFonts w:hint="eastAsia" w:ascii="宋体" w:hAnsi="宋体" w:cs="宋体"/>
          <w:color w:val="auto"/>
          <w:szCs w:val="21"/>
        </w:rPr>
        <w:t>响应文件</w:t>
      </w:r>
      <w:r>
        <w:rPr>
          <w:rFonts w:ascii="宋体" w:hAnsi="宋体" w:cs="宋体"/>
          <w:color w:val="auto"/>
          <w:szCs w:val="21"/>
        </w:rPr>
        <w:t>的组成部分。</w:t>
      </w:r>
    </w:p>
    <w:p w14:paraId="4DA0FFC9">
      <w:pPr>
        <w:autoSpaceDE w:val="0"/>
        <w:autoSpaceDN w:val="0"/>
        <w:adjustRightInd w:val="0"/>
        <w:snapToGrid w:val="0"/>
        <w:spacing w:line="360" w:lineRule="auto"/>
        <w:ind w:left="372" w:hanging="371" w:hangingChars="177"/>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.2 在磋商截止时间之后，</w:t>
      </w:r>
      <w:r>
        <w:rPr>
          <w:rFonts w:hint="eastAsia" w:ascii="宋体" w:hAnsi="宋体" w:cs="宋体"/>
          <w:color w:val="auto"/>
          <w:szCs w:val="21"/>
        </w:rPr>
        <w:t>响应供应商</w:t>
      </w:r>
      <w:r>
        <w:rPr>
          <w:rFonts w:ascii="宋体" w:hAnsi="宋体" w:cs="宋体"/>
          <w:color w:val="auto"/>
          <w:szCs w:val="21"/>
        </w:rPr>
        <w:t>不得对其</w:t>
      </w:r>
      <w:r>
        <w:rPr>
          <w:rFonts w:hint="eastAsia" w:ascii="宋体" w:hAnsi="宋体" w:cs="宋体"/>
          <w:color w:val="auto"/>
          <w:szCs w:val="21"/>
        </w:rPr>
        <w:t>响应文件</w:t>
      </w:r>
      <w:r>
        <w:rPr>
          <w:rFonts w:ascii="宋体" w:hAnsi="宋体" w:cs="宋体"/>
          <w:color w:val="auto"/>
          <w:szCs w:val="21"/>
        </w:rPr>
        <w:t>做任何修改。</w:t>
      </w:r>
    </w:p>
    <w:p w14:paraId="092E5550">
      <w:pPr>
        <w:autoSpaceDE w:val="0"/>
        <w:autoSpaceDN w:val="0"/>
        <w:adjustRightInd w:val="0"/>
        <w:snapToGrid w:val="0"/>
        <w:spacing w:line="360" w:lineRule="auto"/>
        <w:ind w:left="372" w:hanging="371" w:hangingChars="177"/>
        <w:jc w:val="left"/>
        <w:rPr>
          <w:rFonts w:ascii="宋体" w:hAnsi="宋体" w:cs="宋体"/>
          <w:color w:val="auto"/>
          <w:szCs w:val="21"/>
        </w:rPr>
      </w:pPr>
      <w:r>
        <w:rPr>
          <w:rFonts w:hint="eastAsia" w:ascii="宋体" w:hAnsi="宋体" w:cs="宋体"/>
          <w:color w:val="auto"/>
          <w:szCs w:val="21"/>
        </w:rPr>
        <w:t>25</w:t>
      </w:r>
      <w:r>
        <w:rPr>
          <w:rFonts w:ascii="宋体" w:hAnsi="宋体" w:cs="宋体"/>
          <w:color w:val="auto"/>
          <w:szCs w:val="21"/>
        </w:rPr>
        <w:t>.</w:t>
      </w:r>
      <w:r>
        <w:rPr>
          <w:rFonts w:hint="eastAsia" w:ascii="宋体" w:hAnsi="宋体" w:cs="宋体"/>
          <w:color w:val="auto"/>
          <w:szCs w:val="21"/>
        </w:rPr>
        <w:t>3 除非磋商文件另有</w:t>
      </w:r>
      <w:r>
        <w:rPr>
          <w:rFonts w:ascii="宋体" w:hAnsi="宋体" w:cs="宋体"/>
          <w:color w:val="auto"/>
          <w:szCs w:val="21"/>
        </w:rPr>
        <w:t>规定或说明，</w:t>
      </w:r>
      <w:r>
        <w:rPr>
          <w:rFonts w:hint="eastAsia" w:ascii="宋体" w:hAnsi="宋体" w:cs="宋体"/>
          <w:color w:val="auto"/>
          <w:szCs w:val="21"/>
        </w:rPr>
        <w:t>响应文件</w:t>
      </w:r>
      <w:r>
        <w:rPr>
          <w:rFonts w:ascii="宋体" w:hAnsi="宋体" w:cs="宋体"/>
          <w:color w:val="auto"/>
          <w:szCs w:val="21"/>
        </w:rPr>
        <w:t>一律不予退还。</w:t>
      </w:r>
    </w:p>
    <w:p w14:paraId="1F94C163">
      <w:pPr>
        <w:numPr>
          <w:ilvl w:val="0"/>
          <w:numId w:val="4"/>
        </w:numPr>
        <w:tabs>
          <w:tab w:val="left" w:pos="284"/>
          <w:tab w:val="left" w:pos="426"/>
        </w:tabs>
        <w:snapToGrid w:val="0"/>
        <w:spacing w:line="360" w:lineRule="auto"/>
        <w:ind w:hanging="1118"/>
        <w:rPr>
          <w:rFonts w:ascii="宋体" w:hAnsi="宋体" w:cs="宋体"/>
          <w:b/>
          <w:color w:val="auto"/>
          <w:sz w:val="24"/>
        </w:rPr>
      </w:pPr>
      <w:r>
        <w:rPr>
          <w:rFonts w:hint="eastAsia" w:ascii="宋体" w:hAnsi="宋体" w:cs="宋体"/>
          <w:b/>
          <w:color w:val="auto"/>
          <w:sz w:val="24"/>
        </w:rPr>
        <w:t>响应文件</w:t>
      </w:r>
      <w:r>
        <w:rPr>
          <w:rFonts w:ascii="宋体" w:hAnsi="宋体" w:cs="宋体"/>
          <w:b/>
          <w:color w:val="auto"/>
          <w:sz w:val="24"/>
        </w:rPr>
        <w:t>的接收</w:t>
      </w:r>
    </w:p>
    <w:p w14:paraId="73D54D10">
      <w:pPr>
        <w:pStyle w:val="62"/>
        <w:numPr>
          <w:ilvl w:val="0"/>
          <w:numId w:val="6"/>
        </w:numPr>
        <w:tabs>
          <w:tab w:val="left" w:pos="720"/>
        </w:tabs>
        <w:snapToGrid w:val="0"/>
        <w:spacing w:line="360" w:lineRule="auto"/>
        <w:ind w:firstLineChars="0"/>
        <w:rPr>
          <w:rFonts w:ascii="宋体" w:hAnsi="宋体" w:cs="宋体"/>
          <w:vanish/>
          <w:color w:val="auto"/>
          <w:szCs w:val="21"/>
        </w:rPr>
      </w:pPr>
    </w:p>
    <w:p w14:paraId="79E1A644">
      <w:pPr>
        <w:pStyle w:val="62"/>
        <w:numPr>
          <w:ilvl w:val="0"/>
          <w:numId w:val="6"/>
        </w:numPr>
        <w:tabs>
          <w:tab w:val="left" w:pos="720"/>
        </w:tabs>
        <w:snapToGrid w:val="0"/>
        <w:spacing w:line="360" w:lineRule="auto"/>
        <w:ind w:firstLineChars="0"/>
        <w:rPr>
          <w:rFonts w:ascii="宋体" w:hAnsi="宋体" w:cs="宋体"/>
          <w:vanish/>
          <w:color w:val="auto"/>
          <w:szCs w:val="21"/>
        </w:rPr>
      </w:pPr>
    </w:p>
    <w:p w14:paraId="755A3A0F">
      <w:pPr>
        <w:autoSpaceDE w:val="0"/>
        <w:autoSpaceDN w:val="0"/>
        <w:adjustRightInd w:val="0"/>
        <w:snapToGrid w:val="0"/>
        <w:spacing w:line="360" w:lineRule="auto"/>
        <w:ind w:left="372" w:hanging="371" w:hangingChars="177"/>
        <w:jc w:val="left"/>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6</w:t>
      </w:r>
      <w:r>
        <w:rPr>
          <w:rFonts w:ascii="宋体" w:hAnsi="宋体" w:cs="宋体"/>
          <w:color w:val="auto"/>
          <w:szCs w:val="21"/>
        </w:rPr>
        <w:t>.1 采购代理机构在磋商邀请中规定的日期、时间和地点接收供应商递交的</w:t>
      </w:r>
      <w:r>
        <w:rPr>
          <w:rFonts w:hint="eastAsia" w:ascii="宋体" w:hAnsi="宋体" w:cs="宋体"/>
          <w:color w:val="auto"/>
          <w:szCs w:val="21"/>
        </w:rPr>
        <w:t>响应文件</w:t>
      </w:r>
      <w:r>
        <w:rPr>
          <w:rFonts w:ascii="宋体" w:hAnsi="宋体" w:cs="宋体"/>
          <w:color w:val="auto"/>
          <w:szCs w:val="21"/>
        </w:rPr>
        <w:t>。</w:t>
      </w:r>
    </w:p>
    <w:p w14:paraId="38DEEC8E">
      <w:pPr>
        <w:autoSpaceDE w:val="0"/>
        <w:autoSpaceDN w:val="0"/>
        <w:adjustRightInd w:val="0"/>
        <w:snapToGrid w:val="0"/>
        <w:spacing w:line="360" w:lineRule="auto"/>
        <w:ind w:left="372" w:hanging="371" w:hangingChars="177"/>
        <w:jc w:val="left"/>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6</w:t>
      </w:r>
      <w:r>
        <w:rPr>
          <w:rFonts w:ascii="宋体" w:hAnsi="宋体" w:cs="宋体"/>
          <w:color w:val="auto"/>
          <w:szCs w:val="21"/>
        </w:rPr>
        <w:t>.2 供应商必须由法定代表人或其授权代表（具有法定代表人签署的授权书）携带身份证原件或其它法定可证明其个人身份证明的原件证件照（如车辆驾驶证）参加，签到证明其出席本次会议。若法定代表人或其授权代表未出席开标会，视为认可开标结果。</w:t>
      </w:r>
    </w:p>
    <w:p w14:paraId="7E10B838">
      <w:pPr>
        <w:autoSpaceDE w:val="0"/>
        <w:autoSpaceDN w:val="0"/>
        <w:adjustRightInd w:val="0"/>
        <w:snapToGrid w:val="0"/>
        <w:spacing w:line="360" w:lineRule="auto"/>
        <w:ind w:left="372" w:hanging="371" w:hangingChars="177"/>
        <w:jc w:val="left"/>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6</w:t>
      </w:r>
      <w:r>
        <w:rPr>
          <w:rFonts w:ascii="宋体" w:hAnsi="宋体" w:cs="宋体"/>
          <w:color w:val="auto"/>
          <w:szCs w:val="21"/>
        </w:rPr>
        <w:t xml:space="preserve">.3 </w:t>
      </w:r>
      <w:r>
        <w:rPr>
          <w:rFonts w:hint="eastAsia" w:ascii="宋体" w:hAnsi="宋体" w:cs="宋体"/>
          <w:color w:val="auto"/>
          <w:szCs w:val="21"/>
        </w:rPr>
        <w:t>响应文件</w:t>
      </w:r>
      <w:r>
        <w:rPr>
          <w:rFonts w:ascii="宋体" w:hAnsi="宋体" w:cs="宋体"/>
          <w:color w:val="auto"/>
          <w:szCs w:val="21"/>
        </w:rPr>
        <w:t>接收过程应当由采购代理机构负责记录，由各响应供应商代表和相关工作人员签字确认</w:t>
      </w:r>
      <w:r>
        <w:rPr>
          <w:rFonts w:hint="eastAsia" w:ascii="宋体" w:hAnsi="宋体" w:cs="宋体"/>
          <w:color w:val="auto"/>
          <w:szCs w:val="21"/>
        </w:rPr>
        <w:t>。</w:t>
      </w:r>
    </w:p>
    <w:p w14:paraId="48A967EF">
      <w:pPr>
        <w:autoSpaceDE w:val="0"/>
        <w:autoSpaceDN w:val="0"/>
        <w:adjustRightInd w:val="0"/>
        <w:snapToGrid w:val="0"/>
        <w:spacing w:line="360" w:lineRule="auto"/>
        <w:ind w:left="372" w:hanging="371" w:hangingChars="177"/>
        <w:jc w:val="left"/>
        <w:rPr>
          <w:rFonts w:ascii="宋体" w:hAnsi="宋体" w:cs="宋体"/>
          <w:color w:val="auto"/>
          <w:szCs w:val="21"/>
          <w:lang w:eastAsia="zh-TW"/>
        </w:rPr>
      </w:pPr>
      <w:r>
        <w:rPr>
          <w:rFonts w:ascii="宋体" w:hAnsi="宋体" w:cs="宋体"/>
          <w:color w:val="auto"/>
          <w:szCs w:val="21"/>
        </w:rPr>
        <w:t>2</w:t>
      </w:r>
      <w:r>
        <w:rPr>
          <w:rFonts w:hint="eastAsia" w:ascii="宋体" w:hAnsi="宋体" w:cs="宋体"/>
          <w:color w:val="auto"/>
          <w:szCs w:val="21"/>
        </w:rPr>
        <w:t>6</w:t>
      </w:r>
      <w:r>
        <w:rPr>
          <w:rFonts w:ascii="宋体" w:hAnsi="宋体" w:cs="宋体"/>
          <w:color w:val="auto"/>
          <w:szCs w:val="21"/>
        </w:rPr>
        <w:t>.4 响应文件递交截止时间后，由全体响应供应商或者其推选的代表对全部响应文件的密封情况进行检查。</w:t>
      </w:r>
    </w:p>
    <w:bookmarkEnd w:id="108"/>
    <w:bookmarkEnd w:id="109"/>
    <w:p w14:paraId="070971B5">
      <w:pPr>
        <w:pStyle w:val="3"/>
        <w:ind w:firstLine="0"/>
        <w:jc w:val="center"/>
        <w:rPr>
          <w:rFonts w:hAnsi="宋体" w:cs="宋体"/>
          <w:color w:val="auto"/>
        </w:rPr>
      </w:pPr>
      <w:bookmarkStart w:id="110" w:name="_Toc28994"/>
      <w:bookmarkStart w:id="111" w:name="_Toc25927"/>
      <w:bookmarkStart w:id="112" w:name="_Toc26578"/>
      <w:bookmarkStart w:id="113" w:name="_Toc79745399"/>
      <w:bookmarkStart w:id="114" w:name="_Toc87965319"/>
      <w:bookmarkStart w:id="115" w:name="_Toc101353629"/>
      <w:bookmarkStart w:id="116" w:name="_Toc79741553"/>
      <w:bookmarkStart w:id="117" w:name="_Toc29196"/>
      <w:bookmarkStart w:id="118" w:name="_Toc9650"/>
      <w:bookmarkStart w:id="119" w:name="_Toc365"/>
      <w:bookmarkStart w:id="120" w:name="_Toc143506656"/>
      <w:bookmarkStart w:id="121" w:name="_Toc621"/>
      <w:bookmarkStart w:id="122" w:name="_Toc87953659"/>
      <w:bookmarkStart w:id="123" w:name="_Toc8565"/>
      <w:bookmarkStart w:id="124" w:name="_Toc17719"/>
      <w:bookmarkStart w:id="125" w:name="_Toc129780351"/>
      <w:bookmarkStart w:id="126" w:name="_Toc32462"/>
      <w:bookmarkStart w:id="127" w:name="_Toc101722483"/>
      <w:r>
        <w:rPr>
          <w:rFonts w:hAnsi="宋体" w:cs="宋体"/>
          <w:color w:val="auto"/>
        </w:rPr>
        <w:t>（五）关于评审</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E16CBE7">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磋商小组</w:t>
      </w:r>
    </w:p>
    <w:p w14:paraId="49E4786D">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27.</w:t>
      </w:r>
      <w:r>
        <w:rPr>
          <w:rFonts w:ascii="宋体" w:hAnsi="宋体" w:cs="宋体"/>
          <w:color w:val="auto"/>
          <w:szCs w:val="21"/>
        </w:rPr>
        <w:t>1磋商小组由采购人代表和评审专家共三人以上单数组成，其中专家在专家库中随机抽取，如采购人不派代表参加评审，则磋商小组全部由专家组成。磋商小组本着公平、公正、科学、择优的原则，严格按照法律法规和磋商文件的要求推荐评审结果。磋商小组在磋商及评审过程中出现意见不一致时，应遵循少数服从多数原则。</w:t>
      </w:r>
    </w:p>
    <w:p w14:paraId="1AEF0F54">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27</w:t>
      </w:r>
      <w:r>
        <w:rPr>
          <w:rFonts w:ascii="宋体" w:hAnsi="宋体" w:cs="宋体"/>
          <w:color w:val="auto"/>
          <w:szCs w:val="21"/>
        </w:rPr>
        <w:t>.2磋商小组所有成员集中对</w:t>
      </w:r>
      <w:r>
        <w:rPr>
          <w:rFonts w:hint="eastAsia" w:ascii="宋体" w:hAnsi="宋体" w:cs="宋体"/>
          <w:color w:val="auto"/>
          <w:szCs w:val="21"/>
        </w:rPr>
        <w:t>响应文件</w:t>
      </w:r>
      <w:r>
        <w:rPr>
          <w:rFonts w:ascii="宋体" w:hAnsi="宋体" w:cs="宋体"/>
          <w:color w:val="auto"/>
          <w:szCs w:val="21"/>
        </w:rPr>
        <w:t>进行审查，与每个供应商分别进行先商务技术条件后价格的磋商，本次磋商采用一轮磋商，两次报价形式进行。磋商小组也可视实际情况确定磋商轮次（报价最多不超过3轮），并提交评审报告及推荐</w:t>
      </w:r>
      <w:r>
        <w:rPr>
          <w:rFonts w:hint="eastAsia" w:ascii="宋体" w:hAnsi="宋体" w:cs="宋体"/>
          <w:color w:val="auto"/>
          <w:szCs w:val="21"/>
        </w:rPr>
        <w:t>成交供应商</w:t>
      </w:r>
      <w:r>
        <w:rPr>
          <w:rFonts w:ascii="宋体" w:hAnsi="宋体" w:cs="宋体"/>
          <w:color w:val="auto"/>
          <w:szCs w:val="21"/>
        </w:rPr>
        <w:t>。</w:t>
      </w:r>
    </w:p>
    <w:p w14:paraId="5E1CEAE3">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27</w:t>
      </w:r>
      <w:r>
        <w:rPr>
          <w:rFonts w:ascii="宋体" w:hAnsi="宋体" w:cs="宋体"/>
          <w:color w:val="auto"/>
          <w:szCs w:val="21"/>
        </w:rPr>
        <w:t>.3磋商小组名单在磋商结果确定前严格保密。磋商专家（不含采购人代表）有下列情形之一的，受到邀请应主动提出回避，采购当事人也可以要求该磋商专家回避：</w:t>
      </w:r>
    </w:p>
    <w:p w14:paraId="6DE46D7C">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①本人、配偶或直系亲属3年内曾在参加该采购项目的供应商中任职（包括一般工作）或担任顾问、董事、监事或与参加该采购项目的供应商发生过法律纠纷；</w:t>
      </w:r>
    </w:p>
    <w:p w14:paraId="7EF70276">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②参加采购活动前3年内是供应商的控股股东或者实际控制人；</w:t>
      </w:r>
    </w:p>
    <w:p w14:paraId="1F4BE89E">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③与供应商的法定代表人或者负责人有夫妻、直系血亲、三代以内旁系血亲或者近姻亲关系；</w:t>
      </w:r>
    </w:p>
    <w:p w14:paraId="5AA69C21">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④任职单位与采购人或参加该采购项目供应商存在行政隶属关系；</w:t>
      </w:r>
    </w:p>
    <w:p w14:paraId="2083F610">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⑤曾经参加过该采购项目的进口产品或磋商文件、采购需求、采购方式的论证和咨询服务工作</w:t>
      </w:r>
      <w:r>
        <w:rPr>
          <w:rFonts w:hint="eastAsia" w:ascii="宋体" w:hAnsi="宋体" w:cs="宋体"/>
          <w:color w:val="auto"/>
          <w:szCs w:val="21"/>
        </w:rPr>
        <w:t>；</w:t>
      </w:r>
    </w:p>
    <w:p w14:paraId="1ADFEB72">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⑥为参加该采购项目供应商的上级主管部门、控股或参股单位的工作人员，或与该供应商存在其他经济利益关系；</w:t>
      </w:r>
    </w:p>
    <w:p w14:paraId="6A9CF6B2">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⑦磋商小组成员之间具有配偶、近亲属关系；</w:t>
      </w:r>
    </w:p>
    <w:p w14:paraId="38F15500">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⑧同一单位的评审专家在同一项目磋商小组成员中超过两名；</w:t>
      </w:r>
    </w:p>
    <w:p w14:paraId="3F990995">
      <w:pPr>
        <w:tabs>
          <w:tab w:val="left" w:pos="567"/>
        </w:tabs>
        <w:snapToGrid w:val="0"/>
        <w:spacing w:line="360" w:lineRule="auto"/>
        <w:ind w:left="567"/>
        <w:rPr>
          <w:rFonts w:ascii="宋体" w:hAnsi="宋体" w:cs="宋体"/>
          <w:color w:val="auto"/>
          <w:szCs w:val="21"/>
        </w:rPr>
      </w:pPr>
      <w:r>
        <w:rPr>
          <w:rFonts w:ascii="宋体" w:hAnsi="宋体" w:cs="宋体"/>
          <w:color w:val="auto"/>
          <w:szCs w:val="21"/>
        </w:rPr>
        <w:t>⑨法律、法规、规章规定应当回避以及其他可能影响公正评审的。</w:t>
      </w:r>
    </w:p>
    <w:p w14:paraId="7E88FD04">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磋商的原则</w:t>
      </w:r>
    </w:p>
    <w:p w14:paraId="112E0E9B">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28</w:t>
      </w:r>
      <w:r>
        <w:rPr>
          <w:rFonts w:ascii="宋体" w:hAnsi="宋体" w:cs="宋体"/>
          <w:color w:val="auto"/>
          <w:szCs w:val="21"/>
        </w:rPr>
        <w:t>.1磋商小组将依据采购的有关规定，遵循“公开、公平、公正、科学、择优”的原则进行磋商和评审工作。磋商小组将按照规定只对通过资格性、符合性评审的</w:t>
      </w:r>
      <w:r>
        <w:rPr>
          <w:rFonts w:hint="eastAsia" w:ascii="宋体" w:hAnsi="宋体" w:cs="宋体"/>
          <w:color w:val="auto"/>
          <w:szCs w:val="21"/>
        </w:rPr>
        <w:t>响应文件</w:t>
      </w:r>
      <w:r>
        <w:rPr>
          <w:rFonts w:ascii="宋体" w:hAnsi="宋体" w:cs="宋体"/>
          <w:color w:val="auto"/>
          <w:szCs w:val="21"/>
        </w:rPr>
        <w:t>进行最终评审和比较。如各评委结论不一致时，磋商小组的结论以少数服从多数原则确定。</w:t>
      </w:r>
    </w:p>
    <w:p w14:paraId="0083EA39">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28</w:t>
      </w:r>
      <w:r>
        <w:rPr>
          <w:rFonts w:ascii="宋体" w:hAnsi="宋体" w:cs="宋体"/>
          <w:color w:val="auto"/>
          <w:szCs w:val="21"/>
        </w:rPr>
        <w:t>.2在磋商中，磋商的任何一方不得透露与磋商有关的其他供应商的技术资料、价格和其他信息。磋商小组和参与磋商的有关工作人员不得透露对</w:t>
      </w:r>
      <w:r>
        <w:rPr>
          <w:rFonts w:hint="eastAsia" w:ascii="宋体" w:hAnsi="宋体" w:cs="宋体"/>
          <w:color w:val="auto"/>
          <w:szCs w:val="21"/>
        </w:rPr>
        <w:t>响应文件</w:t>
      </w:r>
      <w:r>
        <w:rPr>
          <w:rFonts w:ascii="宋体" w:hAnsi="宋体" w:cs="宋体"/>
          <w:color w:val="auto"/>
          <w:szCs w:val="21"/>
        </w:rPr>
        <w:t>的评审和比较以及与磋商有关的其他情况。</w:t>
      </w:r>
    </w:p>
    <w:p w14:paraId="34FAB341">
      <w:pPr>
        <w:tabs>
          <w:tab w:val="left" w:pos="567"/>
        </w:tabs>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28</w:t>
      </w:r>
      <w:r>
        <w:rPr>
          <w:rFonts w:ascii="宋体" w:hAnsi="宋体" w:cs="宋体"/>
          <w:color w:val="auto"/>
          <w:szCs w:val="21"/>
        </w:rPr>
        <w:t>.3对磋商文件中描述有歧义或前后不一致的地方，磋商小组有权进行评判，但对同一条款的评判应适用于每个供应商。</w:t>
      </w:r>
    </w:p>
    <w:p w14:paraId="4036765C">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响应文件</w:t>
      </w:r>
      <w:r>
        <w:rPr>
          <w:rFonts w:ascii="宋体" w:hAnsi="宋体" w:cs="宋体"/>
          <w:b/>
          <w:color w:val="auto"/>
          <w:szCs w:val="21"/>
        </w:rPr>
        <w:t>差异修正准则</w:t>
      </w:r>
    </w:p>
    <w:p w14:paraId="4A6F443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响应文件</w:t>
      </w:r>
      <w:r>
        <w:rPr>
          <w:rFonts w:ascii="宋体" w:hAnsi="宋体" w:cs="宋体"/>
          <w:color w:val="auto"/>
          <w:szCs w:val="21"/>
        </w:rPr>
        <w:t>出现差异时，磋商小组按以下修正原则及顺序对</w:t>
      </w:r>
      <w:r>
        <w:rPr>
          <w:rFonts w:hint="eastAsia" w:ascii="宋体" w:hAnsi="宋体" w:cs="宋体"/>
          <w:color w:val="auto"/>
          <w:szCs w:val="21"/>
        </w:rPr>
        <w:t>响应文件</w:t>
      </w:r>
      <w:r>
        <w:rPr>
          <w:rFonts w:ascii="宋体" w:hAnsi="宋体" w:cs="宋体"/>
          <w:color w:val="auto"/>
          <w:szCs w:val="21"/>
        </w:rPr>
        <w:t>的差异进行修正：</w:t>
      </w:r>
    </w:p>
    <w:p w14:paraId="2075D99C">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①</w:t>
      </w:r>
      <w:r>
        <w:rPr>
          <w:rFonts w:hint="eastAsia" w:ascii="宋体" w:hAnsi="宋体" w:cs="宋体"/>
          <w:color w:val="auto"/>
          <w:szCs w:val="21"/>
        </w:rPr>
        <w:t>响应文件</w:t>
      </w:r>
      <w:r>
        <w:rPr>
          <w:rFonts w:ascii="宋体" w:hAnsi="宋体" w:cs="宋体"/>
          <w:color w:val="auto"/>
          <w:szCs w:val="21"/>
        </w:rPr>
        <w:t>中报价一览表（首次报价）内容与</w:t>
      </w:r>
      <w:r>
        <w:rPr>
          <w:rFonts w:hint="eastAsia" w:ascii="宋体" w:hAnsi="宋体" w:cs="宋体"/>
          <w:color w:val="auto"/>
          <w:szCs w:val="21"/>
        </w:rPr>
        <w:t>响应文件</w:t>
      </w:r>
      <w:r>
        <w:rPr>
          <w:rFonts w:ascii="宋体" w:hAnsi="宋体" w:cs="宋体"/>
          <w:color w:val="auto"/>
          <w:szCs w:val="21"/>
        </w:rPr>
        <w:t>中相应内容不一致的，以报价一览表（首次报价）为准；</w:t>
      </w:r>
    </w:p>
    <w:p w14:paraId="6E149904">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②大写金额和小写金额不一致的，以大写金额为准；</w:t>
      </w:r>
    </w:p>
    <w:p w14:paraId="2B592E52">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③单价金额小数点或者百分比有明显错位的，以开标一览表的总价为准，并修改单价；</w:t>
      </w:r>
    </w:p>
    <w:p w14:paraId="61CC6BA2">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④总价金额与按单价汇总金额不一致的，以单价金额计算结果为准，修正对应的该项合计价；</w:t>
      </w:r>
    </w:p>
    <w:p w14:paraId="762F92B8">
      <w:pPr>
        <w:tabs>
          <w:tab w:val="left" w:pos="993"/>
        </w:tabs>
        <w:snapToGrid w:val="0"/>
        <w:spacing w:line="360" w:lineRule="auto"/>
        <w:ind w:firstLine="420" w:firstLineChars="200"/>
        <w:rPr>
          <w:rFonts w:ascii="宋体" w:hAnsi="宋体" w:cs="宋体"/>
          <w:color w:val="auto"/>
          <w:szCs w:val="21"/>
          <w:lang w:eastAsia="zh-TW"/>
        </w:rPr>
      </w:pPr>
      <w:r>
        <w:rPr>
          <w:rFonts w:ascii="宋体" w:hAnsi="宋体" w:cs="宋体"/>
          <w:color w:val="auto"/>
          <w:szCs w:val="21"/>
        </w:rPr>
        <w:t>⑤同时出现两种以上不一致的，按照前款规定的顺序修正。修正后的报价按照：</w:t>
      </w:r>
      <w:r>
        <w:rPr>
          <w:rFonts w:hint="eastAsia" w:ascii="宋体" w:hAnsi="宋体" w:cs="宋体"/>
          <w:color w:val="auto"/>
          <w:szCs w:val="21"/>
        </w:rPr>
        <w:t>响应供应商</w:t>
      </w:r>
      <w:r>
        <w:rPr>
          <w:rFonts w:ascii="宋体" w:hAnsi="宋体" w:cs="宋体"/>
          <w:color w:val="auto"/>
          <w:szCs w:val="21"/>
        </w:rPr>
        <w:t>的澄清、说明或者补正应当采用书面形式，并加盖公章，或者由法定代表人或其授权的代表签字。</w:t>
      </w:r>
      <w:r>
        <w:rPr>
          <w:rFonts w:hint="eastAsia" w:ascii="宋体" w:hAnsi="宋体" w:cs="宋体"/>
          <w:color w:val="auto"/>
          <w:szCs w:val="21"/>
        </w:rPr>
        <w:t>响应供应商</w:t>
      </w:r>
      <w:r>
        <w:rPr>
          <w:rFonts w:ascii="宋体" w:hAnsi="宋体" w:cs="宋体"/>
          <w:color w:val="auto"/>
          <w:szCs w:val="21"/>
        </w:rPr>
        <w:t>的澄清、说明或者补正不得超出</w:t>
      </w:r>
      <w:r>
        <w:rPr>
          <w:rFonts w:hint="eastAsia" w:ascii="宋体" w:hAnsi="宋体" w:cs="宋体"/>
          <w:color w:val="auto"/>
          <w:szCs w:val="21"/>
        </w:rPr>
        <w:t>响应文件</w:t>
      </w:r>
      <w:r>
        <w:rPr>
          <w:rFonts w:ascii="宋体" w:hAnsi="宋体" w:cs="宋体"/>
          <w:color w:val="auto"/>
          <w:szCs w:val="21"/>
        </w:rPr>
        <w:t>的范围或者改变</w:t>
      </w:r>
      <w:r>
        <w:rPr>
          <w:rFonts w:hint="eastAsia" w:ascii="宋体" w:hAnsi="宋体" w:cs="宋体"/>
          <w:color w:val="auto"/>
          <w:szCs w:val="21"/>
        </w:rPr>
        <w:t>响应文件</w:t>
      </w:r>
      <w:r>
        <w:rPr>
          <w:rFonts w:ascii="宋体" w:hAnsi="宋体" w:cs="宋体"/>
          <w:color w:val="auto"/>
          <w:szCs w:val="21"/>
        </w:rPr>
        <w:t>的实质性内容。</w:t>
      </w:r>
      <w:r>
        <w:rPr>
          <w:rFonts w:hint="eastAsia" w:ascii="宋体" w:hAnsi="宋体" w:cs="宋体"/>
          <w:color w:val="auto"/>
          <w:szCs w:val="21"/>
        </w:rPr>
        <w:t>响应供应商</w:t>
      </w:r>
      <w:r>
        <w:rPr>
          <w:rFonts w:ascii="宋体" w:hAnsi="宋体" w:cs="宋体"/>
          <w:color w:val="auto"/>
          <w:szCs w:val="21"/>
        </w:rPr>
        <w:t>的澄清文件是其</w:t>
      </w:r>
      <w:r>
        <w:rPr>
          <w:rFonts w:hint="eastAsia" w:ascii="宋体" w:hAnsi="宋体" w:cs="宋体"/>
          <w:color w:val="auto"/>
          <w:szCs w:val="21"/>
        </w:rPr>
        <w:t>响应文件</w:t>
      </w:r>
      <w:r>
        <w:rPr>
          <w:rFonts w:ascii="宋体" w:hAnsi="宋体" w:cs="宋体"/>
          <w:color w:val="auto"/>
          <w:szCs w:val="21"/>
        </w:rPr>
        <w:t>的组成部分规定经</w:t>
      </w:r>
      <w:r>
        <w:rPr>
          <w:rFonts w:hint="eastAsia" w:ascii="宋体" w:hAnsi="宋体" w:cs="宋体"/>
          <w:color w:val="auto"/>
          <w:szCs w:val="21"/>
        </w:rPr>
        <w:t>响应供应商</w:t>
      </w:r>
      <w:r>
        <w:rPr>
          <w:rFonts w:ascii="宋体" w:hAnsi="宋体" w:cs="宋体"/>
          <w:color w:val="auto"/>
          <w:szCs w:val="21"/>
        </w:rPr>
        <w:t>确认后产生约束力，</w:t>
      </w:r>
      <w:r>
        <w:rPr>
          <w:rFonts w:hint="eastAsia" w:ascii="宋体" w:hAnsi="宋体" w:cs="宋体"/>
          <w:color w:val="auto"/>
          <w:szCs w:val="21"/>
        </w:rPr>
        <w:t>响应供应商</w:t>
      </w:r>
      <w:r>
        <w:rPr>
          <w:rFonts w:ascii="宋体" w:hAnsi="宋体" w:cs="宋体"/>
          <w:color w:val="auto"/>
          <w:szCs w:val="21"/>
        </w:rPr>
        <w:t>不确认的，其投标无效。</w:t>
      </w:r>
    </w:p>
    <w:p w14:paraId="07D6976B">
      <w:pPr>
        <w:tabs>
          <w:tab w:val="left" w:pos="993"/>
        </w:tabs>
        <w:snapToGrid w:val="0"/>
        <w:spacing w:line="360" w:lineRule="auto"/>
        <w:ind w:firstLine="420" w:firstLineChars="200"/>
        <w:rPr>
          <w:rFonts w:ascii="宋体" w:hAnsi="宋体" w:cs="宋体"/>
          <w:color w:val="auto"/>
          <w:szCs w:val="21"/>
          <w:lang w:eastAsia="zh-TW"/>
        </w:rPr>
      </w:pPr>
      <w:r>
        <w:rPr>
          <w:rFonts w:ascii="宋体" w:hAnsi="宋体" w:cs="宋体"/>
          <w:color w:val="auto"/>
          <w:szCs w:val="21"/>
        </w:rPr>
        <w:t>⑥</w:t>
      </w:r>
      <w:r>
        <w:rPr>
          <w:rFonts w:hint="eastAsia" w:ascii="宋体" w:hAnsi="宋体" w:cs="宋体"/>
          <w:color w:val="auto"/>
          <w:szCs w:val="21"/>
        </w:rPr>
        <w:t>响应文件</w:t>
      </w:r>
      <w:r>
        <w:rPr>
          <w:rFonts w:ascii="宋体" w:hAnsi="宋体" w:cs="宋体"/>
          <w:color w:val="auto"/>
          <w:szCs w:val="21"/>
        </w:rPr>
        <w:t>描述内容与原始材料引述内容不一致的，以原始材料内容为准；</w:t>
      </w:r>
    </w:p>
    <w:p w14:paraId="2976A7C1">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⑦对不同文字文本</w:t>
      </w:r>
      <w:r>
        <w:rPr>
          <w:rFonts w:hint="eastAsia" w:ascii="宋体" w:hAnsi="宋体" w:cs="宋体"/>
          <w:color w:val="auto"/>
          <w:szCs w:val="21"/>
        </w:rPr>
        <w:t>响应文件</w:t>
      </w:r>
      <w:r>
        <w:rPr>
          <w:rFonts w:ascii="宋体" w:hAnsi="宋体" w:cs="宋体"/>
          <w:color w:val="auto"/>
          <w:szCs w:val="21"/>
        </w:rPr>
        <w:t>的解释发生异议的，以中文文本为准</w:t>
      </w:r>
      <w:r>
        <w:rPr>
          <w:rFonts w:hint="eastAsia" w:ascii="宋体" w:hAnsi="宋体" w:cs="宋体"/>
          <w:color w:val="auto"/>
          <w:szCs w:val="21"/>
        </w:rPr>
        <w:t>；</w:t>
      </w:r>
    </w:p>
    <w:p w14:paraId="6ECE6FC7">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⑧对出现以上情况或因明显笔误而需修正任何内容时，均以磋商小组审定通过方为有效；</w:t>
      </w:r>
    </w:p>
    <w:p w14:paraId="57889E41">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⑨对采购项目的关键、主要内容，报价供应商报价漏项的，作非实质性响应处理；</w:t>
      </w:r>
    </w:p>
    <w:p w14:paraId="202A7386">
      <w:pPr>
        <w:tabs>
          <w:tab w:val="left" w:pos="993"/>
        </w:tabs>
        <w:snapToGrid w:val="0"/>
        <w:spacing w:line="360" w:lineRule="auto"/>
        <w:ind w:firstLine="420" w:firstLineChars="200"/>
        <w:rPr>
          <w:rFonts w:ascii="宋体" w:hAnsi="宋体" w:cs="宋体"/>
          <w:color w:val="auto"/>
          <w:szCs w:val="21"/>
        </w:rPr>
      </w:pPr>
      <w:r>
        <w:rPr>
          <w:rFonts w:ascii="宋体" w:hAnsi="宋体" w:cs="宋体"/>
          <w:color w:val="auto"/>
          <w:szCs w:val="21"/>
        </w:rPr>
        <w:t>⑩磋商小组认定为表述不清晰或无法确定的报价均不予修正。</w:t>
      </w:r>
    </w:p>
    <w:p w14:paraId="23BC2CA2">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响应文件</w:t>
      </w:r>
      <w:r>
        <w:rPr>
          <w:rFonts w:ascii="宋体" w:hAnsi="宋体" w:cs="宋体"/>
          <w:b/>
          <w:color w:val="auto"/>
          <w:szCs w:val="21"/>
        </w:rPr>
        <w:t>的澄清</w:t>
      </w:r>
    </w:p>
    <w:p w14:paraId="20C5A044">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0</w:t>
      </w:r>
      <w:r>
        <w:rPr>
          <w:rFonts w:ascii="宋体" w:hAnsi="宋体" w:cs="宋体"/>
          <w:color w:val="auto"/>
          <w:szCs w:val="21"/>
        </w:rPr>
        <w:t>.1对</w:t>
      </w:r>
      <w:r>
        <w:rPr>
          <w:rFonts w:hint="eastAsia" w:ascii="宋体" w:hAnsi="宋体" w:cs="宋体"/>
          <w:color w:val="auto"/>
          <w:szCs w:val="21"/>
        </w:rPr>
        <w:t>响应文件</w:t>
      </w:r>
      <w:r>
        <w:rPr>
          <w:rFonts w:ascii="宋体" w:hAnsi="宋体" w:cs="宋体"/>
          <w:color w:val="auto"/>
          <w:szCs w:val="21"/>
        </w:rPr>
        <w:t>中含义不明确、同类问题表述不一致或者有明显文字和计算错误的内容，磋商小组可以书面形式要求供应商作出必要的澄清、说明或者纠正。</w:t>
      </w:r>
    </w:p>
    <w:p w14:paraId="25901FBD">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3</w:t>
      </w:r>
      <w:r>
        <w:rPr>
          <w:rFonts w:hint="eastAsia" w:ascii="宋体" w:hAnsi="宋体" w:cs="宋体"/>
          <w:color w:val="auto"/>
          <w:szCs w:val="21"/>
        </w:rPr>
        <w:t>0</w:t>
      </w:r>
      <w:r>
        <w:rPr>
          <w:rFonts w:ascii="宋体" w:hAnsi="宋体" w:cs="宋体"/>
          <w:color w:val="auto"/>
          <w:szCs w:val="21"/>
        </w:rPr>
        <w:t>.2供应商的澄清、说明或者补正应当</w:t>
      </w:r>
      <w:r>
        <w:rPr>
          <w:rFonts w:ascii="宋体" w:hAnsi="宋体" w:cs="宋体"/>
          <w:b/>
          <w:color w:val="auto"/>
          <w:szCs w:val="21"/>
        </w:rPr>
        <w:t>采用书面形式</w:t>
      </w:r>
      <w:r>
        <w:rPr>
          <w:rFonts w:ascii="宋体" w:hAnsi="宋体" w:cs="宋体"/>
          <w:color w:val="auto"/>
          <w:szCs w:val="21"/>
        </w:rPr>
        <w:t>，并不得超出</w:t>
      </w:r>
      <w:r>
        <w:rPr>
          <w:rFonts w:hint="eastAsia" w:ascii="宋体" w:hAnsi="宋体" w:cs="宋体"/>
          <w:color w:val="auto"/>
          <w:szCs w:val="21"/>
        </w:rPr>
        <w:t>响应文件</w:t>
      </w:r>
      <w:r>
        <w:rPr>
          <w:rFonts w:ascii="宋体" w:hAnsi="宋体" w:cs="宋体"/>
          <w:color w:val="auto"/>
          <w:szCs w:val="21"/>
        </w:rPr>
        <w:t>的范围或者改变</w:t>
      </w:r>
      <w:r>
        <w:rPr>
          <w:rFonts w:hint="eastAsia" w:ascii="宋体" w:hAnsi="宋体" w:cs="宋体"/>
          <w:color w:val="auto"/>
          <w:szCs w:val="21"/>
        </w:rPr>
        <w:t>响应文件</w:t>
      </w:r>
      <w:r>
        <w:rPr>
          <w:rFonts w:ascii="宋体" w:hAnsi="宋体" w:cs="宋体"/>
          <w:color w:val="auto"/>
          <w:szCs w:val="21"/>
        </w:rPr>
        <w:t>的实质性内容。</w:t>
      </w:r>
      <w:r>
        <w:rPr>
          <w:rFonts w:ascii="宋体" w:hAnsi="宋体" w:cs="宋体"/>
          <w:color w:val="auto"/>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46BC84FF">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3</w:t>
      </w:r>
      <w:r>
        <w:rPr>
          <w:rFonts w:hint="eastAsia" w:ascii="宋体" w:hAnsi="宋体" w:cs="宋体"/>
          <w:color w:val="auto"/>
          <w:szCs w:val="21"/>
        </w:rPr>
        <w:t>0</w:t>
      </w:r>
      <w:r>
        <w:rPr>
          <w:rFonts w:ascii="宋体" w:hAnsi="宋体" w:cs="宋体"/>
          <w:color w:val="auto"/>
          <w:szCs w:val="21"/>
        </w:rPr>
        <w:t>.3磋商小组均应当阅读供应商的澄清，但应独立参考澄清对</w:t>
      </w:r>
      <w:r>
        <w:rPr>
          <w:rFonts w:hint="eastAsia" w:ascii="宋体" w:hAnsi="宋体" w:cs="宋体"/>
          <w:color w:val="auto"/>
          <w:szCs w:val="21"/>
        </w:rPr>
        <w:t>响应文件</w:t>
      </w:r>
      <w:r>
        <w:rPr>
          <w:rFonts w:ascii="宋体" w:hAnsi="宋体" w:cs="宋体"/>
          <w:color w:val="auto"/>
          <w:szCs w:val="21"/>
        </w:rPr>
        <w:t>进行评审，整个澄清的过程不得存在排斥供应商的现象。</w:t>
      </w:r>
    </w:p>
    <w:p w14:paraId="18F6AC33">
      <w:pPr>
        <w:tabs>
          <w:tab w:val="left" w:pos="567"/>
        </w:tabs>
        <w:snapToGrid w:val="0"/>
        <w:spacing w:line="360" w:lineRule="auto"/>
        <w:ind w:left="496" w:hanging="495" w:hangingChars="236"/>
        <w:rPr>
          <w:rFonts w:ascii="宋体" w:hAnsi="宋体" w:cs="宋体"/>
          <w:color w:val="auto"/>
          <w:szCs w:val="21"/>
          <w:lang w:eastAsia="zh-TW"/>
        </w:rPr>
      </w:pPr>
      <w:r>
        <w:rPr>
          <w:rFonts w:ascii="宋体" w:hAnsi="宋体" w:cs="宋体"/>
          <w:color w:val="auto"/>
          <w:szCs w:val="21"/>
        </w:rPr>
        <w:t>3</w:t>
      </w:r>
      <w:r>
        <w:rPr>
          <w:rFonts w:hint="eastAsia" w:ascii="宋体" w:hAnsi="宋体" w:cs="宋体"/>
          <w:color w:val="auto"/>
          <w:szCs w:val="21"/>
        </w:rPr>
        <w:t>0</w:t>
      </w:r>
      <w:r>
        <w:rPr>
          <w:rFonts w:ascii="宋体" w:hAnsi="宋体" w:cs="宋体"/>
          <w:color w:val="auto"/>
          <w:szCs w:val="21"/>
        </w:rPr>
        <w:t>.4除上述规定的情形之外，磋商小组在评审过程中，不得接收来自评审现场以外的任何形式的文件资料</w:t>
      </w:r>
      <w:r>
        <w:rPr>
          <w:rFonts w:hint="eastAsia" w:ascii="宋体" w:hAnsi="宋体" w:cs="宋体"/>
          <w:color w:val="auto"/>
          <w:szCs w:val="21"/>
        </w:rPr>
        <w:t>。</w:t>
      </w:r>
    </w:p>
    <w:p w14:paraId="05A294DE">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参与磋商的供应商数量要求</w:t>
      </w:r>
    </w:p>
    <w:p w14:paraId="04C659EE">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1</w:t>
      </w:r>
      <w:r>
        <w:rPr>
          <w:rFonts w:ascii="宋体" w:hAnsi="宋体" w:cs="宋体"/>
          <w:color w:val="auto"/>
          <w:szCs w:val="21"/>
        </w:rPr>
        <w:t>.1磋商文件能够详细列明采购目标的技术、服务要求的，磋商结束后，磋商小组应当要求所有通过了资格性审查和符合性审查，继续参加磋商的供应商在规定时间内提交最后报价及有关承诺，提交最后报价的供应商不</w:t>
      </w:r>
      <w:r>
        <w:rPr>
          <w:rFonts w:hint="eastAsia" w:ascii="宋体" w:hAnsi="宋体" w:cs="宋体"/>
          <w:color w:val="auto"/>
          <w:szCs w:val="21"/>
        </w:rPr>
        <w:t>得少于</w:t>
      </w:r>
      <w:r>
        <w:rPr>
          <w:rFonts w:ascii="宋体" w:hAnsi="宋体" w:cs="宋体"/>
          <w:color w:val="auto"/>
          <w:szCs w:val="21"/>
        </w:rPr>
        <w:t>3</w:t>
      </w:r>
      <w:r>
        <w:rPr>
          <w:rFonts w:hint="eastAsia" w:ascii="宋体" w:hAnsi="宋体" w:cs="宋体"/>
          <w:color w:val="auto"/>
          <w:szCs w:val="21"/>
        </w:rPr>
        <w:t>家。</w:t>
      </w:r>
    </w:p>
    <w:p w14:paraId="50FE93EC">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1</w:t>
      </w:r>
      <w:r>
        <w:rPr>
          <w:rFonts w:ascii="宋体" w:hAnsi="宋体" w:cs="宋体"/>
          <w:color w:val="auto"/>
          <w:szCs w:val="21"/>
        </w:rPr>
        <w:t>.2磋商文件不能详细列明采购目标的技术、服务要求的，需经磋商由供应商提供最终设计方案或解决方案的，磋商结束后，磋商小组应当按照少数服从多数的原则投票推荐3家以上供应商的设计方案或者解决方案，并要求其在规定时间内提交最后报价。</w:t>
      </w:r>
    </w:p>
    <w:p w14:paraId="5DEB0C73">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1</w:t>
      </w:r>
      <w:r>
        <w:rPr>
          <w:rFonts w:ascii="宋体" w:hAnsi="宋体" w:cs="宋体"/>
          <w:color w:val="auto"/>
          <w:szCs w:val="21"/>
        </w:rPr>
        <w:t>.3供应商在提交最后报价之前可以根据磋商情况退出磋商，提交最后报价的供应商不得少于3</w:t>
      </w:r>
      <w:r>
        <w:rPr>
          <w:rFonts w:hint="eastAsia" w:ascii="宋体" w:hAnsi="宋体" w:cs="宋体"/>
          <w:color w:val="auto"/>
          <w:szCs w:val="21"/>
        </w:rPr>
        <w:t>家，如少于</w:t>
      </w:r>
      <w:r>
        <w:rPr>
          <w:rFonts w:ascii="宋体" w:hAnsi="宋体" w:cs="宋体"/>
          <w:color w:val="auto"/>
          <w:szCs w:val="21"/>
        </w:rPr>
        <w:t>3家时，磋商小组宣布项目采购失败。</w:t>
      </w:r>
    </w:p>
    <w:p w14:paraId="191B6748">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评审办法</w:t>
      </w:r>
    </w:p>
    <w:p w14:paraId="5B1BD0E8">
      <w:pPr>
        <w:snapToGrid w:val="0"/>
        <w:spacing w:line="360" w:lineRule="auto"/>
        <w:ind w:firstLine="413" w:firstLineChars="196"/>
        <w:rPr>
          <w:rFonts w:ascii="宋体" w:hAnsi="宋体" w:cs="宋体"/>
          <w:b/>
          <w:color w:val="auto"/>
          <w:szCs w:val="21"/>
        </w:rPr>
      </w:pPr>
      <w:r>
        <w:rPr>
          <w:rFonts w:ascii="宋体" w:hAnsi="宋体" w:cs="宋体"/>
          <w:b/>
          <w:color w:val="auto"/>
          <w:szCs w:val="21"/>
        </w:rPr>
        <w:t>本项目评审办法详见本磋商文件第四部分。</w:t>
      </w:r>
    </w:p>
    <w:p w14:paraId="1F6BFD30">
      <w:pPr>
        <w:pStyle w:val="3"/>
        <w:ind w:firstLine="0"/>
        <w:jc w:val="center"/>
        <w:rPr>
          <w:rFonts w:hAnsi="宋体" w:cs="宋体"/>
          <w:color w:val="auto"/>
        </w:rPr>
      </w:pPr>
      <w:bookmarkStart w:id="128" w:name="_Toc21077"/>
      <w:bookmarkStart w:id="129" w:name="_Toc79745400"/>
      <w:bookmarkStart w:id="130" w:name="_Toc87965320"/>
      <w:bookmarkStart w:id="131" w:name="_Toc577"/>
      <w:bookmarkStart w:id="132" w:name="_Toc87953660"/>
      <w:bookmarkStart w:id="133" w:name="_Toc18875"/>
      <w:bookmarkStart w:id="134" w:name="_Toc101353630"/>
      <w:bookmarkStart w:id="135" w:name="_Toc101722484"/>
      <w:bookmarkStart w:id="136" w:name="_Toc79741554"/>
      <w:bookmarkStart w:id="137" w:name="_Toc10884"/>
      <w:bookmarkStart w:id="138" w:name="_Toc129780352"/>
      <w:bookmarkStart w:id="139" w:name="_Toc26259"/>
      <w:bookmarkStart w:id="140" w:name="_Toc3676"/>
      <w:bookmarkStart w:id="141" w:name="_Toc30370"/>
      <w:bookmarkStart w:id="142" w:name="_Toc28805"/>
      <w:bookmarkStart w:id="143" w:name="_Toc143506657"/>
      <w:bookmarkStart w:id="144" w:name="_Toc11413"/>
      <w:bookmarkStart w:id="145" w:name="_Toc10767"/>
      <w:r>
        <w:rPr>
          <w:rFonts w:hAnsi="宋体" w:cs="宋体"/>
          <w:color w:val="auto"/>
        </w:rPr>
        <w:t>（六）关于</w:t>
      </w:r>
      <w:bookmarkEnd w:id="128"/>
      <w:bookmarkEnd w:id="129"/>
      <w:bookmarkEnd w:id="130"/>
      <w:bookmarkEnd w:id="131"/>
      <w:bookmarkEnd w:id="132"/>
      <w:bookmarkEnd w:id="133"/>
      <w:bookmarkEnd w:id="134"/>
      <w:bookmarkEnd w:id="135"/>
      <w:bookmarkEnd w:id="136"/>
      <w:bookmarkEnd w:id="137"/>
      <w:r>
        <w:rPr>
          <w:rFonts w:hint="eastAsia" w:hAnsi="宋体" w:cs="宋体"/>
          <w:color w:val="auto"/>
        </w:rPr>
        <w:t>成交供应商</w:t>
      </w:r>
      <w:bookmarkEnd w:id="138"/>
      <w:bookmarkEnd w:id="139"/>
      <w:bookmarkEnd w:id="140"/>
      <w:bookmarkEnd w:id="141"/>
      <w:bookmarkEnd w:id="142"/>
      <w:bookmarkEnd w:id="143"/>
      <w:bookmarkEnd w:id="144"/>
      <w:bookmarkEnd w:id="145"/>
    </w:p>
    <w:p w14:paraId="026512AD">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成交供应商的确定</w:t>
      </w:r>
    </w:p>
    <w:p w14:paraId="55E52968">
      <w:pPr>
        <w:snapToGrid w:val="0"/>
        <w:spacing w:line="360" w:lineRule="auto"/>
        <w:ind w:left="567" w:leftChars="270"/>
        <w:rPr>
          <w:rFonts w:ascii="宋体" w:hAnsi="宋体" w:cs="宋体"/>
          <w:color w:val="auto"/>
          <w:szCs w:val="21"/>
        </w:rPr>
      </w:pPr>
      <w:r>
        <w:rPr>
          <w:rFonts w:ascii="宋体" w:hAnsi="宋体" w:cs="宋体"/>
          <w:color w:val="auto"/>
          <w:szCs w:val="21"/>
        </w:rPr>
        <w:t>采购代理机构自评审结束之日起2个工作日内将评审报告送交采购人。采购人应当在收到评审报告后5个工作日内，从评审报告提出的成交候选人中，按照排序由高到低的原则确定</w:t>
      </w:r>
      <w:r>
        <w:rPr>
          <w:rFonts w:hint="eastAsia" w:ascii="宋体" w:hAnsi="宋体" w:cs="宋体"/>
          <w:color w:val="auto"/>
          <w:szCs w:val="21"/>
        </w:rPr>
        <w:t>成交供应商</w:t>
      </w:r>
      <w:r>
        <w:rPr>
          <w:rFonts w:ascii="宋体" w:hAnsi="宋体" w:cs="宋体"/>
          <w:color w:val="auto"/>
          <w:szCs w:val="21"/>
        </w:rPr>
        <w:t>，也可以事先授权磋商小组直接确定</w:t>
      </w:r>
      <w:r>
        <w:rPr>
          <w:rFonts w:hint="eastAsia" w:ascii="宋体" w:hAnsi="宋体" w:cs="宋体"/>
          <w:color w:val="auto"/>
          <w:szCs w:val="21"/>
        </w:rPr>
        <w:t>成交供应商</w:t>
      </w:r>
      <w:r>
        <w:rPr>
          <w:rFonts w:ascii="宋体" w:hAnsi="宋体" w:cs="宋体"/>
          <w:color w:val="auto"/>
          <w:szCs w:val="21"/>
        </w:rPr>
        <w:t>。采购人逾期未确定</w:t>
      </w:r>
      <w:r>
        <w:rPr>
          <w:rFonts w:hint="eastAsia" w:ascii="宋体" w:hAnsi="宋体" w:cs="宋体"/>
          <w:color w:val="auto"/>
          <w:szCs w:val="21"/>
        </w:rPr>
        <w:t>成交供应商</w:t>
      </w:r>
      <w:r>
        <w:rPr>
          <w:rFonts w:ascii="宋体" w:hAnsi="宋体" w:cs="宋体"/>
          <w:color w:val="auto"/>
          <w:szCs w:val="21"/>
        </w:rPr>
        <w:t>且不提出异议的，视为确定评审报告提出的排序第一的成交候选人为</w:t>
      </w:r>
      <w:r>
        <w:rPr>
          <w:rFonts w:hint="eastAsia" w:ascii="宋体" w:hAnsi="宋体" w:cs="宋体"/>
          <w:color w:val="auto"/>
          <w:szCs w:val="21"/>
        </w:rPr>
        <w:t>成交供应商。</w:t>
      </w:r>
    </w:p>
    <w:p w14:paraId="79EE2FBD">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磋商结果公告</w:t>
      </w:r>
    </w:p>
    <w:p w14:paraId="2FBF5E68">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采购人或者采购代理机构应当在</w:t>
      </w:r>
      <w:r>
        <w:rPr>
          <w:rFonts w:hint="eastAsia" w:ascii="宋体" w:hAnsi="宋体" w:cs="宋体"/>
          <w:color w:val="auto"/>
          <w:szCs w:val="21"/>
        </w:rPr>
        <w:t>成交供应商</w:t>
      </w:r>
      <w:r>
        <w:rPr>
          <w:rFonts w:ascii="宋体" w:hAnsi="宋体" w:cs="宋体"/>
          <w:color w:val="auto"/>
          <w:szCs w:val="21"/>
        </w:rPr>
        <w:t>确定后2个工作日内，在指定媒体上公告成交结果，同时向</w:t>
      </w:r>
      <w:r>
        <w:rPr>
          <w:rFonts w:hint="eastAsia" w:ascii="宋体" w:hAnsi="宋体" w:cs="宋体"/>
          <w:color w:val="auto"/>
          <w:szCs w:val="21"/>
        </w:rPr>
        <w:t>成交供应商</w:t>
      </w:r>
      <w:r>
        <w:rPr>
          <w:rFonts w:ascii="宋体" w:hAnsi="宋体" w:cs="宋体"/>
          <w:color w:val="auto"/>
          <w:szCs w:val="21"/>
        </w:rPr>
        <w:t>发出《成交通知书》。成交结果的发布视为有效送达，不再另行通知未</w:t>
      </w:r>
      <w:r>
        <w:rPr>
          <w:rFonts w:hint="eastAsia" w:ascii="宋体" w:hAnsi="宋体" w:cs="宋体"/>
          <w:color w:val="auto"/>
          <w:szCs w:val="21"/>
        </w:rPr>
        <w:t>成交供应商</w:t>
      </w:r>
      <w:r>
        <w:rPr>
          <w:rFonts w:ascii="宋体" w:hAnsi="宋体" w:cs="宋体"/>
          <w:color w:val="auto"/>
          <w:szCs w:val="21"/>
        </w:rPr>
        <w:t>。《成交通知书》对</w:t>
      </w:r>
      <w:r>
        <w:rPr>
          <w:rFonts w:hint="eastAsia" w:ascii="宋体" w:hAnsi="宋体" w:cs="宋体"/>
          <w:color w:val="auto"/>
          <w:szCs w:val="21"/>
        </w:rPr>
        <w:t>成交供应商</w:t>
      </w:r>
      <w:r>
        <w:rPr>
          <w:rFonts w:ascii="宋体" w:hAnsi="宋体" w:cs="宋体"/>
          <w:color w:val="auto"/>
          <w:szCs w:val="21"/>
        </w:rPr>
        <w:t>和采购人具有同等法律效力。</w:t>
      </w:r>
    </w:p>
    <w:p w14:paraId="64E27F1A">
      <w:pPr>
        <w:pStyle w:val="3"/>
        <w:ind w:firstLine="0"/>
        <w:jc w:val="center"/>
        <w:rPr>
          <w:rFonts w:hAnsi="宋体" w:cs="宋体"/>
          <w:color w:val="auto"/>
        </w:rPr>
      </w:pPr>
      <w:bookmarkStart w:id="146" w:name="_Toc30923"/>
      <w:bookmarkStart w:id="147" w:name="_Toc22850"/>
      <w:bookmarkStart w:id="148" w:name="_Toc28278"/>
      <w:bookmarkStart w:id="149" w:name="_Toc101722485"/>
      <w:bookmarkStart w:id="150" w:name="_Toc4883"/>
      <w:bookmarkStart w:id="151" w:name="_Toc79741555"/>
      <w:bookmarkStart w:id="152" w:name="_Toc5879"/>
      <w:bookmarkStart w:id="153" w:name="_Toc12375"/>
      <w:bookmarkStart w:id="154" w:name="_Toc2014"/>
      <w:bookmarkStart w:id="155" w:name="_Toc87953661"/>
      <w:bookmarkStart w:id="156" w:name="_Toc87965321"/>
      <w:bookmarkStart w:id="157" w:name="_Toc143506658"/>
      <w:bookmarkStart w:id="158" w:name="_Toc5301"/>
      <w:bookmarkStart w:id="159" w:name="_Toc129780353"/>
      <w:bookmarkStart w:id="160" w:name="_Toc2703"/>
      <w:bookmarkStart w:id="161" w:name="_Toc79745401"/>
      <w:bookmarkStart w:id="162" w:name="_Toc8915"/>
      <w:bookmarkStart w:id="163" w:name="_Toc101353631"/>
      <w:bookmarkStart w:id="164" w:name="_Toc111890784"/>
      <w:bookmarkStart w:id="165" w:name="_Toc337541100"/>
      <w:r>
        <w:rPr>
          <w:rFonts w:hAnsi="宋体" w:cs="宋体"/>
          <w:color w:val="auto"/>
        </w:rPr>
        <w:t>（七）采购代理服务费</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FC86F02">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招标代理服务费</w:t>
      </w:r>
    </w:p>
    <w:p w14:paraId="26B60D5E">
      <w:pPr>
        <w:tabs>
          <w:tab w:val="left" w:pos="567"/>
        </w:tabs>
        <w:snapToGrid w:val="0"/>
        <w:spacing w:line="360" w:lineRule="auto"/>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5</w:t>
      </w:r>
      <w:r>
        <w:rPr>
          <w:rFonts w:ascii="宋体" w:hAnsi="宋体" w:cs="宋体"/>
          <w:color w:val="auto"/>
          <w:szCs w:val="21"/>
        </w:rPr>
        <w:t>.1本次招标代理服务费按磋商须知前附表规定收取。</w:t>
      </w:r>
    </w:p>
    <w:p w14:paraId="383E3906">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5</w:t>
      </w:r>
      <w:r>
        <w:rPr>
          <w:rFonts w:ascii="宋体" w:hAnsi="宋体" w:cs="宋体"/>
          <w:color w:val="auto"/>
          <w:szCs w:val="21"/>
        </w:rPr>
        <w:t>.2招标代理服务费由</w:t>
      </w:r>
      <w:r>
        <w:rPr>
          <w:rFonts w:hint="eastAsia" w:ascii="宋体" w:hAnsi="宋体" w:cs="宋体"/>
          <w:color w:val="auto"/>
          <w:szCs w:val="21"/>
        </w:rPr>
        <w:t>成交供应商</w:t>
      </w:r>
      <w:r>
        <w:rPr>
          <w:rFonts w:ascii="宋体" w:hAnsi="宋体" w:cs="宋体"/>
          <w:color w:val="auto"/>
          <w:szCs w:val="21"/>
        </w:rPr>
        <w:t>支付的，</w:t>
      </w:r>
      <w:r>
        <w:rPr>
          <w:rFonts w:hint="eastAsia" w:ascii="宋体" w:hAnsi="宋体" w:cs="宋体"/>
          <w:color w:val="auto"/>
          <w:szCs w:val="21"/>
        </w:rPr>
        <w:t>成交供应商</w:t>
      </w:r>
      <w:r>
        <w:rPr>
          <w:rFonts w:ascii="宋体" w:hAnsi="宋体" w:cs="宋体"/>
          <w:color w:val="auto"/>
          <w:szCs w:val="21"/>
        </w:rPr>
        <w:t>应在《缴费通知》发出五个工作日内一次性将招标代理服务费存入采购代理机构指定帐户。</w:t>
      </w:r>
    </w:p>
    <w:p w14:paraId="612E1FC7">
      <w:pPr>
        <w:tabs>
          <w:tab w:val="left" w:pos="567"/>
        </w:tabs>
        <w:snapToGrid w:val="0"/>
        <w:spacing w:line="360" w:lineRule="auto"/>
        <w:ind w:left="420" w:leftChars="200" w:firstLine="210" w:firstLineChars="100"/>
        <w:rPr>
          <w:rFonts w:ascii="宋体" w:hAnsi="宋体" w:cs="宋体"/>
          <w:color w:val="auto"/>
          <w:szCs w:val="21"/>
        </w:rPr>
      </w:pPr>
      <w:r>
        <w:rPr>
          <w:rFonts w:ascii="宋体" w:hAnsi="宋体" w:cs="宋体"/>
          <w:bCs/>
          <w:color w:val="auto"/>
          <w:szCs w:val="21"/>
        </w:rPr>
        <w:t>收款单位：广东为诚招标代理有限公司</w:t>
      </w:r>
    </w:p>
    <w:p w14:paraId="3C0ACC2A">
      <w:pPr>
        <w:tabs>
          <w:tab w:val="left" w:pos="1277"/>
        </w:tabs>
        <w:snapToGrid w:val="0"/>
        <w:spacing w:line="360" w:lineRule="auto"/>
        <w:ind w:firstLine="621" w:firstLineChars="296"/>
        <w:rPr>
          <w:rFonts w:ascii="宋体" w:hAnsi="宋体" w:cs="宋体"/>
          <w:color w:val="auto"/>
          <w:szCs w:val="21"/>
        </w:rPr>
      </w:pPr>
      <w:r>
        <w:rPr>
          <w:rFonts w:ascii="宋体" w:hAnsi="宋体" w:cs="宋体"/>
          <w:bCs/>
          <w:color w:val="auto"/>
          <w:szCs w:val="21"/>
        </w:rPr>
        <w:t>开户银行：</w:t>
      </w:r>
      <w:r>
        <w:rPr>
          <w:rFonts w:ascii="宋体" w:hAnsi="宋体" w:cs="宋体"/>
          <w:color w:val="auto"/>
          <w:szCs w:val="21"/>
        </w:rPr>
        <w:t>中国农业银行股份有限公司广州天府支行</w:t>
      </w:r>
    </w:p>
    <w:p w14:paraId="7F10B41A">
      <w:pPr>
        <w:tabs>
          <w:tab w:val="left" w:pos="1277"/>
        </w:tabs>
        <w:snapToGrid w:val="0"/>
        <w:spacing w:line="360" w:lineRule="auto"/>
        <w:ind w:firstLine="621" w:firstLineChars="296"/>
        <w:rPr>
          <w:rFonts w:ascii="宋体" w:hAnsi="宋体" w:cs="宋体"/>
          <w:bCs/>
          <w:color w:val="auto"/>
          <w:szCs w:val="21"/>
        </w:rPr>
      </w:pPr>
      <w:r>
        <w:rPr>
          <w:rFonts w:ascii="宋体" w:hAnsi="宋体" w:cs="宋体"/>
          <w:bCs/>
          <w:color w:val="auto"/>
          <w:szCs w:val="21"/>
        </w:rPr>
        <w:t>银行账号：</w:t>
      </w:r>
      <w:r>
        <w:rPr>
          <w:rFonts w:ascii="宋体" w:hAnsi="宋体" w:cs="宋体"/>
          <w:color w:val="auto"/>
          <w:szCs w:val="21"/>
        </w:rPr>
        <w:t>4405 7701 0400 17100</w:t>
      </w:r>
      <w:r>
        <w:rPr>
          <w:rFonts w:ascii="宋体" w:hAnsi="宋体" w:cs="宋体"/>
          <w:bCs/>
          <w:color w:val="auto"/>
          <w:szCs w:val="21"/>
        </w:rPr>
        <w:t>（交纳招标代理服务费账号）</w:t>
      </w:r>
    </w:p>
    <w:p w14:paraId="5FE246DB">
      <w:pPr>
        <w:tabs>
          <w:tab w:val="left" w:pos="1277"/>
        </w:tabs>
        <w:snapToGrid w:val="0"/>
        <w:spacing w:line="360" w:lineRule="auto"/>
        <w:ind w:firstLine="621" w:firstLineChars="296"/>
        <w:rPr>
          <w:rFonts w:ascii="宋体" w:hAnsi="宋体" w:cs="宋体"/>
          <w:bCs/>
          <w:color w:val="auto"/>
          <w:szCs w:val="21"/>
        </w:rPr>
      </w:pPr>
      <w:r>
        <w:rPr>
          <w:rFonts w:ascii="宋体" w:hAnsi="宋体" w:cs="宋体"/>
          <w:bCs/>
          <w:color w:val="auto"/>
          <w:szCs w:val="21"/>
        </w:rPr>
        <w:t>注明项目编号。</w:t>
      </w:r>
    </w:p>
    <w:bookmarkEnd w:id="164"/>
    <w:bookmarkEnd w:id="165"/>
    <w:p w14:paraId="6BC22F07">
      <w:pPr>
        <w:pStyle w:val="3"/>
        <w:ind w:firstLine="0"/>
        <w:jc w:val="center"/>
        <w:rPr>
          <w:rFonts w:hAnsi="宋体" w:cs="宋体"/>
          <w:color w:val="auto"/>
        </w:rPr>
      </w:pPr>
      <w:bookmarkStart w:id="166" w:name="_Toc3419"/>
      <w:bookmarkStart w:id="167" w:name="_Toc5116"/>
      <w:bookmarkStart w:id="168" w:name="_Toc79741556"/>
      <w:bookmarkStart w:id="169" w:name="_Toc129780354"/>
      <w:bookmarkStart w:id="170" w:name="_Toc101722486"/>
      <w:bookmarkStart w:id="171" w:name="_Toc87953662"/>
      <w:bookmarkStart w:id="172" w:name="_Toc17996"/>
      <w:bookmarkStart w:id="173" w:name="_Toc26624"/>
      <w:bookmarkStart w:id="174" w:name="_Toc13934"/>
      <w:bookmarkStart w:id="175" w:name="_Toc143506659"/>
      <w:bookmarkStart w:id="176" w:name="_Toc101353632"/>
      <w:bookmarkStart w:id="177" w:name="_Toc87965322"/>
      <w:bookmarkStart w:id="178" w:name="_Toc3250"/>
      <w:bookmarkStart w:id="179" w:name="_Toc79745402"/>
      <w:bookmarkStart w:id="180" w:name="_Toc10744"/>
      <w:bookmarkStart w:id="181" w:name="_Toc28144"/>
      <w:bookmarkStart w:id="182" w:name="_Toc6246"/>
      <w:bookmarkStart w:id="183" w:name="_Toc14329"/>
      <w:r>
        <w:rPr>
          <w:rFonts w:hint="eastAsia" w:hAnsi="宋体" w:cs="宋体"/>
          <w:color w:val="auto"/>
        </w:rPr>
        <w:t>（八）授予合同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F5D2824">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合同的订立</w:t>
      </w:r>
    </w:p>
    <w:p w14:paraId="2E1157C3">
      <w:pPr>
        <w:tabs>
          <w:tab w:val="left" w:pos="567"/>
        </w:tabs>
        <w:snapToGrid w:val="0"/>
        <w:spacing w:line="360" w:lineRule="auto"/>
        <w:ind w:left="496" w:hanging="495" w:hangingChars="236"/>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6</w:t>
      </w:r>
      <w:r>
        <w:rPr>
          <w:rFonts w:ascii="宋体" w:hAnsi="宋体" w:cs="宋体"/>
          <w:color w:val="auto"/>
          <w:szCs w:val="21"/>
        </w:rPr>
        <w:t>.1采购人自成交通知书发出之日起三十日内，按磋商文件要求和</w:t>
      </w:r>
      <w:r>
        <w:rPr>
          <w:rFonts w:hint="eastAsia" w:ascii="宋体" w:hAnsi="宋体" w:cs="宋体"/>
          <w:color w:val="auto"/>
          <w:szCs w:val="21"/>
        </w:rPr>
        <w:t>成交供应商响应文件</w:t>
      </w:r>
      <w:r>
        <w:rPr>
          <w:rFonts w:ascii="宋体" w:hAnsi="宋体" w:cs="宋体"/>
          <w:color w:val="auto"/>
          <w:szCs w:val="21"/>
        </w:rPr>
        <w:t>及承诺与</w:t>
      </w:r>
      <w:r>
        <w:rPr>
          <w:rFonts w:hint="eastAsia" w:ascii="宋体" w:hAnsi="宋体" w:cs="宋体"/>
          <w:color w:val="auto"/>
          <w:szCs w:val="21"/>
        </w:rPr>
        <w:t>成交供应商</w:t>
      </w:r>
      <w:r>
        <w:rPr>
          <w:rFonts w:ascii="宋体" w:hAnsi="宋体" w:cs="宋体"/>
          <w:color w:val="auto"/>
          <w:szCs w:val="21"/>
        </w:rPr>
        <w:t>签订书面合同，所签订的合同不得偏离磋商文件确定的事项和</w:t>
      </w:r>
      <w:r>
        <w:rPr>
          <w:rFonts w:hint="eastAsia" w:ascii="宋体" w:hAnsi="宋体" w:cs="宋体"/>
          <w:color w:val="auto"/>
          <w:szCs w:val="21"/>
        </w:rPr>
        <w:t>成交供应商响应文件</w:t>
      </w:r>
      <w:r>
        <w:rPr>
          <w:rFonts w:ascii="宋体" w:hAnsi="宋体" w:cs="宋体"/>
          <w:color w:val="auto"/>
          <w:szCs w:val="21"/>
        </w:rPr>
        <w:t>的范围和实质性内</w:t>
      </w:r>
      <w:r>
        <w:rPr>
          <w:rFonts w:hint="eastAsia" w:ascii="宋体" w:hAnsi="宋体" w:cs="宋体"/>
          <w:color w:val="auto"/>
          <w:szCs w:val="21"/>
        </w:rPr>
        <w:t>容。</w:t>
      </w:r>
    </w:p>
    <w:p w14:paraId="7E4D01B5">
      <w:pPr>
        <w:numPr>
          <w:ilvl w:val="0"/>
          <w:numId w:val="4"/>
        </w:numPr>
        <w:tabs>
          <w:tab w:val="left" w:pos="284"/>
          <w:tab w:val="left" w:pos="426"/>
        </w:tabs>
        <w:snapToGrid w:val="0"/>
        <w:spacing w:line="360" w:lineRule="auto"/>
        <w:ind w:hanging="1118"/>
        <w:rPr>
          <w:rFonts w:ascii="宋体" w:hAnsi="宋体" w:cs="宋体"/>
          <w:b/>
          <w:color w:val="auto"/>
          <w:szCs w:val="21"/>
        </w:rPr>
      </w:pPr>
      <w:r>
        <w:rPr>
          <w:rFonts w:hint="eastAsia" w:ascii="宋体" w:hAnsi="宋体" w:cs="宋体"/>
          <w:b/>
          <w:color w:val="auto"/>
          <w:szCs w:val="21"/>
        </w:rPr>
        <w:t>合同的履行</w:t>
      </w:r>
    </w:p>
    <w:p w14:paraId="41473AC1">
      <w:pPr>
        <w:spacing w:line="360" w:lineRule="auto"/>
        <w:ind w:left="496" w:hanging="495" w:hangingChars="236"/>
        <w:rPr>
          <w:rFonts w:ascii="宋体" w:hAnsi="宋体" w:cs="宋体"/>
          <w:color w:val="auto"/>
          <w:szCs w:val="21"/>
        </w:rPr>
      </w:pPr>
      <w:r>
        <w:rPr>
          <w:rFonts w:hint="eastAsia" w:ascii="宋体" w:hAnsi="宋体" w:cs="宋体"/>
          <w:color w:val="auto"/>
          <w:szCs w:val="21"/>
        </w:rPr>
        <w:t>37</w:t>
      </w:r>
      <w:r>
        <w:rPr>
          <w:rFonts w:ascii="宋体" w:hAnsi="宋体" w:cs="宋体"/>
          <w:color w:val="auto"/>
          <w:szCs w:val="21"/>
        </w:rPr>
        <w:t>.1成交候选人采购人若遇排名第一的供应商放弃成交资格、不按要求与采购人签订采购合同、因不可抗拒力或自身原因不能履行采购合同、不按磋商文件要求提交履约保证金，或者被查实存在影响成交结果的违法行为等情况，不符合成交条件的，采购人可按顺序确定综合得分排名第二的成交候选人为</w:t>
      </w:r>
      <w:r>
        <w:rPr>
          <w:rFonts w:hint="eastAsia" w:ascii="宋体" w:hAnsi="宋体" w:cs="宋体"/>
          <w:color w:val="auto"/>
          <w:szCs w:val="21"/>
        </w:rPr>
        <w:t>成交供应商</w:t>
      </w:r>
      <w:r>
        <w:rPr>
          <w:rFonts w:ascii="宋体" w:hAnsi="宋体" w:cs="宋体"/>
          <w:color w:val="auto"/>
          <w:szCs w:val="21"/>
        </w:rPr>
        <w:t>，以此类推，或者重新组织采购。</w:t>
      </w:r>
    </w:p>
    <w:p w14:paraId="00FCB0DD">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37</w:t>
      </w:r>
      <w:r>
        <w:rPr>
          <w:rFonts w:ascii="宋体" w:hAnsi="宋体" w:cs="宋体"/>
          <w:color w:val="auto"/>
          <w:szCs w:val="21"/>
        </w:rPr>
        <w:t>.2采购合同订立后，合同各方不得擅自变更、中止或者终止合同。</w:t>
      </w:r>
    </w:p>
    <w:p w14:paraId="22F8370F">
      <w:pPr>
        <w:tabs>
          <w:tab w:val="left" w:pos="567"/>
        </w:tabs>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37</w:t>
      </w:r>
      <w:r>
        <w:rPr>
          <w:rFonts w:ascii="宋体" w:hAnsi="宋体" w:cs="宋体"/>
          <w:color w:val="auto"/>
          <w:szCs w:val="21"/>
        </w:rPr>
        <w:t>.3</w:t>
      </w:r>
      <w:r>
        <w:rPr>
          <w:rFonts w:hint="eastAsia" w:ascii="宋体" w:hAnsi="宋体" w:cs="宋体"/>
          <w:color w:val="auto"/>
          <w:szCs w:val="21"/>
        </w:rPr>
        <w:t>除不可抗力等因素外，成交通知</w:t>
      </w:r>
      <w:r>
        <w:rPr>
          <w:rFonts w:ascii="宋体" w:hAnsi="宋体" w:cs="宋体"/>
          <w:color w:val="auto"/>
          <w:szCs w:val="21"/>
        </w:rPr>
        <w:t>书发出后，采购人改变成交结果，或者</w:t>
      </w:r>
      <w:r>
        <w:rPr>
          <w:rFonts w:hint="eastAsia" w:ascii="宋体" w:hAnsi="宋体" w:cs="宋体"/>
          <w:color w:val="auto"/>
          <w:szCs w:val="21"/>
        </w:rPr>
        <w:t>成交供应商</w:t>
      </w:r>
      <w:r>
        <w:rPr>
          <w:rFonts w:ascii="宋体" w:hAnsi="宋体" w:cs="宋体"/>
          <w:color w:val="auto"/>
          <w:szCs w:val="21"/>
        </w:rPr>
        <w:t>拒绝签订采购合同的，应当承担相应的法律责任。</w:t>
      </w:r>
    </w:p>
    <w:p w14:paraId="6CF342BB">
      <w:pPr>
        <w:pStyle w:val="3"/>
        <w:ind w:firstLine="0"/>
        <w:jc w:val="center"/>
        <w:rPr>
          <w:rFonts w:hAnsi="宋体" w:cs="宋体"/>
          <w:color w:val="auto"/>
        </w:rPr>
      </w:pPr>
      <w:bookmarkStart w:id="184" w:name="_Toc21736"/>
      <w:bookmarkStart w:id="185" w:name="_Toc335"/>
      <w:bookmarkStart w:id="186" w:name="_Toc19619"/>
      <w:bookmarkStart w:id="187" w:name="_Toc15516"/>
      <w:bookmarkStart w:id="188" w:name="_Toc8683"/>
      <w:bookmarkStart w:id="189" w:name="_Toc79741557"/>
      <w:bookmarkStart w:id="190" w:name="_Toc143506660"/>
      <w:bookmarkStart w:id="191" w:name="_Toc129780355"/>
      <w:bookmarkStart w:id="192" w:name="_Toc87965323"/>
      <w:bookmarkStart w:id="193" w:name="_Toc5012"/>
      <w:bookmarkStart w:id="194" w:name="_Toc21107"/>
      <w:bookmarkStart w:id="195" w:name="_Toc17488"/>
      <w:bookmarkStart w:id="196" w:name="_Toc29021"/>
      <w:bookmarkStart w:id="197" w:name="_Toc9176"/>
      <w:bookmarkStart w:id="198" w:name="_Toc79745403"/>
      <w:bookmarkStart w:id="199" w:name="_Toc87953663"/>
      <w:bookmarkStart w:id="200" w:name="_Toc101353633"/>
      <w:bookmarkStart w:id="201" w:name="_Toc101722487"/>
      <w:r>
        <w:rPr>
          <w:rFonts w:hAnsi="宋体" w:cs="宋体"/>
          <w:color w:val="auto"/>
        </w:rPr>
        <w:t>（九）关于询问、质疑</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4AD28B3">
      <w:pPr>
        <w:numPr>
          <w:ilvl w:val="0"/>
          <w:numId w:val="4"/>
        </w:numPr>
        <w:tabs>
          <w:tab w:val="left" w:pos="284"/>
          <w:tab w:val="left" w:pos="426"/>
        </w:tabs>
        <w:snapToGrid w:val="0"/>
        <w:spacing w:line="360" w:lineRule="auto"/>
        <w:ind w:hanging="1118"/>
        <w:rPr>
          <w:rFonts w:ascii="宋体" w:hAnsi="宋体" w:cs="宋体"/>
          <w:b/>
          <w:color w:val="auto"/>
          <w:szCs w:val="21"/>
        </w:rPr>
      </w:pPr>
      <w:bookmarkStart w:id="202" w:name="_Toc91562832"/>
      <w:bookmarkStart w:id="203" w:name="_Toc108587470"/>
      <w:bookmarkStart w:id="204" w:name="_Toc92873902"/>
      <w:bookmarkStart w:id="205" w:name="_Toc75597726"/>
      <w:bookmarkStart w:id="206" w:name="_Toc91561948"/>
      <w:bookmarkStart w:id="207" w:name="_Toc113703097"/>
      <w:bookmarkStart w:id="208" w:name="_Toc113768177"/>
      <w:bookmarkStart w:id="209" w:name="_Toc99277175"/>
      <w:bookmarkStart w:id="210" w:name="_Toc93474366"/>
      <w:bookmarkStart w:id="211" w:name="_Toc91564125"/>
      <w:r>
        <w:rPr>
          <w:rFonts w:ascii="宋体" w:hAnsi="宋体" w:cs="宋体"/>
          <w:b/>
          <w:color w:val="auto"/>
          <w:szCs w:val="21"/>
        </w:rPr>
        <w:t>关于询问</w:t>
      </w:r>
    </w:p>
    <w:p w14:paraId="30A7B807">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供应商对采购活动事项（磋商文件、采购过程和成交结果）有疑问的，可以向采购人或采购代理机构提出询问，采购人或采购代理机构在3个工作日内对</w:t>
      </w:r>
      <w:r>
        <w:rPr>
          <w:rFonts w:hint="eastAsia" w:ascii="宋体" w:hAnsi="宋体" w:cs="宋体"/>
          <w:color w:val="auto"/>
          <w:szCs w:val="21"/>
        </w:rPr>
        <w:t>响应供应商</w:t>
      </w:r>
      <w:r>
        <w:rPr>
          <w:rFonts w:ascii="宋体" w:hAnsi="宋体" w:cs="宋体"/>
          <w:color w:val="auto"/>
          <w:szCs w:val="21"/>
        </w:rPr>
        <w:t>询问的内容作出答复，但答复的内容不涉及商业秘密。询问可以口头方式提出，也可以书面方式提出，书面方式包括但不限于传真、信函、电子邮件。联系方式详见《竞争性磋商公告》。</w:t>
      </w:r>
    </w:p>
    <w:bookmarkEnd w:id="202"/>
    <w:bookmarkEnd w:id="203"/>
    <w:bookmarkEnd w:id="204"/>
    <w:bookmarkEnd w:id="205"/>
    <w:bookmarkEnd w:id="206"/>
    <w:bookmarkEnd w:id="207"/>
    <w:bookmarkEnd w:id="208"/>
    <w:bookmarkEnd w:id="209"/>
    <w:bookmarkEnd w:id="210"/>
    <w:bookmarkEnd w:id="211"/>
    <w:p w14:paraId="3B8F67C6">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关于质疑</w:t>
      </w:r>
    </w:p>
    <w:p w14:paraId="72675893">
      <w:pPr>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39</w:t>
      </w:r>
      <w:r>
        <w:rPr>
          <w:rFonts w:ascii="宋体" w:hAnsi="宋体" w:cs="宋体"/>
          <w:color w:val="auto"/>
          <w:szCs w:val="21"/>
        </w:rPr>
        <w:t>.1供应商认为采购过程和采购结果使自己的权益受到损害的，可以在知道或者应知其权益受到损害之日起7个工作日内，以书面原件形式按照财政部要求格式一次性向采购人、采购代理机构提出质疑，逾期质疑无效。</w:t>
      </w:r>
    </w:p>
    <w:p w14:paraId="227BAF7A">
      <w:pPr>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39</w:t>
      </w:r>
      <w:r>
        <w:rPr>
          <w:rFonts w:ascii="宋体" w:hAnsi="宋体" w:cs="宋体"/>
          <w:color w:val="auto"/>
          <w:szCs w:val="21"/>
        </w:rPr>
        <w:t>.2提出质疑的</w:t>
      </w:r>
      <w:r>
        <w:rPr>
          <w:rFonts w:hint="eastAsia" w:ascii="宋体" w:hAnsi="宋体" w:cs="宋体"/>
          <w:color w:val="auto"/>
          <w:szCs w:val="21"/>
        </w:rPr>
        <w:t>响应供应商</w:t>
      </w:r>
      <w:r>
        <w:rPr>
          <w:rFonts w:ascii="宋体" w:hAnsi="宋体" w:cs="宋体"/>
          <w:color w:val="auto"/>
          <w:szCs w:val="21"/>
        </w:rPr>
        <w:t>应当是参与所质疑项目采购活动的</w:t>
      </w:r>
      <w:r>
        <w:rPr>
          <w:rFonts w:hint="eastAsia" w:ascii="宋体" w:hAnsi="宋体" w:cs="宋体"/>
          <w:color w:val="auto"/>
          <w:szCs w:val="21"/>
        </w:rPr>
        <w:t>响应供应商</w:t>
      </w:r>
      <w:r>
        <w:rPr>
          <w:rFonts w:ascii="宋体" w:hAnsi="宋体" w:cs="宋体"/>
          <w:color w:val="auto"/>
          <w:szCs w:val="21"/>
        </w:rPr>
        <w:t>。</w:t>
      </w:r>
    </w:p>
    <w:p w14:paraId="77E73505">
      <w:pPr>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39</w:t>
      </w:r>
      <w:r>
        <w:rPr>
          <w:rFonts w:ascii="宋体" w:hAnsi="宋体" w:cs="宋体"/>
          <w:color w:val="auto"/>
          <w:szCs w:val="21"/>
        </w:rPr>
        <w:t>.3供应商须携带正确版本的纸质版质疑函及相关授权书和有效证件到采购代理机构现场办理，潜在供应商以电话、传真或电邮形式提交的质疑属于无效质疑。若所携带资料信息有误，采购人或采购代理机构有权拒收。</w:t>
      </w:r>
    </w:p>
    <w:p w14:paraId="6AB56615">
      <w:pPr>
        <w:snapToGrid w:val="0"/>
        <w:spacing w:line="360" w:lineRule="auto"/>
        <w:ind w:left="496" w:hanging="495" w:hangingChars="236"/>
        <w:rPr>
          <w:rFonts w:ascii="宋体" w:hAnsi="宋体" w:cs="宋体"/>
          <w:color w:val="auto"/>
          <w:szCs w:val="21"/>
          <w:lang w:eastAsia="zh-TW"/>
        </w:rPr>
      </w:pPr>
      <w:r>
        <w:rPr>
          <w:rFonts w:hint="eastAsia" w:ascii="宋体" w:hAnsi="宋体" w:cs="宋体"/>
          <w:color w:val="auto"/>
          <w:szCs w:val="21"/>
        </w:rPr>
        <w:t>39</w:t>
      </w:r>
      <w:r>
        <w:rPr>
          <w:rFonts w:ascii="宋体" w:hAnsi="宋体" w:cs="宋体"/>
          <w:color w:val="auto"/>
          <w:szCs w:val="21"/>
        </w:rPr>
        <w:t>.4质疑函应当包括下列内容：</w:t>
      </w:r>
      <w:r>
        <w:rPr>
          <w:rFonts w:hint="eastAsia" w:ascii="宋体" w:hAnsi="宋体" w:cs="宋体"/>
          <w:color w:val="auto"/>
          <w:szCs w:val="21"/>
        </w:rPr>
        <w:t>（</w:t>
      </w:r>
      <w:r>
        <w:rPr>
          <w:rFonts w:ascii="宋体" w:hAnsi="宋体" w:cs="宋体"/>
          <w:color w:val="auto"/>
          <w:szCs w:val="21"/>
        </w:rPr>
        <w:t>1）供应商的姓名或者名称、地址、邮编、联系人及联系电话；</w:t>
      </w:r>
      <w:r>
        <w:rPr>
          <w:rFonts w:hint="eastAsia" w:ascii="宋体" w:hAnsi="宋体" w:cs="宋体"/>
          <w:color w:val="auto"/>
          <w:szCs w:val="21"/>
        </w:rPr>
        <w:t>（</w:t>
      </w:r>
      <w:r>
        <w:rPr>
          <w:rFonts w:ascii="宋体" w:hAnsi="宋体" w:cs="宋体"/>
          <w:color w:val="auto"/>
          <w:szCs w:val="21"/>
        </w:rPr>
        <w:t>2）质疑项目的名称和项目编号，若对项目的某一分包进行质疑，应列明具体的包组号；</w:t>
      </w:r>
      <w:r>
        <w:rPr>
          <w:rFonts w:hint="eastAsia" w:ascii="宋体" w:hAnsi="宋体" w:cs="宋体"/>
          <w:color w:val="auto"/>
          <w:szCs w:val="21"/>
        </w:rPr>
        <w:t>（</w:t>
      </w:r>
      <w:r>
        <w:rPr>
          <w:rFonts w:ascii="宋体" w:hAnsi="宋体" w:cs="宋体"/>
          <w:color w:val="auto"/>
          <w:szCs w:val="21"/>
        </w:rPr>
        <w:t>3）具体、明确的质疑事项和与质疑事项相关的请求；</w:t>
      </w:r>
      <w:r>
        <w:rPr>
          <w:rFonts w:hint="eastAsia" w:ascii="宋体" w:hAnsi="宋体" w:cs="宋体"/>
          <w:color w:val="auto"/>
          <w:szCs w:val="21"/>
        </w:rPr>
        <w:t>（</w:t>
      </w:r>
      <w:r>
        <w:rPr>
          <w:rFonts w:ascii="宋体" w:hAnsi="宋体" w:cs="宋体"/>
          <w:color w:val="auto"/>
          <w:szCs w:val="21"/>
        </w:rPr>
        <w:t>4）事实依据；</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）必要的法律依据；（</w:t>
      </w:r>
      <w:r>
        <w:rPr>
          <w:rFonts w:ascii="宋体" w:hAnsi="宋体" w:cs="宋体"/>
          <w:color w:val="auto"/>
          <w:szCs w:val="21"/>
        </w:rPr>
        <w:t>6）提出质疑的日期。质疑函应当署名。质疑供应商为自然人的，应当由本人签字；质疑供应商为法人或者其他组织的，应当由法定代表人、主要负责人或者其授权代表签字或者盖章，并加盖公章。质疑材料应当包括下列内容：</w:t>
      </w:r>
      <w:r>
        <w:rPr>
          <w:rFonts w:hint="eastAsia" w:ascii="宋体" w:hAnsi="宋体" w:cs="宋体"/>
          <w:color w:val="auto"/>
          <w:szCs w:val="21"/>
        </w:rPr>
        <w:t>（</w:t>
      </w:r>
      <w:r>
        <w:rPr>
          <w:rFonts w:ascii="宋体" w:hAnsi="宋体" w:cs="宋体"/>
          <w:color w:val="auto"/>
          <w:szCs w:val="21"/>
        </w:rPr>
        <w:t>1）纸质版质疑函一份或以上；</w:t>
      </w:r>
      <w:r>
        <w:rPr>
          <w:rFonts w:hint="eastAsia" w:ascii="宋体" w:hAnsi="宋体" w:cs="宋体"/>
          <w:color w:val="auto"/>
          <w:szCs w:val="21"/>
        </w:rPr>
        <w:t>（</w:t>
      </w:r>
      <w:r>
        <w:rPr>
          <w:rFonts w:ascii="宋体" w:hAnsi="宋体" w:cs="宋体"/>
          <w:color w:val="auto"/>
          <w:szCs w:val="21"/>
        </w:rPr>
        <w:t>2）质疑书提交的经办人是法定代表人，需提供加盖单位公章的法定代表人证明书、身份证及营业执照复印件</w:t>
      </w:r>
      <w:r>
        <w:rPr>
          <w:rFonts w:hint="eastAsia" w:ascii="宋体" w:hAnsi="宋体" w:cs="宋体"/>
          <w:color w:val="auto"/>
          <w:szCs w:val="21"/>
        </w:rPr>
        <w:t>；</w:t>
      </w:r>
      <w:r>
        <w:rPr>
          <w:rFonts w:ascii="宋体" w:hAnsi="宋体" w:cs="宋体"/>
          <w:color w:val="auto"/>
          <w:szCs w:val="21"/>
        </w:rPr>
        <w:t>若经办人是单位授权代表，需提供加盖单位公章的法定代表人证明书及其身份证复印件和法定代表人授权委托书、授权代表身份证及营业执照复印</w:t>
      </w:r>
      <w:r>
        <w:rPr>
          <w:rFonts w:hint="eastAsia" w:ascii="宋体" w:hAnsi="宋体" w:cs="宋体"/>
          <w:color w:val="auto"/>
          <w:szCs w:val="21"/>
        </w:rPr>
        <w:t>件。</w:t>
      </w:r>
    </w:p>
    <w:p w14:paraId="7CE15678">
      <w:pPr>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39</w:t>
      </w:r>
      <w:r>
        <w:rPr>
          <w:rFonts w:ascii="宋体" w:hAnsi="宋体" w:cs="宋体"/>
          <w:color w:val="auto"/>
          <w:szCs w:val="21"/>
        </w:rPr>
        <w:t>.5采购人或采购代理机构在收到质疑函后7个工作日内，对质疑内容作出答复。</w:t>
      </w:r>
    </w:p>
    <w:p w14:paraId="0E2C2FE2">
      <w:pPr>
        <w:snapToGrid w:val="0"/>
        <w:spacing w:line="360" w:lineRule="auto"/>
        <w:ind w:left="496" w:hanging="495" w:hangingChars="236"/>
        <w:rPr>
          <w:rFonts w:ascii="宋体" w:hAnsi="宋体" w:cs="宋体"/>
          <w:color w:val="auto"/>
          <w:szCs w:val="21"/>
        </w:rPr>
      </w:pPr>
      <w:r>
        <w:rPr>
          <w:rFonts w:hint="eastAsia" w:ascii="宋体" w:hAnsi="宋体" w:cs="宋体"/>
          <w:color w:val="auto"/>
          <w:szCs w:val="21"/>
        </w:rPr>
        <w:t>39</w:t>
      </w:r>
      <w:r>
        <w:rPr>
          <w:rFonts w:ascii="宋体" w:hAnsi="宋体" w:cs="宋体"/>
          <w:color w:val="auto"/>
          <w:szCs w:val="21"/>
        </w:rPr>
        <w:t>.6质疑内容不得含有虚假、恶意成分。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或举证不全查无实据被驳回次数在一年内达三次以上，将纳入不良行为记录名单并上报监督管理部门依法处理。</w:t>
      </w:r>
    </w:p>
    <w:p w14:paraId="22F7F772">
      <w:pPr>
        <w:numPr>
          <w:ilvl w:val="0"/>
          <w:numId w:val="4"/>
        </w:numPr>
        <w:tabs>
          <w:tab w:val="left" w:pos="284"/>
          <w:tab w:val="left" w:pos="426"/>
        </w:tabs>
        <w:snapToGrid w:val="0"/>
        <w:spacing w:line="360" w:lineRule="auto"/>
        <w:ind w:hanging="1118"/>
        <w:rPr>
          <w:rFonts w:ascii="宋体" w:hAnsi="宋体" w:cs="宋体"/>
          <w:b/>
          <w:color w:val="auto"/>
          <w:szCs w:val="21"/>
        </w:rPr>
      </w:pPr>
      <w:r>
        <w:rPr>
          <w:rFonts w:ascii="宋体" w:hAnsi="宋体" w:cs="宋体"/>
          <w:b/>
          <w:color w:val="auto"/>
          <w:szCs w:val="21"/>
        </w:rPr>
        <w:t>联系方式</w:t>
      </w:r>
    </w:p>
    <w:p w14:paraId="317AEB7B">
      <w:pPr>
        <w:snapToGrid w:val="0"/>
        <w:spacing w:line="360" w:lineRule="auto"/>
        <w:ind w:left="567" w:leftChars="270"/>
        <w:rPr>
          <w:rFonts w:ascii="宋体" w:hAnsi="宋体" w:cs="宋体"/>
          <w:color w:val="auto"/>
          <w:szCs w:val="21"/>
        </w:rPr>
      </w:pPr>
      <w:r>
        <w:rPr>
          <w:rFonts w:hint="eastAsia" w:ascii="宋体" w:hAnsi="宋体" w:cs="宋体"/>
          <w:color w:val="auto"/>
          <w:szCs w:val="21"/>
        </w:rPr>
        <w:t>受理机构：</w:t>
      </w:r>
      <w:r>
        <w:rPr>
          <w:rFonts w:ascii="宋体" w:hAnsi="宋体" w:cs="宋体"/>
          <w:color w:val="auto"/>
          <w:szCs w:val="21"/>
        </w:rPr>
        <w:t>广东为诚招标代理有限公司</w:t>
      </w:r>
    </w:p>
    <w:p w14:paraId="4609C7BF">
      <w:pPr>
        <w:snapToGrid w:val="0"/>
        <w:spacing w:line="360" w:lineRule="auto"/>
        <w:ind w:left="567" w:leftChars="270"/>
        <w:rPr>
          <w:rFonts w:ascii="宋体" w:hAnsi="宋体" w:cs="宋体"/>
          <w:color w:val="auto"/>
          <w:szCs w:val="21"/>
        </w:rPr>
      </w:pPr>
      <w:r>
        <w:rPr>
          <w:rFonts w:ascii="宋体" w:hAnsi="宋体" w:cs="宋体"/>
          <w:color w:val="auto"/>
          <w:szCs w:val="21"/>
        </w:rPr>
        <w:t>质疑地址：广州市天河区高唐路239号时代E-</w:t>
      </w:r>
      <w:r>
        <w:rPr>
          <w:rFonts w:hint="eastAsia" w:ascii="宋体" w:hAnsi="宋体" w:cs="宋体"/>
          <w:color w:val="auto"/>
          <w:szCs w:val="21"/>
        </w:rPr>
        <w:t>PARK1</w:t>
      </w:r>
      <w:r>
        <w:rPr>
          <w:rFonts w:ascii="宋体" w:hAnsi="宋体" w:cs="宋体"/>
          <w:color w:val="auto"/>
          <w:szCs w:val="21"/>
        </w:rPr>
        <w:t>期1栋503房</w:t>
      </w:r>
    </w:p>
    <w:p w14:paraId="2583590C">
      <w:pPr>
        <w:snapToGrid w:val="0"/>
        <w:spacing w:line="360" w:lineRule="auto"/>
        <w:ind w:left="567" w:leftChars="270"/>
        <w:rPr>
          <w:rFonts w:ascii="宋体" w:hAnsi="宋体" w:cs="宋体"/>
          <w:color w:val="auto"/>
          <w:szCs w:val="21"/>
        </w:rPr>
      </w:pPr>
      <w:r>
        <w:rPr>
          <w:rFonts w:ascii="宋体" w:hAnsi="宋体" w:cs="宋体"/>
          <w:color w:val="auto"/>
          <w:szCs w:val="21"/>
        </w:rPr>
        <w:t>质疑电话：020-85515579</w:t>
      </w:r>
    </w:p>
    <w:p w14:paraId="35A1BDFC">
      <w:pPr>
        <w:snapToGrid w:val="0"/>
        <w:spacing w:line="360" w:lineRule="auto"/>
        <w:ind w:left="567" w:leftChars="270"/>
        <w:rPr>
          <w:rFonts w:ascii="宋体" w:hAnsi="宋体" w:cs="宋体"/>
          <w:color w:val="auto"/>
          <w:szCs w:val="21"/>
        </w:rPr>
      </w:pPr>
      <w:r>
        <w:rPr>
          <w:rFonts w:ascii="宋体" w:hAnsi="宋体" w:cs="宋体"/>
          <w:color w:val="auto"/>
          <w:szCs w:val="21"/>
        </w:rPr>
        <w:t>传真：020-85515579</w:t>
      </w:r>
    </w:p>
    <w:p w14:paraId="3C2CB0F7">
      <w:pPr>
        <w:snapToGrid w:val="0"/>
        <w:spacing w:line="360" w:lineRule="auto"/>
        <w:ind w:left="567" w:leftChars="270"/>
        <w:rPr>
          <w:rFonts w:ascii="宋体" w:hAnsi="宋体" w:cs="宋体"/>
          <w:color w:val="auto"/>
          <w:szCs w:val="21"/>
        </w:rPr>
      </w:pPr>
      <w:r>
        <w:rPr>
          <w:rFonts w:ascii="宋体" w:hAnsi="宋体" w:cs="宋体"/>
          <w:color w:val="auto"/>
          <w:szCs w:val="21"/>
        </w:rPr>
        <w:t>e-mail</w:t>
      </w:r>
      <w:r>
        <w:rPr>
          <w:rFonts w:hint="eastAsia" w:ascii="宋体" w:hAnsi="宋体" w:cs="宋体"/>
          <w:color w:val="auto"/>
          <w:szCs w:val="21"/>
        </w:rPr>
        <w:t>：</w:t>
      </w:r>
      <w:r>
        <w:rPr>
          <w:rFonts w:ascii="宋体" w:hAnsi="宋体" w:cs="宋体"/>
          <w:color w:val="auto"/>
          <w:szCs w:val="21"/>
        </w:rPr>
        <w:t xml:space="preserve">gdwczb01@163.com </w:t>
      </w:r>
    </w:p>
    <w:bookmarkEnd w:id="17"/>
    <w:bookmarkEnd w:id="18"/>
    <w:p w14:paraId="1B29C467">
      <w:pPr>
        <w:snapToGrid w:val="0"/>
        <w:spacing w:line="360" w:lineRule="auto"/>
        <w:ind w:left="567" w:leftChars="270"/>
        <w:rPr>
          <w:rFonts w:ascii="宋体" w:hAnsi="宋体" w:cs="宋体"/>
          <w:color w:val="auto"/>
          <w:szCs w:val="21"/>
        </w:rPr>
      </w:pPr>
      <w:r>
        <w:rPr>
          <w:rFonts w:ascii="宋体" w:hAnsi="宋体" w:cs="宋体"/>
          <w:color w:val="auto"/>
          <w:szCs w:val="21"/>
        </w:rPr>
        <w:t>联系人：</w:t>
      </w:r>
      <w:r>
        <w:rPr>
          <w:rFonts w:hint="eastAsia" w:ascii="宋体" w:hAnsi="宋体" w:cs="宋体"/>
          <w:color w:val="auto"/>
          <w:szCs w:val="21"/>
        </w:rPr>
        <w:t>刘先生</w:t>
      </w:r>
    </w:p>
    <w:p w14:paraId="705EE100">
      <w:pPr>
        <w:snapToGrid w:val="0"/>
        <w:spacing w:line="360" w:lineRule="auto"/>
        <w:ind w:left="567" w:leftChars="270"/>
        <w:rPr>
          <w:rFonts w:ascii="宋体" w:hAnsi="宋体" w:cs="宋体"/>
          <w:color w:val="auto"/>
          <w:szCs w:val="21"/>
        </w:rPr>
      </w:pPr>
      <w:bookmarkStart w:id="212" w:name="_Hlt37749100"/>
      <w:bookmarkEnd w:id="212"/>
      <w:bookmarkStart w:id="213" w:name="_Toc489256290"/>
      <w:bookmarkStart w:id="214" w:name="_Toc466561084"/>
      <w:bookmarkStart w:id="215" w:name="_Toc447627924"/>
      <w:bookmarkStart w:id="216" w:name="_Toc460935728"/>
      <w:bookmarkStart w:id="217" w:name="_Toc451430626"/>
      <w:bookmarkStart w:id="218" w:name="_Toc466446669"/>
      <w:bookmarkStart w:id="219" w:name="_Toc307826680"/>
      <w:bookmarkStart w:id="220" w:name="_Toc37486830"/>
      <w:bookmarkStart w:id="221" w:name="_Toc458014960"/>
      <w:bookmarkStart w:id="222" w:name="_Toc307826051"/>
      <w:bookmarkStart w:id="223" w:name="_Toc206584372"/>
      <w:bookmarkStart w:id="224" w:name="_Toc488422669"/>
      <w:bookmarkStart w:id="225" w:name="_Toc488955844"/>
      <w:bookmarkStart w:id="226" w:name="_Toc488933546"/>
      <w:bookmarkStart w:id="227" w:name="_Toc37051848"/>
      <w:bookmarkStart w:id="228" w:name="_Toc34814721"/>
      <w:bookmarkStart w:id="229" w:name="_Toc17693875"/>
      <w:bookmarkStart w:id="230" w:name="_Hlt37749135"/>
      <w:bookmarkStart w:id="231" w:name="_Toc35412191"/>
    </w:p>
    <w:p w14:paraId="653E0341">
      <w:pPr>
        <w:pStyle w:val="2"/>
        <w:spacing w:before="0" w:after="0" w:line="360" w:lineRule="auto"/>
        <w:rPr>
          <w:rFonts w:ascii="宋体" w:hAnsi="宋体" w:cs="宋体"/>
          <w:color w:val="auto"/>
        </w:rPr>
      </w:pPr>
      <w:r>
        <w:rPr>
          <w:rFonts w:ascii="宋体" w:hAnsi="宋体" w:cs="宋体"/>
          <w:color w:val="auto"/>
          <w:sz w:val="21"/>
          <w:szCs w:val="21"/>
        </w:rPr>
        <w:br w:type="page"/>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32" w:name="_Toc32088"/>
      <w:bookmarkStart w:id="233" w:name="_Toc12472"/>
      <w:bookmarkStart w:id="234" w:name="_Toc108597122"/>
      <w:bookmarkStart w:id="235" w:name="_Toc57560596"/>
      <w:bookmarkStart w:id="236" w:name="_Toc57643893"/>
      <w:bookmarkStart w:id="237" w:name="_Toc58655986"/>
      <w:bookmarkStart w:id="238" w:name="_Toc58232752"/>
      <w:bookmarkStart w:id="239" w:name="_Toc59271279"/>
      <w:r>
        <w:rPr>
          <w:rFonts w:hint="eastAsia" w:ascii="宋体" w:hAnsi="宋体" w:cs="宋体"/>
          <w:color w:val="auto"/>
        </w:rPr>
        <w:t>第三部分</w:t>
      </w:r>
      <w:r>
        <w:rPr>
          <w:rFonts w:ascii="宋体" w:hAnsi="宋体" w:cs="宋体"/>
          <w:color w:val="auto"/>
        </w:rPr>
        <w:t xml:space="preserve">  用户需求书</w:t>
      </w:r>
      <w:bookmarkEnd w:id="232"/>
      <w:bookmarkEnd w:id="233"/>
    </w:p>
    <w:p w14:paraId="014A71A5">
      <w:pPr>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43B14893">
      <w:pPr>
        <w:spacing w:line="360" w:lineRule="auto"/>
        <w:ind w:firstLine="480"/>
        <w:jc w:val="both"/>
        <w:rPr>
          <w:rFonts w:hint="eastAsia" w:ascii="宋体" w:hAnsi="宋体" w:eastAsia="宋体" w:cs="宋体"/>
          <w:sz w:val="21"/>
          <w:szCs w:val="21"/>
          <w:lang w:eastAsia="zh-CN"/>
        </w:rPr>
      </w:pPr>
      <w:r>
        <w:rPr>
          <w:rFonts w:hint="eastAsia" w:ascii="宋体" w:hAnsi="宋体" w:eastAsia="宋体" w:cs="宋体"/>
          <w:sz w:val="21"/>
          <w:szCs w:val="21"/>
        </w:rPr>
        <w:t>（一）项目名称：</w:t>
      </w:r>
      <w:r>
        <w:rPr>
          <w:rFonts w:hint="eastAsia" w:ascii="宋体" w:hAnsi="宋体" w:eastAsia="宋体" w:cs="宋体"/>
          <w:sz w:val="21"/>
          <w:szCs w:val="21"/>
          <w:lang w:eastAsia="zh-CN"/>
        </w:rPr>
        <w:t>2024年广州市南沙政务服务公众考核满意度调查项目</w:t>
      </w:r>
    </w:p>
    <w:p w14:paraId="61608B95">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二</w:t>
      </w:r>
      <w:r>
        <w:rPr>
          <w:rFonts w:hint="eastAsia" w:ascii="宋体" w:hAnsi="宋体" w:eastAsia="宋体" w:cs="宋体"/>
          <w:sz w:val="21"/>
          <w:szCs w:val="21"/>
        </w:rPr>
        <w:t>）项目预算金额：¥</w:t>
      </w:r>
      <w:r>
        <w:rPr>
          <w:rFonts w:hint="eastAsia" w:ascii="宋体" w:hAnsi="宋体" w:eastAsia="宋体" w:cs="宋体"/>
          <w:sz w:val="21"/>
          <w:szCs w:val="21"/>
          <w:lang w:eastAsia="zh-CN"/>
        </w:rPr>
        <w:t>792,800.00</w:t>
      </w:r>
      <w:r>
        <w:rPr>
          <w:rFonts w:hint="eastAsia" w:ascii="宋体" w:hAnsi="宋体" w:eastAsia="宋体" w:cs="宋体"/>
          <w:sz w:val="21"/>
          <w:szCs w:val="21"/>
        </w:rPr>
        <w:t>元</w:t>
      </w:r>
    </w:p>
    <w:p w14:paraId="3158A81B">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）合同履行期限：</w:t>
      </w:r>
      <w:r>
        <w:rPr>
          <w:rFonts w:hint="eastAsia" w:ascii="宋体" w:hAnsi="宋体" w:eastAsia="宋体" w:cs="宋体"/>
          <w:sz w:val="21"/>
          <w:szCs w:val="21"/>
          <w:lang w:eastAsia="zh-CN"/>
        </w:rPr>
        <w:t>2024年1月1日至2024年12月31日</w:t>
      </w:r>
      <w:r>
        <w:rPr>
          <w:rFonts w:hint="eastAsia" w:ascii="宋体" w:hAnsi="宋体" w:eastAsia="宋体" w:cs="宋体"/>
          <w:sz w:val="21"/>
          <w:szCs w:val="21"/>
        </w:rPr>
        <w:t>。</w:t>
      </w:r>
    </w:p>
    <w:p w14:paraId="56D01D01">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四</w:t>
      </w:r>
      <w:r>
        <w:rPr>
          <w:rFonts w:hint="eastAsia" w:ascii="宋体" w:hAnsi="宋体" w:eastAsia="宋体" w:cs="宋体"/>
          <w:sz w:val="21"/>
          <w:szCs w:val="21"/>
        </w:rPr>
        <w:t>）现通过竞争性磋商的方式选取确定一家有资质、有实力、诚信度高、管理严格的服务企业，为采购人提供相关服务。</w:t>
      </w:r>
    </w:p>
    <w:p w14:paraId="1D184590">
      <w:pPr>
        <w:spacing w:line="360" w:lineRule="auto"/>
        <w:ind w:firstLine="480"/>
        <w:jc w:val="both"/>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五</w:t>
      </w:r>
      <w:r>
        <w:rPr>
          <w:rFonts w:hint="eastAsia" w:ascii="宋体" w:hAnsi="宋体" w:eastAsia="宋体" w:cs="宋体"/>
          <w:sz w:val="21"/>
          <w:szCs w:val="21"/>
        </w:rPr>
        <w:t>）本项目采用总价包干的报价方式，凡超过最高限价的投标报价均视为无效投标。响应供应商的报价应包括：服务工作的人员费用、意外保险费、税费、管理费等一切相关的费用。如果响应供应商在成交并签署合同后，或在管理期限内出现的任何遗漏，均由成交供应商负责，成交供应商应充分了解本项目的实际及任何其它足以影响投标报价的情况，充分考虑到投标报价的风险。</w:t>
      </w:r>
    </w:p>
    <w:p w14:paraId="46CBA892">
      <w:pPr>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二、服务内容</w:t>
      </w:r>
    </w:p>
    <w:p w14:paraId="07F391B0">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项目目的</w:t>
      </w:r>
    </w:p>
    <w:p w14:paraId="58F88334">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为</w:t>
      </w:r>
      <w:r>
        <w:rPr>
          <w:rFonts w:hint="eastAsia" w:ascii="宋体" w:hAnsi="宋体" w:eastAsia="宋体" w:cs="宋体"/>
          <w:kern w:val="0"/>
          <w:sz w:val="21"/>
          <w:szCs w:val="21"/>
        </w:rPr>
        <w:t>全面贯彻</w:t>
      </w:r>
      <w:r>
        <w:rPr>
          <w:rFonts w:hint="eastAsia" w:ascii="宋体" w:hAnsi="宋体" w:eastAsia="宋体" w:cs="宋体"/>
          <w:sz w:val="21"/>
          <w:szCs w:val="21"/>
        </w:rPr>
        <w:t>落实</w:t>
      </w:r>
      <w:r>
        <w:rPr>
          <w:rFonts w:hint="eastAsia" w:ascii="宋体" w:hAnsi="宋体" w:eastAsia="宋体" w:cs="宋体"/>
          <w:kern w:val="0"/>
          <w:sz w:val="21"/>
          <w:szCs w:val="21"/>
        </w:rPr>
        <w:t>党的二十大精神，</w:t>
      </w:r>
      <w:r>
        <w:rPr>
          <w:rFonts w:hint="eastAsia" w:ascii="宋体" w:hAnsi="宋体" w:eastAsia="宋体" w:cs="宋体"/>
          <w:kern w:val="0"/>
          <w:sz w:val="21"/>
          <w:szCs w:val="21"/>
          <w:lang w:val="en-US" w:eastAsia="zh-CN"/>
        </w:rPr>
        <w:t>根据</w:t>
      </w:r>
      <w:r>
        <w:rPr>
          <w:rFonts w:hint="eastAsia" w:ascii="宋体" w:hAnsi="宋体" w:eastAsia="宋体" w:cs="宋体"/>
          <w:kern w:val="0"/>
          <w:sz w:val="21"/>
          <w:szCs w:val="21"/>
          <w:lang w:eastAsia="zh-Hans"/>
        </w:rPr>
        <w:t>《国务院关于加快推进政务服务标准化规范化便利化的指导意见》《广东省加快推进政务服务标准化规范化便利化工作实施方案》《广州市加快推进政务服务标准化规范化便利化实施方案》</w:t>
      </w:r>
      <w:r>
        <w:rPr>
          <w:rFonts w:hint="eastAsia" w:ascii="宋体" w:hAnsi="宋体" w:eastAsia="宋体" w:cs="宋体"/>
          <w:kern w:val="0"/>
          <w:sz w:val="21"/>
          <w:szCs w:val="21"/>
        </w:rPr>
        <w:t>等文件精神</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结合我区工作实际</w:t>
      </w:r>
      <w:r>
        <w:rPr>
          <w:rFonts w:hint="eastAsia" w:ascii="宋体" w:hAnsi="宋体" w:eastAsia="宋体" w:cs="宋体"/>
          <w:kern w:val="0"/>
          <w:sz w:val="21"/>
          <w:szCs w:val="21"/>
          <w:lang w:val="en-US" w:eastAsia="zh-CN"/>
        </w:rPr>
        <w:t>及我局</w:t>
      </w:r>
      <w:r>
        <w:rPr>
          <w:rFonts w:hint="eastAsia" w:ascii="宋体" w:hAnsi="宋体" w:eastAsia="宋体" w:cs="宋体"/>
          <w:kern w:val="0"/>
          <w:sz w:val="21"/>
          <w:szCs w:val="21"/>
        </w:rPr>
        <w:t>《广州市南沙区政务服务三年发展规划（2023年-2025年）》</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以下简称《规划》</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，将立足新发展阶段，顺应数字化发展趋势，</w:t>
      </w:r>
      <w:r>
        <w:rPr>
          <w:rFonts w:hint="eastAsia" w:ascii="宋体" w:hAnsi="宋体" w:eastAsia="宋体" w:cs="宋体"/>
          <w:kern w:val="0"/>
          <w:sz w:val="21"/>
          <w:szCs w:val="21"/>
          <w:lang w:val="en-US" w:eastAsia="zh-CN"/>
        </w:rPr>
        <w:t>力争</w:t>
      </w:r>
      <w:r>
        <w:rPr>
          <w:rFonts w:hint="eastAsia" w:ascii="宋体" w:hAnsi="宋体" w:eastAsia="宋体" w:cs="宋体"/>
          <w:kern w:val="0"/>
          <w:sz w:val="21"/>
          <w:szCs w:val="21"/>
        </w:rPr>
        <w:t>政务服务标准化、规范化、便利化水平大幅提升，集约化办事、智慧化服务实现新的突破，建成方便、快捷、公平普惠、优质高效的政务服务体系。</w:t>
      </w:r>
    </w:p>
    <w:p w14:paraId="2C58B2C5">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通过</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调查</w:t>
      </w:r>
      <w:r>
        <w:rPr>
          <w:rFonts w:hint="eastAsia" w:ascii="宋体" w:hAnsi="宋体" w:eastAsia="宋体" w:cs="宋体"/>
          <w:kern w:val="0"/>
          <w:sz w:val="21"/>
          <w:szCs w:val="21"/>
        </w:rPr>
        <w:t>为主，科学、客观对南沙区政务服务中心进驻窗口单位及各镇（街）（包括但不限于镇（街）政务服务中心、村（居）公共服务站、专业大厅）（以下简称镇（街））的政务服务效能状况进行调查</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充分听取企业和群众对南沙政务工作的意见建议，研究分析政务工作亮点和服务短板，并查找、挖掘服务短板的深层次原因，提出具体有效的对策建议</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推动全区政务服务水平突破提升，持续增强企业和群众的获得感和满意度，助力南沙打造成为立足湾区、协同港澳、面向世界的重大战略性平台，打造政务服务高质量发展“南沙样本”。</w:t>
      </w:r>
    </w:p>
    <w:p w14:paraId="7A5FFA7E">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项目目标</w:t>
      </w:r>
    </w:p>
    <w:p w14:paraId="2D2ADB2F">
      <w:pPr>
        <w:spacing w:line="360" w:lineRule="auto"/>
        <w:ind w:firstLine="480"/>
        <w:jc w:val="both"/>
        <w:rPr>
          <w:rFonts w:hint="eastAsia" w:ascii="宋体" w:hAnsi="宋体" w:eastAsia="宋体" w:cs="宋体"/>
          <w:kern w:val="0"/>
          <w:sz w:val="21"/>
          <w:szCs w:val="21"/>
        </w:rPr>
      </w:pPr>
      <w:r>
        <w:rPr>
          <w:rFonts w:hint="eastAsia" w:ascii="宋体" w:hAnsi="宋体" w:eastAsia="宋体" w:cs="宋体"/>
          <w:b/>
          <w:kern w:val="0"/>
          <w:sz w:val="21"/>
          <w:szCs w:val="21"/>
        </w:rPr>
        <w:t>1.深挖</w:t>
      </w:r>
      <w:r>
        <w:rPr>
          <w:rFonts w:hint="eastAsia" w:ascii="宋体" w:hAnsi="宋体" w:eastAsia="宋体" w:cs="宋体"/>
          <w:b/>
          <w:kern w:val="0"/>
          <w:sz w:val="21"/>
          <w:szCs w:val="21"/>
          <w:lang w:val="en-US" w:eastAsia="zh-CN"/>
        </w:rPr>
        <w:t>政务</w:t>
      </w:r>
      <w:r>
        <w:rPr>
          <w:rFonts w:hint="eastAsia" w:ascii="宋体" w:hAnsi="宋体" w:eastAsia="宋体" w:cs="宋体"/>
          <w:b/>
          <w:kern w:val="0"/>
          <w:sz w:val="21"/>
          <w:szCs w:val="21"/>
        </w:rPr>
        <w:t>服务窗口单位</w:t>
      </w:r>
      <w:r>
        <w:rPr>
          <w:rFonts w:hint="eastAsia" w:ascii="宋体" w:hAnsi="宋体" w:eastAsia="宋体" w:cs="宋体"/>
          <w:b/>
          <w:kern w:val="0"/>
          <w:sz w:val="21"/>
          <w:szCs w:val="21"/>
          <w:lang w:val="en-US" w:eastAsia="zh-CN"/>
        </w:rPr>
        <w:t>工作</w:t>
      </w:r>
      <w:r>
        <w:rPr>
          <w:rFonts w:hint="eastAsia" w:ascii="宋体" w:hAnsi="宋体" w:eastAsia="宋体" w:cs="宋体"/>
          <w:b/>
          <w:kern w:val="0"/>
          <w:sz w:val="21"/>
          <w:szCs w:val="21"/>
        </w:rPr>
        <w:t>短板。</w:t>
      </w:r>
      <w:r>
        <w:rPr>
          <w:rFonts w:hint="eastAsia" w:ascii="宋体" w:hAnsi="宋体" w:eastAsia="宋体" w:cs="宋体"/>
          <w:kern w:val="0"/>
          <w:sz w:val="21"/>
          <w:szCs w:val="21"/>
        </w:rPr>
        <w:t>从</w:t>
      </w:r>
      <w:r>
        <w:rPr>
          <w:rFonts w:hint="eastAsia" w:ascii="宋体" w:hAnsi="宋体" w:cs="宋体"/>
          <w:sz w:val="21"/>
          <w:szCs w:val="21"/>
          <w:lang w:val="en-US" w:eastAsia="zh-CN"/>
        </w:rPr>
        <w:t>成交供应商</w:t>
      </w:r>
      <w:r>
        <w:rPr>
          <w:rFonts w:hint="eastAsia" w:ascii="宋体" w:hAnsi="宋体" w:eastAsia="宋体" w:cs="宋体"/>
          <w:kern w:val="0"/>
          <w:sz w:val="21"/>
          <w:szCs w:val="21"/>
        </w:rPr>
        <w:t>视角，深度查找、挖掘窗口服务单位在各业务领域全流程政务服务的短板问题，研究分析深层次原因，并针对所发现问题提出具体有效的对策建议，聚焦政务服务优化、效能提升的薄弱环节精准发力，倒逼各窗口服务单位积极推进自身政务管理和服务创新。</w:t>
      </w:r>
    </w:p>
    <w:p w14:paraId="1E6D0050">
      <w:pPr>
        <w:spacing w:line="360" w:lineRule="auto"/>
        <w:ind w:firstLine="480"/>
        <w:jc w:val="both"/>
        <w:rPr>
          <w:rFonts w:hint="eastAsia" w:ascii="宋体" w:hAnsi="宋体" w:eastAsia="宋体" w:cs="宋体"/>
          <w:kern w:val="0"/>
          <w:sz w:val="21"/>
          <w:szCs w:val="21"/>
        </w:rPr>
      </w:pPr>
      <w:r>
        <w:rPr>
          <w:rFonts w:hint="eastAsia" w:ascii="宋体" w:hAnsi="宋体" w:eastAsia="宋体" w:cs="宋体"/>
          <w:b/>
          <w:kern w:val="0"/>
          <w:sz w:val="21"/>
          <w:szCs w:val="21"/>
        </w:rPr>
        <w:t>2.</w:t>
      </w:r>
      <w:r>
        <w:rPr>
          <w:rFonts w:hint="eastAsia" w:ascii="宋体" w:hAnsi="宋体" w:eastAsia="宋体" w:cs="宋体"/>
          <w:b/>
          <w:kern w:val="0"/>
          <w:sz w:val="21"/>
          <w:szCs w:val="21"/>
          <w:lang w:val="en-US" w:eastAsia="zh-CN"/>
        </w:rPr>
        <w:t>优化</w:t>
      </w:r>
      <w:r>
        <w:rPr>
          <w:rFonts w:hint="eastAsia" w:ascii="宋体" w:hAnsi="宋体" w:eastAsia="宋体" w:cs="宋体"/>
          <w:b/>
          <w:kern w:val="0"/>
          <w:sz w:val="21"/>
          <w:szCs w:val="21"/>
        </w:rPr>
        <w:t>提升镇（街）政务服务水平。</w:t>
      </w:r>
      <w:r>
        <w:rPr>
          <w:rFonts w:hint="eastAsia" w:ascii="宋体" w:hAnsi="宋体" w:eastAsia="宋体" w:cs="宋体"/>
          <w:kern w:val="0"/>
          <w:sz w:val="21"/>
          <w:szCs w:val="21"/>
        </w:rPr>
        <w:t>2024年继续优化镇（街）政务服务效能常态化监测与考评体系，</w:t>
      </w:r>
      <w:r>
        <w:rPr>
          <w:rFonts w:hint="eastAsia" w:ascii="宋体" w:hAnsi="宋体" w:eastAsia="宋体" w:cs="宋体"/>
          <w:kern w:val="0"/>
          <w:sz w:val="21"/>
          <w:szCs w:val="21"/>
          <w:lang w:val="en-US" w:eastAsia="zh-CN"/>
        </w:rPr>
        <w:t>针对</w:t>
      </w:r>
      <w:r>
        <w:rPr>
          <w:rFonts w:hint="eastAsia" w:ascii="宋体" w:hAnsi="宋体" w:eastAsia="宋体" w:cs="宋体"/>
          <w:kern w:val="0"/>
          <w:sz w:val="21"/>
          <w:szCs w:val="21"/>
        </w:rPr>
        <w:t>目前镇（街）政务服务标准化规范化便利化推进现状，聚焦办事企业和群众需求，深挖各镇（街）政务服务成效和存在问题，</w:t>
      </w:r>
      <w:r>
        <w:rPr>
          <w:rFonts w:hint="eastAsia" w:ascii="宋体" w:hAnsi="宋体" w:eastAsia="宋体" w:cs="宋体"/>
          <w:kern w:val="0"/>
          <w:sz w:val="21"/>
          <w:szCs w:val="21"/>
          <w:lang w:val="en-US" w:eastAsia="zh-CN"/>
        </w:rPr>
        <w:t>提出可行性的建议或意见，</w:t>
      </w:r>
      <w:r>
        <w:rPr>
          <w:rFonts w:hint="eastAsia" w:ascii="宋体" w:hAnsi="宋体" w:eastAsia="宋体" w:cs="宋体"/>
          <w:kern w:val="0"/>
          <w:sz w:val="21"/>
          <w:szCs w:val="21"/>
        </w:rPr>
        <w:t>突破提升镇（街）的整体政务服务水平与服务能力。</w:t>
      </w:r>
    </w:p>
    <w:p w14:paraId="7997A4B5">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工作</w:t>
      </w:r>
      <w:r>
        <w:rPr>
          <w:rFonts w:hint="eastAsia" w:ascii="宋体" w:hAnsi="宋体" w:eastAsia="宋体" w:cs="宋体"/>
          <w:sz w:val="21"/>
          <w:szCs w:val="21"/>
        </w:rPr>
        <w:t>原则</w:t>
      </w:r>
    </w:p>
    <w:p w14:paraId="46C13DF7">
      <w:pPr>
        <w:spacing w:line="360" w:lineRule="auto"/>
        <w:ind w:firstLine="480"/>
        <w:jc w:val="both"/>
        <w:rPr>
          <w:rFonts w:hint="eastAsia" w:ascii="宋体" w:hAnsi="宋体" w:eastAsia="宋体" w:cs="宋体"/>
          <w:b/>
          <w:sz w:val="21"/>
          <w:szCs w:val="21"/>
        </w:rPr>
      </w:pPr>
      <w:r>
        <w:rPr>
          <w:rFonts w:hint="eastAsia" w:ascii="宋体" w:hAnsi="宋体" w:eastAsia="宋体" w:cs="宋体"/>
          <w:b/>
          <w:sz w:val="21"/>
          <w:szCs w:val="21"/>
        </w:rPr>
        <w:t>1.结果导向性</w:t>
      </w:r>
    </w:p>
    <w:p w14:paraId="597D5B99">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以</w:t>
      </w:r>
      <w:r>
        <w:rPr>
          <w:rFonts w:hint="eastAsia" w:ascii="宋体" w:hAnsi="宋体" w:cs="宋体"/>
          <w:sz w:val="21"/>
          <w:szCs w:val="21"/>
          <w:lang w:val="en-US" w:eastAsia="zh-CN"/>
        </w:rPr>
        <w:t>成交供应商</w:t>
      </w:r>
      <w:r>
        <w:rPr>
          <w:rFonts w:hint="eastAsia" w:ascii="宋体" w:hAnsi="宋体" w:eastAsia="宋体" w:cs="宋体"/>
          <w:sz w:val="21"/>
          <w:szCs w:val="21"/>
        </w:rPr>
        <w:t>独立、客观视角为主，坚持问题导向、需求导向、目标导向、结果导向，以办事企业和群众“获得感”为第一评估标准，重点评估各进驻部门、各镇（街）的政务服务实效，挖掘工作中存在的问题和服务短板，深入研究分析原因，针对问题提出具体有效的改进措施和优化建议，引导南沙政务服务向高质量发展。</w:t>
      </w:r>
    </w:p>
    <w:p w14:paraId="08681A50">
      <w:pPr>
        <w:spacing w:line="360" w:lineRule="auto"/>
        <w:ind w:firstLine="480"/>
        <w:jc w:val="both"/>
        <w:rPr>
          <w:rFonts w:hint="eastAsia" w:ascii="宋体" w:hAnsi="宋体" w:eastAsia="宋体" w:cs="宋体"/>
          <w:b/>
          <w:sz w:val="21"/>
          <w:szCs w:val="21"/>
        </w:rPr>
      </w:pPr>
      <w:r>
        <w:rPr>
          <w:rFonts w:hint="eastAsia" w:ascii="宋体" w:hAnsi="宋体" w:eastAsia="宋体" w:cs="宋体"/>
          <w:b/>
          <w:sz w:val="21"/>
          <w:szCs w:val="21"/>
        </w:rPr>
        <w:t>2.量化可比性</w:t>
      </w:r>
    </w:p>
    <w:p w14:paraId="213A5804">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坚持指标可量化、结果可比较原则，以定量数据作为反映指标的核心依据，以信息化平台作为获取数据的关键支撑，采用座谈会、深度访问、深度模拟体验、实地调研、暗访调查、网上抽查、拦截访问、电话调查等多元化数据采集方式，确保调查结果真实、准确。</w:t>
      </w:r>
    </w:p>
    <w:p w14:paraId="14EE7F59">
      <w:pPr>
        <w:pStyle w:val="20"/>
        <w:spacing w:line="360" w:lineRule="auto"/>
        <w:ind w:left="0" w:leftChars="0" w:firstLine="422" w:firstLineChars="200"/>
        <w:rPr>
          <w:rFonts w:hint="eastAsia" w:ascii="宋体" w:hAnsi="宋体" w:eastAsia="宋体" w:cs="宋体"/>
          <w:b/>
          <w:sz w:val="21"/>
          <w:szCs w:val="21"/>
        </w:rPr>
      </w:pPr>
      <w:r>
        <w:rPr>
          <w:rFonts w:hint="eastAsia" w:ascii="宋体" w:hAnsi="宋体" w:eastAsia="宋体" w:cs="宋体"/>
          <w:b/>
          <w:sz w:val="21"/>
          <w:szCs w:val="21"/>
        </w:rPr>
        <w:t>3.客观公正性</w:t>
      </w:r>
    </w:p>
    <w:p w14:paraId="1D8F2334">
      <w:pPr>
        <w:pStyle w:val="2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委托</w:t>
      </w:r>
      <w:r>
        <w:rPr>
          <w:rFonts w:hint="eastAsia" w:ascii="宋体" w:hAnsi="宋体" w:cs="宋体"/>
          <w:sz w:val="21"/>
          <w:szCs w:val="21"/>
          <w:lang w:val="en-US" w:eastAsia="zh-CN"/>
        </w:rPr>
        <w:t>成交供应商</w:t>
      </w:r>
      <w:r>
        <w:rPr>
          <w:rFonts w:hint="eastAsia" w:ascii="宋体" w:hAnsi="宋体" w:eastAsia="宋体" w:cs="宋体"/>
          <w:sz w:val="21"/>
          <w:szCs w:val="21"/>
        </w:rPr>
        <w:t>开展调查研究，避免传统“内评估”的不足，增强调查工作的透明度和公信力，客观、科学评估南沙区政务服务建设情况。</w:t>
      </w:r>
    </w:p>
    <w:p w14:paraId="5D236CB5">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评估</w:t>
      </w:r>
      <w:r>
        <w:rPr>
          <w:rFonts w:hint="eastAsia" w:ascii="宋体" w:hAnsi="宋体" w:eastAsia="宋体" w:cs="宋体"/>
          <w:sz w:val="21"/>
          <w:szCs w:val="21"/>
        </w:rPr>
        <w:t>方法</w:t>
      </w:r>
    </w:p>
    <w:p w14:paraId="2686F6D3">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对标政务服务三年规划的重点工作任务，调查</w:t>
      </w:r>
      <w:r>
        <w:rPr>
          <w:rFonts w:hint="eastAsia" w:ascii="宋体" w:hAnsi="宋体" w:eastAsia="宋体" w:cs="宋体"/>
          <w:sz w:val="21"/>
          <w:szCs w:val="21"/>
        </w:rPr>
        <w:t>采用定性和定量相结合的</w:t>
      </w:r>
      <w:r>
        <w:rPr>
          <w:rFonts w:hint="eastAsia" w:ascii="宋体" w:hAnsi="宋体" w:eastAsia="宋体" w:cs="宋体"/>
          <w:sz w:val="21"/>
          <w:szCs w:val="21"/>
          <w:lang w:val="en-US" w:eastAsia="zh-CN"/>
        </w:rPr>
        <w:t>评估</w:t>
      </w:r>
      <w:r>
        <w:rPr>
          <w:rFonts w:hint="eastAsia" w:ascii="宋体" w:hAnsi="宋体" w:eastAsia="宋体" w:cs="宋体"/>
          <w:sz w:val="21"/>
          <w:szCs w:val="21"/>
        </w:rPr>
        <w:t>方法。</w:t>
      </w:r>
      <w:r>
        <w:rPr>
          <w:rFonts w:hint="eastAsia" w:ascii="宋体" w:hAnsi="宋体" w:eastAsia="宋体" w:cs="宋体"/>
          <w:kern w:val="0"/>
          <w:sz w:val="21"/>
          <w:szCs w:val="21"/>
        </w:rPr>
        <w:t>创新</w:t>
      </w:r>
      <w:r>
        <w:rPr>
          <w:rFonts w:hint="eastAsia" w:ascii="宋体" w:hAnsi="宋体" w:eastAsia="宋体" w:cs="宋体"/>
          <w:kern w:val="0"/>
          <w:sz w:val="21"/>
          <w:szCs w:val="21"/>
          <w:lang w:val="en-US" w:eastAsia="zh-CN"/>
        </w:rPr>
        <w:t>评估</w:t>
      </w:r>
      <w:r>
        <w:rPr>
          <w:rFonts w:hint="eastAsia" w:ascii="宋体" w:hAnsi="宋体" w:eastAsia="宋体" w:cs="宋体"/>
          <w:kern w:val="0"/>
          <w:sz w:val="21"/>
          <w:szCs w:val="21"/>
        </w:rPr>
        <w:t>方式，</w:t>
      </w:r>
      <w:r>
        <w:rPr>
          <w:rFonts w:hint="eastAsia" w:ascii="宋体" w:hAnsi="宋体" w:eastAsia="宋体" w:cs="宋体"/>
          <w:kern w:val="0"/>
          <w:sz w:val="21"/>
          <w:szCs w:val="21"/>
          <w:lang w:val="en-US" w:eastAsia="zh-CN"/>
        </w:rPr>
        <w:t>挖掘</w:t>
      </w:r>
      <w:r>
        <w:rPr>
          <w:rFonts w:hint="eastAsia" w:ascii="宋体" w:hAnsi="宋体" w:eastAsia="宋体" w:cs="宋体"/>
          <w:kern w:val="0"/>
          <w:sz w:val="21"/>
          <w:szCs w:val="21"/>
          <w:lang w:eastAsia="zh-CN"/>
        </w:rPr>
        <w:t>考评</w:t>
      </w:r>
      <w:r>
        <w:rPr>
          <w:rFonts w:hint="eastAsia" w:ascii="宋体" w:hAnsi="宋体" w:eastAsia="宋体" w:cs="宋体"/>
          <w:kern w:val="0"/>
          <w:sz w:val="21"/>
          <w:szCs w:val="21"/>
        </w:rPr>
        <w:t>内容，</w:t>
      </w:r>
      <w:r>
        <w:rPr>
          <w:rFonts w:hint="eastAsia" w:ascii="宋体" w:hAnsi="宋体" w:cs="宋体"/>
          <w:sz w:val="21"/>
          <w:szCs w:val="21"/>
          <w:lang w:val="en-US" w:eastAsia="zh-CN"/>
        </w:rPr>
        <w:t>成交供应商</w:t>
      </w:r>
      <w:r>
        <w:rPr>
          <w:rFonts w:hint="eastAsia" w:ascii="宋体" w:hAnsi="宋体" w:eastAsia="宋体" w:cs="宋体"/>
          <w:sz w:val="21"/>
          <w:szCs w:val="21"/>
        </w:rPr>
        <w:t>主要通过座谈会、深度访问、深度模拟体验、实地调研、暗访调查、实地走访、网上抽查、办事大厅拦截访问、电话调查、电话回访、文献分析法、内部系统采集等多种调查方式和手段，采集政务服务考评数据，</w:t>
      </w:r>
      <w:r>
        <w:rPr>
          <w:rFonts w:hint="eastAsia" w:ascii="宋体" w:hAnsi="宋体" w:eastAsia="宋体" w:cs="宋体"/>
          <w:sz w:val="21"/>
          <w:szCs w:val="21"/>
          <w:lang w:val="en-US" w:eastAsia="zh-CN"/>
        </w:rPr>
        <w:t>使用国家通用的统计法及结合</w:t>
      </w:r>
      <w:r>
        <w:rPr>
          <w:rFonts w:hint="eastAsia" w:ascii="宋体" w:hAnsi="宋体" w:eastAsia="宋体" w:cs="宋体"/>
          <w:sz w:val="21"/>
          <w:szCs w:val="21"/>
        </w:rPr>
        <w:t>专家评估法进行评分。</w:t>
      </w:r>
      <w:r>
        <w:rPr>
          <w:rFonts w:hint="eastAsia" w:ascii="宋体" w:hAnsi="宋体" w:eastAsia="宋体" w:cs="宋体"/>
          <w:kern w:val="0"/>
          <w:sz w:val="21"/>
          <w:szCs w:val="21"/>
        </w:rPr>
        <w:t>重点突出以下</w:t>
      </w:r>
      <w:r>
        <w:rPr>
          <w:rFonts w:hint="eastAsia" w:ascii="宋体" w:hAnsi="宋体" w:eastAsia="宋体" w:cs="宋体"/>
          <w:kern w:val="0"/>
          <w:sz w:val="21"/>
          <w:szCs w:val="21"/>
          <w:lang w:eastAsia="zh-CN"/>
        </w:rPr>
        <w:t>考评</w:t>
      </w:r>
      <w:r>
        <w:rPr>
          <w:rFonts w:hint="eastAsia" w:ascii="宋体" w:hAnsi="宋体" w:eastAsia="宋体" w:cs="宋体"/>
          <w:kern w:val="0"/>
          <w:sz w:val="21"/>
          <w:szCs w:val="21"/>
        </w:rPr>
        <w:t>内容：</w:t>
      </w:r>
    </w:p>
    <w:p w14:paraId="03BE96EA">
      <w:pPr>
        <w:spacing w:line="360" w:lineRule="auto"/>
        <w:ind w:firstLine="422" w:firstLineChars="200"/>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1.</w:t>
      </w:r>
      <w:r>
        <w:rPr>
          <w:rFonts w:hint="eastAsia" w:ascii="宋体" w:hAnsi="宋体" w:eastAsia="宋体" w:cs="宋体"/>
          <w:b/>
          <w:kern w:val="0"/>
          <w:sz w:val="21"/>
          <w:szCs w:val="21"/>
        </w:rPr>
        <w:t>窗口服务单位考</w:t>
      </w:r>
      <w:r>
        <w:rPr>
          <w:rFonts w:hint="eastAsia" w:ascii="宋体" w:hAnsi="宋体" w:eastAsia="宋体" w:cs="宋体"/>
          <w:b/>
          <w:kern w:val="0"/>
          <w:sz w:val="21"/>
          <w:szCs w:val="21"/>
          <w:lang w:val="en-US" w:eastAsia="zh-CN"/>
        </w:rPr>
        <w:t>评</w:t>
      </w:r>
      <w:r>
        <w:rPr>
          <w:rFonts w:hint="eastAsia" w:ascii="宋体" w:hAnsi="宋体" w:eastAsia="宋体" w:cs="宋体"/>
          <w:kern w:val="0"/>
          <w:sz w:val="21"/>
          <w:szCs w:val="21"/>
        </w:rPr>
        <w:t>。</w:t>
      </w:r>
    </w:p>
    <w:p w14:paraId="06C56A8C">
      <w:pPr>
        <w:spacing w:line="360" w:lineRule="auto"/>
        <w:ind w:firstLine="480"/>
        <w:jc w:val="both"/>
        <w:rPr>
          <w:rFonts w:hint="eastAsia" w:ascii="宋体" w:hAnsi="宋体" w:eastAsia="宋体" w:cs="宋体"/>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w:t>
      </w:r>
      <w:r>
        <w:rPr>
          <w:rFonts w:hint="eastAsia" w:ascii="宋体" w:hAnsi="宋体" w:eastAsia="宋体" w:cs="宋体"/>
          <w:b/>
          <w:bCs/>
          <w:kern w:val="0"/>
          <w:sz w:val="21"/>
          <w:szCs w:val="21"/>
          <w:lang w:eastAsia="zh-CN"/>
        </w:rPr>
        <w:t>）</w:t>
      </w:r>
      <w:r>
        <w:rPr>
          <w:rFonts w:hint="eastAsia" w:ascii="宋体" w:hAnsi="宋体" w:eastAsia="宋体" w:cs="宋体"/>
          <w:b/>
          <w:bCs w:val="0"/>
          <w:color w:val="auto"/>
          <w:sz w:val="21"/>
          <w:szCs w:val="21"/>
        </w:rPr>
        <w:t>以用户视角为主</w:t>
      </w:r>
      <w:r>
        <w:rPr>
          <w:rFonts w:hint="eastAsia" w:ascii="宋体" w:hAnsi="宋体" w:eastAsia="宋体" w:cs="宋体"/>
          <w:b/>
          <w:bCs/>
          <w:kern w:val="0"/>
          <w:sz w:val="21"/>
          <w:szCs w:val="21"/>
        </w:rPr>
        <w:t>查找短板弱项，</w:t>
      </w:r>
      <w:r>
        <w:rPr>
          <w:rFonts w:hint="eastAsia" w:ascii="宋体" w:hAnsi="宋体" w:eastAsia="宋体" w:cs="宋体"/>
          <w:b/>
          <w:bCs w:val="0"/>
          <w:color w:val="auto"/>
          <w:sz w:val="21"/>
          <w:szCs w:val="21"/>
        </w:rPr>
        <w:t>“政务服务体验官”深度模拟体验</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季度</w:t>
      </w:r>
      <w:r>
        <w:rPr>
          <w:rFonts w:hint="eastAsia" w:ascii="宋体" w:hAnsi="宋体" w:eastAsia="宋体" w:cs="宋体"/>
          <w:color w:val="auto"/>
          <w:sz w:val="21"/>
          <w:szCs w:val="21"/>
        </w:rPr>
        <w:t>对业务量大的部门</w:t>
      </w:r>
      <w:r>
        <w:rPr>
          <w:rFonts w:hint="eastAsia" w:ascii="宋体" w:hAnsi="宋体" w:eastAsia="宋体" w:cs="宋体"/>
          <w:sz w:val="21"/>
          <w:szCs w:val="21"/>
        </w:rPr>
        <w:t>单位</w:t>
      </w:r>
      <w:r>
        <w:rPr>
          <w:rFonts w:hint="eastAsia" w:ascii="宋体" w:hAnsi="宋体" w:eastAsia="宋体" w:cs="宋体"/>
          <w:color w:val="auto"/>
          <w:sz w:val="21"/>
          <w:szCs w:val="21"/>
        </w:rPr>
        <w:t>选取高频服务事项来进行全流程深度模拟体验（</w:t>
      </w:r>
      <w:r>
        <w:rPr>
          <w:rFonts w:hint="eastAsia" w:ascii="宋体" w:hAnsi="宋体" w:eastAsia="宋体" w:cs="宋体"/>
          <w:sz w:val="21"/>
          <w:szCs w:val="21"/>
        </w:rPr>
        <w:t>原则上按照该期业务总受理量的一定比例来判定该部门单位业务量的大小）。具体选取的全流程模拟体验服务事项的样本量根据后续确定比例而定。</w:t>
      </w:r>
    </w:p>
    <w:p w14:paraId="170334B4">
      <w:pPr>
        <w:spacing w:line="360" w:lineRule="auto"/>
        <w:ind w:firstLine="480"/>
        <w:jc w:val="both"/>
        <w:rPr>
          <w:rFonts w:hint="eastAsia" w:ascii="宋体" w:hAnsi="宋体" w:eastAsia="宋体" w:cs="宋体"/>
          <w:kern w:val="0"/>
          <w:sz w:val="21"/>
          <w:szCs w:val="21"/>
        </w:rPr>
      </w:pPr>
      <w:r>
        <w:rPr>
          <w:rFonts w:hint="eastAsia" w:ascii="宋体" w:hAnsi="宋体" w:eastAsia="宋体" w:cs="宋体"/>
          <w:sz w:val="21"/>
          <w:szCs w:val="21"/>
        </w:rPr>
        <w:t>通过“我陪群众走流程”“政务服务体验官”等方式，</w:t>
      </w:r>
      <w:r>
        <w:rPr>
          <w:rFonts w:hint="eastAsia" w:ascii="宋体" w:hAnsi="宋体" w:eastAsia="宋体" w:cs="宋体"/>
          <w:b w:val="0"/>
          <w:bCs/>
          <w:sz w:val="21"/>
          <w:szCs w:val="21"/>
        </w:rPr>
        <w:t>聚焦与企业和群众生产生活密切相关的高频政务</w:t>
      </w:r>
      <w:r>
        <w:rPr>
          <w:rFonts w:hint="eastAsia" w:ascii="宋体" w:hAnsi="宋体" w:eastAsia="宋体" w:cs="宋体"/>
          <w:sz w:val="21"/>
          <w:szCs w:val="21"/>
        </w:rPr>
        <w:t>服务事项，深度模拟体验各业务领域全流程办事服务，走进政务大厅、登录办事平台，看政策“懂不懂”、流程“通不通”、服务“优不优”、体验“好不好”等，</w:t>
      </w:r>
      <w:r>
        <w:rPr>
          <w:rFonts w:hint="eastAsia" w:ascii="宋体" w:hAnsi="宋体" w:eastAsia="宋体" w:cs="宋体"/>
          <w:kern w:val="0"/>
          <w:sz w:val="21"/>
          <w:szCs w:val="21"/>
        </w:rPr>
        <w:t>深入体验监督南沙政务</w:t>
      </w:r>
      <w:r>
        <w:rPr>
          <w:rFonts w:hint="eastAsia" w:ascii="宋体" w:hAnsi="宋体" w:eastAsia="宋体" w:cs="宋体"/>
          <w:sz w:val="21"/>
          <w:szCs w:val="21"/>
        </w:rPr>
        <w:t>服务</w:t>
      </w:r>
      <w:r>
        <w:rPr>
          <w:rFonts w:hint="eastAsia" w:ascii="宋体" w:hAnsi="宋体" w:eastAsia="宋体" w:cs="宋体"/>
          <w:kern w:val="0"/>
          <w:sz w:val="21"/>
          <w:szCs w:val="21"/>
        </w:rPr>
        <w:t>工作，全流程感受办事流程，及时查找、发现前端、中端、后端存在问题和服务短板，以用户“小切口”撬动政务服务能力“大提升”</w:t>
      </w:r>
      <w:r>
        <w:rPr>
          <w:rFonts w:hint="eastAsia" w:ascii="宋体" w:hAnsi="宋体" w:eastAsia="宋体" w:cs="宋体"/>
          <w:sz w:val="21"/>
          <w:szCs w:val="21"/>
        </w:rPr>
        <w:t>充分发挥“政务服务体验官”“问计把脉”的作用，推动各职能部门服务流程优化、体验提升及政务工作创新，加快推进南沙政务服务工作开创新局面。</w:t>
      </w:r>
    </w:p>
    <w:p w14:paraId="48B04913">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lang w:eastAsia="zh-CN"/>
        </w:rPr>
        <w:t>）</w:t>
      </w:r>
      <w:r>
        <w:rPr>
          <w:rFonts w:hint="eastAsia" w:ascii="宋体" w:hAnsi="宋体" w:eastAsia="宋体" w:cs="宋体"/>
          <w:b/>
          <w:color w:val="auto"/>
          <w:sz w:val="21"/>
          <w:szCs w:val="21"/>
        </w:rPr>
        <w:t>分类组织政府端（职能部门）、公众端（办事企业和群众）召开座谈会</w:t>
      </w:r>
      <w:r>
        <w:rPr>
          <w:rFonts w:hint="eastAsia" w:ascii="宋体" w:hAnsi="宋体" w:eastAsia="宋体" w:cs="宋体"/>
          <w:b/>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季度</w:t>
      </w:r>
      <w:r>
        <w:rPr>
          <w:rFonts w:hint="eastAsia" w:ascii="宋体" w:hAnsi="宋体" w:eastAsia="宋体" w:cs="宋体"/>
          <w:color w:val="auto"/>
          <w:sz w:val="21"/>
          <w:szCs w:val="21"/>
        </w:rPr>
        <w:t>分类对公众端（办事企业和群众）、政府端（职能部门）召开1次座谈会，全年共4次座谈会</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kern w:val="2"/>
          <w:sz w:val="21"/>
          <w:szCs w:val="21"/>
        </w:rPr>
        <w:t>剖析深层次问题原因</w:t>
      </w:r>
      <w:r>
        <w:rPr>
          <w:rFonts w:hint="eastAsia" w:ascii="宋体" w:hAnsi="宋体" w:eastAsia="宋体" w:cs="宋体"/>
          <w:b w:val="0"/>
          <w:color w:val="auto"/>
          <w:sz w:val="21"/>
          <w:szCs w:val="21"/>
        </w:rPr>
        <w:t>。</w:t>
      </w:r>
    </w:p>
    <w:p w14:paraId="275CE71D">
      <w:pPr>
        <w:spacing w:line="360" w:lineRule="auto"/>
        <w:ind w:firstLine="480"/>
        <w:jc w:val="both"/>
        <w:rPr>
          <w:rFonts w:hint="eastAsia" w:ascii="宋体" w:hAnsi="宋体" w:eastAsia="宋体" w:cs="宋体"/>
          <w:sz w:val="21"/>
          <w:szCs w:val="21"/>
        </w:rPr>
      </w:pPr>
      <w:r>
        <w:rPr>
          <w:rFonts w:hint="eastAsia" w:ascii="宋体" w:hAnsi="宋体" w:eastAsia="宋体" w:cs="宋体"/>
          <w:kern w:val="0"/>
          <w:sz w:val="21"/>
          <w:szCs w:val="21"/>
          <w:lang w:val="en-US" w:eastAsia="zh-CN"/>
        </w:rPr>
        <w:t>根据座谈提纲，</w:t>
      </w:r>
      <w:r>
        <w:rPr>
          <w:rFonts w:hint="eastAsia" w:ascii="宋体" w:hAnsi="宋体" w:eastAsia="宋体" w:cs="宋体"/>
          <w:kern w:val="0"/>
          <w:sz w:val="21"/>
          <w:szCs w:val="21"/>
        </w:rPr>
        <w:t>紧扣南沙政务工作中存在的短板弱项，深入交流讨论问题根源，挖掘深层次形成原因，着力破解痛点难点堵点。</w:t>
      </w:r>
      <w:r>
        <w:rPr>
          <w:rFonts w:hint="eastAsia" w:ascii="宋体" w:hAnsi="宋体" w:eastAsia="宋体" w:cs="宋体"/>
          <w:b w:val="0"/>
          <w:bCs w:val="0"/>
          <w:sz w:val="21"/>
          <w:szCs w:val="21"/>
        </w:rPr>
        <w:t>政府端座谈会：</w:t>
      </w:r>
      <w:r>
        <w:rPr>
          <w:rFonts w:hint="eastAsia" w:ascii="宋体" w:hAnsi="宋体" w:eastAsia="宋体" w:cs="宋体"/>
          <w:sz w:val="21"/>
          <w:szCs w:val="21"/>
        </w:rPr>
        <w:t>结合拟定座谈提纲和各职能部门工作实际，与各职能部门具体业务经办人员进行面对面座谈交流，对各业务领域高频服务事项的办理全流程进行深度了解，对各职能部门政务服务标准化规范化便利化的推进情况、存在困难和不足及实施效果、创新经验做法等进行详细交流</w:t>
      </w:r>
      <w:r>
        <w:rPr>
          <w:rFonts w:hint="eastAsia" w:ascii="宋体" w:hAnsi="宋体" w:eastAsia="宋体" w:cs="宋体"/>
          <w:sz w:val="21"/>
          <w:szCs w:val="21"/>
          <w:lang w:eastAsia="zh-CN"/>
        </w:rPr>
        <w:t>。</w:t>
      </w:r>
      <w:r>
        <w:rPr>
          <w:rFonts w:hint="eastAsia" w:ascii="宋体" w:hAnsi="宋体" w:eastAsia="宋体" w:cs="宋体"/>
          <w:b w:val="0"/>
          <w:bCs w:val="0"/>
          <w:sz w:val="21"/>
          <w:szCs w:val="21"/>
        </w:rPr>
        <w:t>公众端座谈会：</w:t>
      </w:r>
      <w:r>
        <w:rPr>
          <w:rFonts w:hint="eastAsia" w:ascii="宋体" w:hAnsi="宋体" w:eastAsia="宋体" w:cs="宋体"/>
          <w:sz w:val="21"/>
          <w:szCs w:val="21"/>
        </w:rPr>
        <w:t>根据拟定座谈提纲与办事企业和群众零距离座谈交流政务办事前端、中端、后端等全过程的痛点堵点难点，听取群众对政务工作的意见和建议。</w:t>
      </w:r>
    </w:p>
    <w:p w14:paraId="6C2B3116">
      <w:pPr>
        <w:spacing w:line="360" w:lineRule="auto"/>
        <w:ind w:firstLine="422" w:firstLineChars="200"/>
        <w:rPr>
          <w:rFonts w:hint="eastAsia" w:ascii="宋体" w:hAnsi="宋体" w:eastAsia="宋体" w:cs="宋体"/>
          <w:sz w:val="21"/>
          <w:szCs w:val="21"/>
        </w:rPr>
      </w:pPr>
      <w:r>
        <w:rPr>
          <w:rFonts w:hint="eastAsia" w:ascii="宋体" w:hAnsi="宋体" w:eastAsia="宋体" w:cs="宋体"/>
          <w:b/>
          <w:kern w:val="0"/>
          <w:sz w:val="21"/>
          <w:szCs w:val="21"/>
          <w:lang w:val="en-US" w:eastAsia="zh-CN"/>
        </w:rPr>
        <w:t>2.</w:t>
      </w:r>
      <w:r>
        <w:rPr>
          <w:rFonts w:hint="eastAsia" w:ascii="宋体" w:hAnsi="宋体" w:eastAsia="宋体" w:cs="宋体"/>
          <w:b/>
          <w:kern w:val="0"/>
          <w:sz w:val="21"/>
          <w:szCs w:val="21"/>
        </w:rPr>
        <w:t>镇（街）考</w:t>
      </w:r>
      <w:r>
        <w:rPr>
          <w:rFonts w:hint="eastAsia" w:ascii="宋体" w:hAnsi="宋体" w:eastAsia="宋体" w:cs="宋体"/>
          <w:b/>
          <w:kern w:val="0"/>
          <w:sz w:val="21"/>
          <w:szCs w:val="21"/>
          <w:lang w:val="en-US" w:eastAsia="zh-CN"/>
        </w:rPr>
        <w:t>评</w:t>
      </w:r>
      <w:r>
        <w:rPr>
          <w:rFonts w:hint="eastAsia" w:ascii="宋体" w:hAnsi="宋体" w:eastAsia="宋体" w:cs="宋体"/>
          <w:sz w:val="21"/>
          <w:szCs w:val="21"/>
        </w:rPr>
        <w:t>。</w:t>
      </w:r>
    </w:p>
    <w:p w14:paraId="398E0683">
      <w:pPr>
        <w:spacing w:line="360" w:lineRule="auto"/>
        <w:ind w:firstLine="480"/>
        <w:jc w:val="both"/>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优化镇（街）政务服务效能常态化监测与考评体系</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进一步深入村（社区）政务</w:t>
      </w:r>
      <w:r>
        <w:rPr>
          <w:rFonts w:hint="eastAsia" w:ascii="宋体" w:hAnsi="宋体" w:eastAsia="宋体" w:cs="宋体"/>
          <w:kern w:val="0"/>
          <w:sz w:val="21"/>
          <w:szCs w:val="21"/>
          <w:lang w:eastAsia="zh-CN"/>
        </w:rPr>
        <w:t>大厅</w:t>
      </w:r>
      <w:r>
        <w:rPr>
          <w:rFonts w:hint="eastAsia" w:ascii="宋体" w:hAnsi="宋体" w:eastAsia="宋体" w:cs="宋体"/>
          <w:kern w:val="0"/>
          <w:sz w:val="21"/>
          <w:szCs w:val="21"/>
        </w:rPr>
        <w:t>，充分听取基层企业和群众的意见建议，摸清</w:t>
      </w:r>
      <w:r>
        <w:rPr>
          <w:rFonts w:hint="eastAsia" w:ascii="宋体" w:hAnsi="宋体" w:eastAsia="宋体" w:cs="宋体"/>
          <w:kern w:val="0"/>
          <w:sz w:val="21"/>
          <w:szCs w:val="21"/>
          <w:lang w:val="en-US" w:eastAsia="zh-CN"/>
        </w:rPr>
        <w:t>基层</w:t>
      </w:r>
      <w:r>
        <w:rPr>
          <w:rFonts w:hint="eastAsia" w:ascii="宋体" w:hAnsi="宋体" w:eastAsia="宋体" w:cs="宋体"/>
          <w:kern w:val="0"/>
          <w:sz w:val="21"/>
          <w:szCs w:val="21"/>
        </w:rPr>
        <w:t>政务办事实际需求，查找办事全流程的痛点堵点难点，探究具体导致原因，并挖掘各村（居）公共服务站在创新政务工作的典型经验和亮点做法，形成可复制可推广的基层经验，以便推广到其他村（居）服务站甚至市、省及全国学习借鉴。</w:t>
      </w:r>
    </w:p>
    <w:p w14:paraId="7BF3676C">
      <w:pPr>
        <w:spacing w:line="360" w:lineRule="auto"/>
        <w:ind w:firstLine="480"/>
        <w:jc w:val="both"/>
        <w:rPr>
          <w:rFonts w:hint="eastAsia" w:ascii="宋体" w:hAnsi="宋体" w:eastAsia="宋体" w:cs="宋体"/>
          <w:kern w:val="0"/>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持续拓展</w:t>
      </w:r>
      <w:r>
        <w:rPr>
          <w:rFonts w:hint="eastAsia" w:ascii="宋体" w:hAnsi="宋体" w:eastAsia="宋体" w:cs="宋体"/>
          <w:b/>
          <w:bCs/>
          <w:kern w:val="0"/>
          <w:sz w:val="21"/>
          <w:szCs w:val="21"/>
        </w:rPr>
        <w:t>村（居）公共服务站的考</w:t>
      </w:r>
      <w:r>
        <w:rPr>
          <w:rFonts w:hint="eastAsia" w:ascii="宋体" w:hAnsi="宋体" w:eastAsia="宋体" w:cs="宋体"/>
          <w:b/>
          <w:bCs/>
          <w:kern w:val="0"/>
          <w:sz w:val="21"/>
          <w:szCs w:val="21"/>
          <w:lang w:val="en-US" w:eastAsia="zh-CN"/>
        </w:rPr>
        <w:t>评</w:t>
      </w:r>
      <w:r>
        <w:rPr>
          <w:rFonts w:hint="eastAsia" w:ascii="宋体" w:hAnsi="宋体" w:eastAsia="宋体" w:cs="宋体"/>
          <w:b/>
          <w:bCs/>
          <w:kern w:val="0"/>
          <w:sz w:val="21"/>
          <w:szCs w:val="21"/>
        </w:rPr>
        <w:t>覆盖度和深度。</w:t>
      </w:r>
      <w:r>
        <w:rPr>
          <w:rFonts w:hint="eastAsia" w:ascii="宋体" w:hAnsi="宋体" w:eastAsia="宋体" w:cs="宋体"/>
          <w:kern w:val="0"/>
          <w:sz w:val="21"/>
          <w:szCs w:val="21"/>
        </w:rPr>
        <w:t>通过以暗访调查、实地核查、拦截访问调查方式为主，以电话调查、电话回访、网上抽查</w:t>
      </w:r>
      <w:r>
        <w:rPr>
          <w:rFonts w:hint="eastAsia" w:ascii="宋体" w:hAnsi="宋体" w:eastAsia="宋体" w:cs="宋体"/>
          <w:kern w:val="0"/>
          <w:sz w:val="21"/>
          <w:szCs w:val="21"/>
          <w:lang w:val="en-US" w:eastAsia="zh-CN"/>
        </w:rPr>
        <w:t>为辅，</w:t>
      </w:r>
      <w:r>
        <w:rPr>
          <w:rFonts w:hint="eastAsia" w:ascii="宋体" w:hAnsi="宋体" w:eastAsia="宋体" w:cs="宋体"/>
          <w:sz w:val="21"/>
          <w:szCs w:val="21"/>
        </w:rPr>
        <w:t>每期</w:t>
      </w:r>
      <w:r>
        <w:rPr>
          <w:rFonts w:hint="eastAsia" w:ascii="宋体" w:hAnsi="宋体" w:eastAsia="宋体" w:cs="宋体"/>
          <w:sz w:val="21"/>
          <w:szCs w:val="21"/>
          <w:lang w:val="en-US" w:eastAsia="zh-CN"/>
        </w:rPr>
        <w:t>对</w:t>
      </w:r>
      <w:r>
        <w:rPr>
          <w:rFonts w:hint="eastAsia" w:ascii="宋体" w:hAnsi="宋体" w:eastAsia="宋体" w:cs="宋体"/>
          <w:sz w:val="21"/>
          <w:szCs w:val="21"/>
        </w:rPr>
        <w:t>各镇（街）（包括但不限于镇（街）政务服务中心、村（居）公共服务站、专业大厅）原则上完成调查样本180份</w:t>
      </w:r>
      <w:r>
        <w:rPr>
          <w:rFonts w:hint="eastAsia" w:ascii="宋体" w:hAnsi="宋体" w:eastAsia="宋体" w:cs="宋体"/>
          <w:sz w:val="21"/>
          <w:szCs w:val="21"/>
          <w:lang w:eastAsia="zh-CN"/>
        </w:rPr>
        <w:t>、</w:t>
      </w:r>
      <w:r>
        <w:rPr>
          <w:rFonts w:hint="eastAsia" w:ascii="宋体" w:hAnsi="宋体" w:eastAsia="宋体" w:cs="宋体"/>
          <w:sz w:val="21"/>
          <w:szCs w:val="21"/>
        </w:rPr>
        <w:t>开展1次暗访调查，共完成81个暗访样本，其中，每个镇（街）每期至少抽取8个所辖村（居）公共服务站。</w:t>
      </w:r>
    </w:p>
    <w:p w14:paraId="22D5019D">
      <w:pPr>
        <w:autoSpaceDE w:val="0"/>
        <w:autoSpaceDN w:val="0"/>
        <w:adjustRightIn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w:t>
      </w:r>
      <w:r>
        <w:rPr>
          <w:rFonts w:hint="eastAsia" w:ascii="宋体" w:hAnsi="宋体" w:eastAsia="宋体" w:cs="宋体"/>
          <w:b/>
          <w:kern w:val="0"/>
          <w:sz w:val="21"/>
          <w:szCs w:val="21"/>
          <w:lang w:val="en-US" w:eastAsia="zh-CN"/>
        </w:rPr>
        <w:t>三</w:t>
      </w:r>
      <w:r>
        <w:rPr>
          <w:rFonts w:hint="eastAsia" w:ascii="宋体" w:hAnsi="宋体" w:eastAsia="宋体" w:cs="宋体"/>
          <w:b/>
          <w:kern w:val="0"/>
          <w:sz w:val="21"/>
          <w:szCs w:val="21"/>
        </w:rPr>
        <w:t>）考</w:t>
      </w:r>
      <w:r>
        <w:rPr>
          <w:rFonts w:hint="eastAsia" w:ascii="宋体" w:hAnsi="宋体" w:eastAsia="宋体" w:cs="宋体"/>
          <w:b/>
          <w:kern w:val="0"/>
          <w:sz w:val="21"/>
          <w:szCs w:val="21"/>
          <w:lang w:val="en-US" w:eastAsia="zh-CN"/>
        </w:rPr>
        <w:t>评工作</w:t>
      </w:r>
      <w:r>
        <w:rPr>
          <w:rFonts w:hint="eastAsia" w:ascii="宋体" w:hAnsi="宋体" w:eastAsia="宋体" w:cs="宋体"/>
          <w:b/>
          <w:kern w:val="0"/>
          <w:sz w:val="21"/>
          <w:szCs w:val="21"/>
        </w:rPr>
        <w:t>内容</w:t>
      </w:r>
    </w:p>
    <w:p w14:paraId="3D704C20">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2024年南沙区政务服务考评工作，主要围绕国家、省、市政务服务工作重点，并结合南沙区政务服务实际情况进行组织开展，考评内容包含但不限于以下几个方面：</w:t>
      </w:r>
    </w:p>
    <w:p w14:paraId="5E0A2A55">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1.针对政务服务标准化</w:t>
      </w:r>
      <w:r>
        <w:rPr>
          <w:rFonts w:hint="eastAsia" w:ascii="宋体" w:hAnsi="宋体" w:eastAsia="宋体" w:cs="宋体"/>
          <w:sz w:val="21"/>
          <w:szCs w:val="21"/>
          <w:lang w:eastAsia="zh-CN"/>
        </w:rPr>
        <w:t>、</w:t>
      </w:r>
      <w:r>
        <w:rPr>
          <w:rFonts w:hint="eastAsia" w:ascii="宋体" w:hAnsi="宋体" w:eastAsia="宋体" w:cs="宋体"/>
          <w:sz w:val="21"/>
          <w:szCs w:val="21"/>
        </w:rPr>
        <w:t>规范化</w:t>
      </w:r>
      <w:r>
        <w:rPr>
          <w:rFonts w:hint="eastAsia" w:ascii="宋体" w:hAnsi="宋体" w:eastAsia="宋体" w:cs="宋体"/>
          <w:sz w:val="21"/>
          <w:szCs w:val="21"/>
          <w:lang w:eastAsia="zh-CN"/>
        </w:rPr>
        <w:t>、</w:t>
      </w:r>
      <w:r>
        <w:rPr>
          <w:rFonts w:hint="eastAsia" w:ascii="宋体" w:hAnsi="宋体" w:eastAsia="宋体" w:cs="宋体"/>
          <w:sz w:val="21"/>
          <w:szCs w:val="21"/>
        </w:rPr>
        <w:t>便利化情况的调查；了解</w:t>
      </w:r>
      <w:r>
        <w:rPr>
          <w:rFonts w:hint="eastAsia" w:ascii="宋体" w:hAnsi="宋体" w:eastAsia="宋体" w:cs="宋体"/>
          <w:sz w:val="21"/>
          <w:szCs w:val="21"/>
          <w:lang w:val="en-US" w:eastAsia="zh-CN"/>
        </w:rPr>
        <w:t>各考评对象的工作</w:t>
      </w:r>
      <w:r>
        <w:rPr>
          <w:rFonts w:hint="eastAsia" w:ascii="宋体" w:hAnsi="宋体" w:eastAsia="宋体" w:cs="宋体"/>
          <w:sz w:val="21"/>
          <w:szCs w:val="21"/>
        </w:rPr>
        <w:t>管理情况、受理服务规范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大厅标识标牌、</w:t>
      </w:r>
      <w:r>
        <w:rPr>
          <w:rFonts w:hint="eastAsia" w:ascii="宋体" w:hAnsi="宋体" w:eastAsia="宋体" w:cs="宋体"/>
          <w:sz w:val="21"/>
          <w:szCs w:val="21"/>
        </w:rPr>
        <w:t>服务功能区等场所设置</w:t>
      </w:r>
      <w:r>
        <w:rPr>
          <w:rFonts w:hint="eastAsia" w:ascii="宋体" w:hAnsi="宋体" w:eastAsia="宋体" w:cs="宋体"/>
          <w:sz w:val="21"/>
          <w:szCs w:val="21"/>
          <w:lang w:val="en-US" w:eastAsia="zh-CN"/>
        </w:rPr>
        <w:t>的落实，是否有</w:t>
      </w:r>
      <w:r>
        <w:rPr>
          <w:rFonts w:hint="eastAsia" w:ascii="宋体" w:hAnsi="宋体" w:eastAsia="宋体" w:cs="宋体"/>
          <w:sz w:val="21"/>
          <w:szCs w:val="21"/>
        </w:rPr>
        <w:t>开展便利服务、跨域通办服务、延时错时服务、无障碍服务等便捷服务情况等；</w:t>
      </w:r>
    </w:p>
    <w:p w14:paraId="2FA3E262">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2.针对政务服务数字化情况的调查</w:t>
      </w:r>
      <w:r>
        <w:rPr>
          <w:rFonts w:hint="eastAsia" w:ascii="宋体" w:hAnsi="宋体" w:eastAsia="宋体" w:cs="宋体"/>
          <w:sz w:val="21"/>
          <w:szCs w:val="21"/>
          <w:lang w:eastAsia="zh-CN"/>
        </w:rPr>
        <w:t>，</w:t>
      </w:r>
      <w:r>
        <w:rPr>
          <w:rFonts w:hint="eastAsia" w:ascii="宋体" w:hAnsi="宋体" w:eastAsia="宋体" w:cs="宋体"/>
          <w:sz w:val="21"/>
          <w:szCs w:val="21"/>
        </w:rPr>
        <w:t>了解</w:t>
      </w:r>
      <w:r>
        <w:rPr>
          <w:rFonts w:hint="eastAsia" w:ascii="宋体" w:hAnsi="宋体" w:eastAsia="宋体" w:cs="宋体"/>
          <w:sz w:val="21"/>
          <w:szCs w:val="21"/>
          <w:lang w:val="en-US" w:eastAsia="zh-CN"/>
        </w:rPr>
        <w:t>各考评对象</w:t>
      </w:r>
      <w:r>
        <w:rPr>
          <w:rFonts w:hint="eastAsia" w:ascii="宋体" w:hAnsi="宋体" w:eastAsia="宋体" w:cs="宋体"/>
          <w:sz w:val="21"/>
          <w:szCs w:val="21"/>
        </w:rPr>
        <w:t>加快推进政务服务数字化建设工作的情况，聚焦电子证照应用、市一体化在线政务服务平台运营等方面的难点堵点，探究具体导致原因，并针对问题</w:t>
      </w:r>
      <w:r>
        <w:rPr>
          <w:rFonts w:hint="eastAsia" w:ascii="宋体" w:hAnsi="宋体" w:eastAsia="宋体" w:cs="宋体"/>
          <w:sz w:val="21"/>
          <w:szCs w:val="21"/>
          <w:lang w:val="en-US" w:eastAsia="zh-CN"/>
        </w:rPr>
        <w:t>列出问题清单，</w:t>
      </w:r>
      <w:r>
        <w:rPr>
          <w:rFonts w:hint="eastAsia" w:ascii="宋体" w:hAnsi="宋体" w:eastAsia="宋体" w:cs="宋体"/>
          <w:sz w:val="21"/>
          <w:szCs w:val="21"/>
        </w:rPr>
        <w:t>提出优化建议；</w:t>
      </w:r>
    </w:p>
    <w:p w14:paraId="04E2A921">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3.针对“政务服务创新及优化体验”情况的调查；了解</w:t>
      </w:r>
      <w:r>
        <w:rPr>
          <w:rFonts w:hint="eastAsia" w:ascii="宋体" w:hAnsi="宋体" w:eastAsia="宋体" w:cs="宋体"/>
          <w:sz w:val="21"/>
          <w:szCs w:val="21"/>
          <w:lang w:val="en-US" w:eastAsia="zh-CN"/>
        </w:rPr>
        <w:t>各考评对象</w:t>
      </w:r>
      <w:r>
        <w:rPr>
          <w:rFonts w:hint="eastAsia" w:ascii="宋体" w:hAnsi="宋体" w:eastAsia="宋体" w:cs="宋体"/>
          <w:sz w:val="21"/>
          <w:szCs w:val="21"/>
        </w:rPr>
        <w:t>落实线上线下服务事项办事指</w:t>
      </w:r>
      <w:r>
        <w:rPr>
          <w:rFonts w:hint="eastAsia" w:ascii="宋体" w:hAnsi="宋体" w:eastAsia="宋体" w:cs="宋体"/>
          <w:sz w:val="21"/>
          <w:szCs w:val="21"/>
          <w:lang w:val="en-US" w:eastAsia="zh-CN"/>
        </w:rPr>
        <w:t>南要素内容是否准确全面，</w:t>
      </w:r>
      <w:r>
        <w:rPr>
          <w:rFonts w:hint="eastAsia" w:ascii="宋体" w:hAnsi="宋体" w:eastAsia="宋体" w:cs="宋体"/>
          <w:sz w:val="21"/>
          <w:szCs w:val="21"/>
        </w:rPr>
        <w:t>做到“十公开”（事项名称、法律依据、办理主体、办理流程、申报材料、承诺时限、收费标准及依据、办理地点、电话）</w:t>
      </w:r>
      <w:r>
        <w:rPr>
          <w:rFonts w:hint="eastAsia" w:ascii="宋体" w:hAnsi="宋体" w:eastAsia="宋体" w:cs="宋体"/>
          <w:sz w:val="21"/>
          <w:szCs w:val="21"/>
          <w:lang w:eastAsia="zh-CN"/>
        </w:rPr>
        <w:t>，</w:t>
      </w:r>
      <w:r>
        <w:rPr>
          <w:rFonts w:hint="eastAsia" w:ascii="宋体" w:hAnsi="宋体" w:eastAsia="宋体" w:cs="宋体"/>
          <w:sz w:val="21"/>
          <w:szCs w:val="21"/>
        </w:rPr>
        <w:t>以及线上标准与线下办理收取材料匹配度的情况；</w:t>
      </w:r>
    </w:p>
    <w:p w14:paraId="76478CCD">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4.针对</w:t>
      </w:r>
      <w:r>
        <w:rPr>
          <w:rFonts w:hint="eastAsia" w:ascii="宋体" w:hAnsi="宋体" w:eastAsia="宋体" w:cs="宋体"/>
          <w:sz w:val="21"/>
          <w:szCs w:val="21"/>
          <w:lang w:val="en-US" w:eastAsia="zh-CN"/>
        </w:rPr>
        <w:t>窗口</w:t>
      </w:r>
      <w:r>
        <w:rPr>
          <w:rFonts w:hint="eastAsia" w:ascii="宋体" w:hAnsi="宋体" w:eastAsia="宋体" w:cs="宋体"/>
          <w:sz w:val="21"/>
          <w:szCs w:val="21"/>
        </w:rPr>
        <w:t>智能导办、</w:t>
      </w:r>
      <w:r>
        <w:rPr>
          <w:rFonts w:hint="eastAsia" w:ascii="宋体" w:hAnsi="宋体" w:eastAsia="宋体" w:cs="宋体"/>
          <w:sz w:val="21"/>
          <w:szCs w:val="21"/>
          <w:lang w:val="en-US" w:eastAsia="zh-CN"/>
        </w:rPr>
        <w:t>后台</w:t>
      </w:r>
      <w:r>
        <w:rPr>
          <w:rFonts w:hint="eastAsia" w:ascii="宋体" w:hAnsi="宋体" w:eastAsia="宋体" w:cs="宋体"/>
          <w:sz w:val="21"/>
          <w:szCs w:val="21"/>
        </w:rPr>
        <w:t>智能审批情况的调查；了解</w:t>
      </w:r>
      <w:r>
        <w:rPr>
          <w:rFonts w:hint="eastAsia" w:ascii="宋体" w:hAnsi="宋体" w:eastAsia="宋体" w:cs="宋体"/>
          <w:sz w:val="21"/>
          <w:szCs w:val="21"/>
          <w:lang w:val="en-US" w:eastAsia="zh-CN"/>
        </w:rPr>
        <w:t>各考评对象</w:t>
      </w:r>
      <w:r>
        <w:rPr>
          <w:rFonts w:hint="eastAsia" w:ascii="宋体" w:hAnsi="宋体" w:eastAsia="宋体" w:cs="宋体"/>
          <w:sz w:val="21"/>
          <w:szCs w:val="21"/>
        </w:rPr>
        <w:t>以新技术、新理念、新流程，加快推进政务服务智能导办、智能审批等情况；</w:t>
      </w:r>
    </w:p>
    <w:p w14:paraId="2C15A504">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5.针对</w:t>
      </w:r>
      <w:r>
        <w:rPr>
          <w:rFonts w:hint="eastAsia" w:ascii="宋体" w:hAnsi="宋体" w:eastAsia="宋体" w:cs="宋体"/>
          <w:sz w:val="21"/>
          <w:szCs w:val="21"/>
          <w:lang w:val="en-US" w:eastAsia="zh-CN"/>
        </w:rPr>
        <w:t>政务服务</w:t>
      </w:r>
      <w:r>
        <w:rPr>
          <w:rFonts w:hint="eastAsia" w:ascii="宋体" w:hAnsi="宋体" w:eastAsia="宋体" w:cs="宋体"/>
          <w:sz w:val="21"/>
          <w:szCs w:val="21"/>
        </w:rPr>
        <w:t>政策兑现情况的调查；了解</w:t>
      </w:r>
      <w:r>
        <w:rPr>
          <w:rFonts w:hint="eastAsia" w:ascii="宋体" w:hAnsi="宋体" w:eastAsia="宋体" w:cs="宋体"/>
          <w:sz w:val="21"/>
          <w:szCs w:val="21"/>
          <w:lang w:val="en-US" w:eastAsia="zh-CN"/>
        </w:rPr>
        <w:t>各考评对象</w:t>
      </w:r>
      <w:r>
        <w:rPr>
          <w:rFonts w:hint="eastAsia" w:ascii="宋体" w:hAnsi="宋体" w:eastAsia="宋体" w:cs="宋体"/>
          <w:sz w:val="21"/>
          <w:szCs w:val="21"/>
        </w:rPr>
        <w:t>落实惠企政策兑现，实现惠企政策“免申即享、在线兑付、直达快享”的推进情况；</w:t>
      </w:r>
    </w:p>
    <w:p w14:paraId="44D65904">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6.针对“全域通办”情况的调查；了解</w:t>
      </w:r>
      <w:r>
        <w:rPr>
          <w:rFonts w:hint="eastAsia" w:ascii="宋体" w:hAnsi="宋体" w:eastAsia="宋体" w:cs="宋体"/>
          <w:sz w:val="21"/>
          <w:szCs w:val="21"/>
          <w:lang w:val="en-US" w:eastAsia="zh-CN"/>
        </w:rPr>
        <w:t>各考评对象</w:t>
      </w:r>
      <w:r>
        <w:rPr>
          <w:rFonts w:hint="eastAsia" w:ascii="宋体" w:hAnsi="宋体" w:eastAsia="宋体" w:cs="宋体"/>
          <w:sz w:val="21"/>
          <w:szCs w:val="21"/>
        </w:rPr>
        <w:t>瞄准群众对政务服务的新期待和新需求，推进高频政务服务事项“全域通办”，真正实现企业和群众异地事项“就近办”“马上办”的落实情况；</w:t>
      </w:r>
    </w:p>
    <w:p w14:paraId="05B7A17A">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.针对“好差评”工作情况的数据分析</w:t>
      </w:r>
      <w:r>
        <w:rPr>
          <w:rFonts w:hint="eastAsia" w:ascii="宋体" w:hAnsi="宋体" w:eastAsia="宋体" w:cs="宋体"/>
          <w:sz w:val="21"/>
          <w:szCs w:val="21"/>
          <w:lang w:val="en-US" w:eastAsia="zh-CN"/>
        </w:rPr>
        <w:t>调查</w:t>
      </w:r>
      <w:r>
        <w:rPr>
          <w:rFonts w:hint="eastAsia" w:ascii="宋体" w:hAnsi="宋体" w:eastAsia="宋体" w:cs="宋体"/>
          <w:sz w:val="21"/>
          <w:szCs w:val="21"/>
        </w:rPr>
        <w:t>；了解各</w:t>
      </w:r>
      <w:r>
        <w:rPr>
          <w:rFonts w:hint="eastAsia" w:ascii="宋体" w:hAnsi="宋体" w:eastAsia="宋体" w:cs="宋体"/>
          <w:sz w:val="21"/>
          <w:szCs w:val="21"/>
          <w:lang w:val="en-US" w:eastAsia="zh-CN"/>
        </w:rPr>
        <w:t>考评对象关于</w:t>
      </w:r>
      <w:r>
        <w:rPr>
          <w:rFonts w:hint="eastAsia" w:ascii="宋体" w:hAnsi="宋体" w:eastAsia="宋体" w:cs="宋体"/>
          <w:sz w:val="21"/>
          <w:szCs w:val="21"/>
        </w:rPr>
        <w:t>“好差评”工作落实情况（包括大厅推广度、办件评价覆盖度与好评度、“好差评”评价引导、差评工单处理效率等）；</w:t>
      </w:r>
    </w:p>
    <w:p w14:paraId="542C7357">
      <w:pPr>
        <w:spacing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8.针对统一预约工作情况的数据分析调查。了解办事企业或群众对统一预约、智能预约的使用及便捷率反馈情况；</w:t>
      </w:r>
    </w:p>
    <w:p w14:paraId="3CC745BA">
      <w:pPr>
        <w:spacing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9.针对业务系统对接工作情况的调查，</w:t>
      </w:r>
      <w:r>
        <w:rPr>
          <w:rFonts w:hint="eastAsia" w:ascii="宋体" w:hAnsi="宋体" w:eastAsia="宋体" w:cs="宋体"/>
          <w:sz w:val="21"/>
          <w:szCs w:val="21"/>
        </w:rPr>
        <w:t>了解各</w:t>
      </w:r>
      <w:r>
        <w:rPr>
          <w:rFonts w:hint="eastAsia" w:ascii="宋体" w:hAnsi="宋体" w:eastAsia="宋体" w:cs="宋体"/>
          <w:sz w:val="21"/>
          <w:szCs w:val="21"/>
          <w:lang w:val="en-US" w:eastAsia="zh-CN"/>
        </w:rPr>
        <w:t>考评对象</w:t>
      </w:r>
      <w:r>
        <w:rPr>
          <w:rFonts w:hint="eastAsia" w:ascii="宋体" w:hAnsi="宋体" w:eastAsia="宋体" w:cs="宋体"/>
          <w:sz w:val="21"/>
          <w:szCs w:val="21"/>
        </w:rPr>
        <w:t>使用统一申办受理平台，以及区一体化平台与市一体化在线政务服务平台对接的情况</w:t>
      </w:r>
      <w:r>
        <w:rPr>
          <w:rFonts w:hint="eastAsia" w:ascii="宋体" w:hAnsi="宋体" w:eastAsia="宋体" w:cs="宋体"/>
          <w:sz w:val="21"/>
          <w:szCs w:val="21"/>
          <w:lang w:eastAsia="zh-CN"/>
        </w:rPr>
        <w:t>。</w:t>
      </w:r>
    </w:p>
    <w:p w14:paraId="3F758AE0">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调查</w:t>
      </w:r>
      <w:r>
        <w:rPr>
          <w:rFonts w:hint="eastAsia" w:ascii="宋体" w:hAnsi="宋体" w:eastAsia="宋体" w:cs="宋体"/>
          <w:sz w:val="21"/>
          <w:szCs w:val="21"/>
          <w:lang w:val="en-US" w:eastAsia="zh-CN"/>
        </w:rPr>
        <w:t>考评</w:t>
      </w:r>
      <w:r>
        <w:rPr>
          <w:rFonts w:hint="eastAsia" w:ascii="宋体" w:hAnsi="宋体" w:eastAsia="宋体" w:cs="宋体"/>
          <w:sz w:val="21"/>
          <w:szCs w:val="21"/>
        </w:rPr>
        <w:t>对象</w:t>
      </w:r>
    </w:p>
    <w:p w14:paraId="3C14ADC0">
      <w:pPr>
        <w:autoSpaceDE w:val="0"/>
        <w:autoSpaceDN w:val="0"/>
        <w:adjustRightInd w:val="0"/>
        <w:spacing w:line="360" w:lineRule="auto"/>
        <w:ind w:firstLine="422" w:firstLineChars="200"/>
        <w:rPr>
          <w:rFonts w:hint="eastAsia" w:ascii="宋体" w:hAnsi="宋体" w:eastAsia="宋体" w:cs="宋体"/>
          <w:kern w:val="0"/>
          <w:sz w:val="21"/>
          <w:szCs w:val="21"/>
        </w:rPr>
      </w:pPr>
      <w:r>
        <w:rPr>
          <w:rFonts w:hint="eastAsia" w:ascii="宋体" w:hAnsi="宋体" w:eastAsia="宋体" w:cs="宋体"/>
          <w:b/>
          <w:kern w:val="0"/>
          <w:sz w:val="21"/>
          <w:szCs w:val="21"/>
        </w:rPr>
        <w:t>1.区政务服务中心进驻单位</w:t>
      </w:r>
      <w:r>
        <w:rPr>
          <w:rFonts w:hint="eastAsia" w:ascii="宋体" w:hAnsi="宋体" w:eastAsia="宋体" w:cs="宋体"/>
          <w:kern w:val="0"/>
          <w:sz w:val="21"/>
          <w:szCs w:val="21"/>
        </w:rPr>
        <w:t>。</w:t>
      </w:r>
    </w:p>
    <w:p w14:paraId="7939273E">
      <w:pPr>
        <w:spacing w:line="360" w:lineRule="auto"/>
        <w:ind w:firstLine="725" w:firstLineChars="344"/>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表1  区政务服务中心进驻单位调查名单</w:t>
      </w:r>
    </w:p>
    <w:tbl>
      <w:tblPr>
        <w:tblStyle w:val="28"/>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236"/>
      </w:tblGrid>
      <w:tr w14:paraId="0403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702" w:type="dxa"/>
            <w:shd w:val="clear" w:color="auto" w:fill="A5A5A5"/>
            <w:noWrap w:val="0"/>
            <w:vAlign w:val="center"/>
          </w:tcPr>
          <w:p w14:paraId="7DDB82E2">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236" w:type="dxa"/>
            <w:shd w:val="clear" w:color="auto" w:fill="A5A5A5"/>
            <w:noWrap w:val="0"/>
            <w:vAlign w:val="center"/>
          </w:tcPr>
          <w:p w14:paraId="7F650B2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r>
      <w:tr w14:paraId="6DEF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3175852">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6236" w:type="dxa"/>
            <w:noWrap w:val="0"/>
            <w:vAlign w:val="center"/>
          </w:tcPr>
          <w:p w14:paraId="55F32775">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区住房和城乡建设局</w:t>
            </w:r>
          </w:p>
        </w:tc>
      </w:tr>
      <w:tr w14:paraId="69B0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0129B173">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6236" w:type="dxa"/>
            <w:noWrap w:val="0"/>
            <w:vAlign w:val="center"/>
          </w:tcPr>
          <w:p w14:paraId="731B760F">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区卫生健康局</w:t>
            </w:r>
          </w:p>
        </w:tc>
      </w:tr>
      <w:tr w14:paraId="4AD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AF2663D">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6236" w:type="dxa"/>
            <w:noWrap w:val="0"/>
            <w:vAlign w:val="center"/>
          </w:tcPr>
          <w:p w14:paraId="39487DC4">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区农业农村局</w:t>
            </w:r>
          </w:p>
        </w:tc>
      </w:tr>
      <w:tr w14:paraId="6313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4C3651F4">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6236" w:type="dxa"/>
            <w:noWrap w:val="0"/>
            <w:vAlign w:val="center"/>
          </w:tcPr>
          <w:p w14:paraId="57D7AE7D">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规划和自然资源局南沙区分局</w:t>
            </w:r>
          </w:p>
        </w:tc>
      </w:tr>
      <w:tr w14:paraId="3C5E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28BCD96">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w:t>
            </w:r>
          </w:p>
        </w:tc>
        <w:tc>
          <w:tcPr>
            <w:tcW w:w="6236" w:type="dxa"/>
            <w:noWrap w:val="0"/>
            <w:vAlign w:val="center"/>
          </w:tcPr>
          <w:p w14:paraId="0739CD97">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区文化广电旅游体育局</w:t>
            </w:r>
          </w:p>
        </w:tc>
      </w:tr>
      <w:tr w14:paraId="73B8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0A173613">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6236" w:type="dxa"/>
            <w:noWrap w:val="0"/>
            <w:vAlign w:val="center"/>
          </w:tcPr>
          <w:p w14:paraId="14B0512C">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区城市管理局</w:t>
            </w:r>
          </w:p>
        </w:tc>
      </w:tr>
      <w:tr w14:paraId="5154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CA79B01">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6236" w:type="dxa"/>
            <w:noWrap w:val="0"/>
            <w:vAlign w:val="center"/>
          </w:tcPr>
          <w:p w14:paraId="6CA50B1D">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区水务局</w:t>
            </w:r>
          </w:p>
        </w:tc>
      </w:tr>
      <w:tr w14:paraId="4EBF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2906744">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6236" w:type="dxa"/>
            <w:noWrap w:val="0"/>
            <w:vAlign w:val="center"/>
          </w:tcPr>
          <w:p w14:paraId="475089E1">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区教育局</w:t>
            </w:r>
          </w:p>
        </w:tc>
      </w:tr>
      <w:tr w14:paraId="18FE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C132B8C">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6236" w:type="dxa"/>
            <w:noWrap w:val="0"/>
            <w:vAlign w:val="center"/>
          </w:tcPr>
          <w:p w14:paraId="1E5C0C4E">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区新闻出版局</w:t>
            </w:r>
          </w:p>
        </w:tc>
      </w:tr>
      <w:tr w14:paraId="0616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7863F25">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236" w:type="dxa"/>
            <w:noWrap w:val="0"/>
            <w:vAlign w:val="center"/>
          </w:tcPr>
          <w:p w14:paraId="477019DE">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区行政审批局</w:t>
            </w:r>
          </w:p>
        </w:tc>
      </w:tr>
      <w:tr w14:paraId="645C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02B7979">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6236" w:type="dxa"/>
            <w:noWrap w:val="0"/>
            <w:vAlign w:val="center"/>
          </w:tcPr>
          <w:p w14:paraId="135D27A1">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区应急管理局</w:t>
            </w:r>
          </w:p>
        </w:tc>
      </w:tr>
      <w:tr w14:paraId="1EDA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BEA22F2">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6236" w:type="dxa"/>
            <w:noWrap w:val="0"/>
            <w:vAlign w:val="center"/>
          </w:tcPr>
          <w:p w14:paraId="3BC4C5A2">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区金融工作局</w:t>
            </w:r>
          </w:p>
        </w:tc>
      </w:tr>
      <w:tr w14:paraId="192E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3C69DB3">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6236" w:type="dxa"/>
            <w:noWrap w:val="0"/>
            <w:vAlign w:val="center"/>
          </w:tcPr>
          <w:p w14:paraId="32184277">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区委机构编制委员会办公室</w:t>
            </w:r>
          </w:p>
        </w:tc>
      </w:tr>
      <w:tr w14:paraId="2941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05222A1">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6236" w:type="dxa"/>
            <w:noWrap w:val="0"/>
            <w:vAlign w:val="center"/>
          </w:tcPr>
          <w:p w14:paraId="6F0E315F">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区民政局</w:t>
            </w:r>
          </w:p>
        </w:tc>
      </w:tr>
      <w:tr w14:paraId="1519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0841E832">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6236" w:type="dxa"/>
            <w:noWrap w:val="0"/>
            <w:vAlign w:val="center"/>
          </w:tcPr>
          <w:p w14:paraId="3198ADEB">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生态环境局南沙区分局</w:t>
            </w:r>
          </w:p>
        </w:tc>
      </w:tr>
      <w:tr w14:paraId="3E54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09DF1B2F">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6236" w:type="dxa"/>
            <w:noWrap w:val="0"/>
            <w:vAlign w:val="center"/>
          </w:tcPr>
          <w:p w14:paraId="023A2663">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区气象局</w:t>
            </w:r>
          </w:p>
        </w:tc>
      </w:tr>
      <w:tr w14:paraId="4952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7CD60FE">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6236" w:type="dxa"/>
            <w:noWrap w:val="0"/>
            <w:vAlign w:val="center"/>
          </w:tcPr>
          <w:p w14:paraId="0187FC4A">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区发展和改革局</w:t>
            </w:r>
          </w:p>
        </w:tc>
      </w:tr>
      <w:tr w14:paraId="76B2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2" w:type="dxa"/>
            <w:noWrap w:val="0"/>
            <w:vAlign w:val="center"/>
          </w:tcPr>
          <w:p w14:paraId="0C376196">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6236" w:type="dxa"/>
            <w:noWrap w:val="0"/>
            <w:vAlign w:val="center"/>
          </w:tcPr>
          <w:p w14:paraId="13C75FE1">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区消防救援大队</w:t>
            </w:r>
          </w:p>
        </w:tc>
      </w:tr>
      <w:tr w14:paraId="20BF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E07845E">
            <w:pPr>
              <w:keepNext w:val="0"/>
              <w:keepLines w:val="0"/>
              <w:widowControl/>
              <w:suppressLineNumbers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6236" w:type="dxa"/>
            <w:noWrap w:val="0"/>
            <w:vAlign w:val="center"/>
          </w:tcPr>
          <w:p w14:paraId="1ED909D0">
            <w:pPr>
              <w:keepNext w:val="0"/>
              <w:keepLines w:val="0"/>
              <w:widowControl/>
              <w:suppressLineNumbers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区工业和信息化局</w:t>
            </w:r>
          </w:p>
        </w:tc>
      </w:tr>
      <w:tr w14:paraId="3D91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0B6421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236" w:type="dxa"/>
            <w:noWrap w:val="0"/>
            <w:vAlign w:val="center"/>
          </w:tcPr>
          <w:p w14:paraId="3361F7AE">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区商务局</w:t>
            </w:r>
          </w:p>
        </w:tc>
      </w:tr>
      <w:tr w14:paraId="0C70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2BF91F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6236" w:type="dxa"/>
            <w:noWrap w:val="0"/>
            <w:vAlign w:val="center"/>
          </w:tcPr>
          <w:p w14:paraId="6E102373">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区统计局</w:t>
            </w:r>
          </w:p>
        </w:tc>
      </w:tr>
      <w:tr w14:paraId="54DD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8B07DE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6236" w:type="dxa"/>
            <w:noWrap w:val="0"/>
            <w:vAlign w:val="center"/>
          </w:tcPr>
          <w:p w14:paraId="0C542A77">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区人力资源和社会保障局</w:t>
            </w:r>
          </w:p>
        </w:tc>
      </w:tr>
      <w:tr w14:paraId="47FD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B30E59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6236" w:type="dxa"/>
            <w:noWrap w:val="0"/>
            <w:vAlign w:val="center"/>
          </w:tcPr>
          <w:p w14:paraId="63F35C63">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粤海水务有限公司</w:t>
            </w:r>
          </w:p>
        </w:tc>
      </w:tr>
      <w:tr w14:paraId="32A9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0FD79F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6236" w:type="dxa"/>
            <w:noWrap w:val="0"/>
            <w:vAlign w:val="center"/>
          </w:tcPr>
          <w:p w14:paraId="175B91E3">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区残疾人联合会</w:t>
            </w:r>
          </w:p>
        </w:tc>
      </w:tr>
      <w:tr w14:paraId="7150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92AF5A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6236" w:type="dxa"/>
            <w:noWrap w:val="0"/>
            <w:vAlign w:val="center"/>
          </w:tcPr>
          <w:p w14:paraId="64A31C90">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广州南沙发展燃气有限公司</w:t>
            </w:r>
          </w:p>
        </w:tc>
      </w:tr>
      <w:tr w14:paraId="77C0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6DB7E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6236" w:type="dxa"/>
            <w:noWrap w:val="0"/>
            <w:vAlign w:val="center"/>
          </w:tcPr>
          <w:p w14:paraId="68374B46">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明珠湾开发建设管理局</w:t>
            </w:r>
          </w:p>
        </w:tc>
      </w:tr>
      <w:tr w14:paraId="6742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7F874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6236" w:type="dxa"/>
            <w:noWrap w:val="0"/>
            <w:vAlign w:val="center"/>
          </w:tcPr>
          <w:p w14:paraId="23DAB9A3">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区市场监管局</w:t>
            </w:r>
          </w:p>
        </w:tc>
      </w:tr>
      <w:tr w14:paraId="6726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E1DA03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6236" w:type="dxa"/>
            <w:noWrap w:val="0"/>
            <w:vAlign w:val="center"/>
          </w:tcPr>
          <w:p w14:paraId="2593F06E">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区公安局</w:t>
            </w:r>
          </w:p>
        </w:tc>
      </w:tr>
      <w:tr w14:paraId="7F37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4F7C6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6236" w:type="dxa"/>
            <w:noWrap w:val="0"/>
            <w:vAlign w:val="center"/>
          </w:tcPr>
          <w:p w14:paraId="06A237B8">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区科学技术局</w:t>
            </w:r>
          </w:p>
        </w:tc>
      </w:tr>
      <w:tr w14:paraId="02D3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1DDE6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236" w:type="dxa"/>
            <w:noWrap w:val="0"/>
            <w:vAlign w:val="center"/>
          </w:tcPr>
          <w:p w14:paraId="4C7B7D6D">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区退役军人事务局</w:t>
            </w:r>
          </w:p>
        </w:tc>
      </w:tr>
      <w:tr w14:paraId="38F7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82BD15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6236" w:type="dxa"/>
            <w:noWrap w:val="0"/>
            <w:vAlign w:val="center"/>
          </w:tcPr>
          <w:p w14:paraId="66AEF69D">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区司法局</w:t>
            </w:r>
          </w:p>
        </w:tc>
      </w:tr>
      <w:tr w14:paraId="28B6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FB4D91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236" w:type="dxa"/>
            <w:noWrap w:val="0"/>
            <w:vAlign w:val="center"/>
          </w:tcPr>
          <w:p w14:paraId="124F2823">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国家档案馆、区档案局</w:t>
            </w:r>
          </w:p>
        </w:tc>
      </w:tr>
      <w:tr w14:paraId="3F4D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E05851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6236" w:type="dxa"/>
            <w:noWrap w:val="0"/>
            <w:vAlign w:val="center"/>
          </w:tcPr>
          <w:p w14:paraId="0C6DE1B9">
            <w:pPr>
              <w:keepNext w:val="0"/>
              <w:keepLines w:val="0"/>
              <w:widowControl/>
              <w:suppressLineNumbers w:val="0"/>
              <w:spacing w:line="360" w:lineRule="auto"/>
              <w:jc w:val="left"/>
              <w:textAlignment w:val="center"/>
              <w:rPr>
                <w:rStyle w:val="93"/>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区委统一战线工作部（区侨务局、区民族宗教事务局）</w:t>
            </w:r>
          </w:p>
        </w:tc>
      </w:tr>
      <w:tr w14:paraId="645F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80518C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6236" w:type="dxa"/>
            <w:noWrap w:val="0"/>
            <w:vAlign w:val="top"/>
          </w:tcPr>
          <w:p w14:paraId="0E8CF91A">
            <w:pPr>
              <w:pStyle w:val="94"/>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区税务局</w:t>
            </w:r>
          </w:p>
        </w:tc>
      </w:tr>
      <w:tr w14:paraId="458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4CC2E9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6236" w:type="dxa"/>
            <w:noWrap w:val="0"/>
            <w:vAlign w:val="top"/>
          </w:tcPr>
          <w:p w14:paraId="26B00BFC">
            <w:pPr>
              <w:pStyle w:val="94"/>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南沙海关</w:t>
            </w:r>
          </w:p>
        </w:tc>
      </w:tr>
      <w:tr w14:paraId="166E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9C56C0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6236" w:type="dxa"/>
            <w:noWrap w:val="0"/>
            <w:vAlign w:val="top"/>
          </w:tcPr>
          <w:p w14:paraId="386CAF1B">
            <w:pPr>
              <w:pStyle w:val="94"/>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区公安消防大队</w:t>
            </w:r>
          </w:p>
        </w:tc>
      </w:tr>
      <w:tr w14:paraId="36FC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6EB3CFA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0" w:type="auto"/>
            <w:noWrap w:val="0"/>
            <w:vAlign w:val="top"/>
          </w:tcPr>
          <w:p w14:paraId="0E0C7122">
            <w:pPr>
              <w:pStyle w:val="94"/>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市医疗保险服务中心南沙分中心</w:t>
            </w:r>
          </w:p>
        </w:tc>
      </w:tr>
    </w:tbl>
    <w:p w14:paraId="74911B3E">
      <w:pPr>
        <w:pStyle w:val="20"/>
        <w:spacing w:line="360" w:lineRule="auto"/>
        <w:rPr>
          <w:rFonts w:hint="eastAsia" w:ascii="宋体" w:hAnsi="宋体" w:eastAsia="宋体" w:cs="宋体"/>
          <w:sz w:val="21"/>
          <w:szCs w:val="21"/>
        </w:rPr>
      </w:pPr>
    </w:p>
    <w:p w14:paraId="47BA13F9">
      <w:pPr>
        <w:pStyle w:val="20"/>
        <w:spacing w:line="360" w:lineRule="auto"/>
        <w:ind w:left="0" w:leftChars="0" w:firstLine="422" w:firstLineChars="200"/>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sz w:val="21"/>
          <w:szCs w:val="21"/>
          <w:lang w:val="en-US" w:eastAsia="zh-CN"/>
        </w:rPr>
        <w:t>10</w:t>
      </w:r>
      <w:r>
        <w:rPr>
          <w:rFonts w:hint="eastAsia" w:ascii="宋体" w:hAnsi="宋体" w:eastAsia="宋体" w:cs="宋体"/>
          <w:b/>
          <w:sz w:val="21"/>
          <w:szCs w:val="21"/>
        </w:rPr>
        <w:t>个镇（街），包含镇（街）政务服务中心及村（居）公共服务站。</w:t>
      </w:r>
    </w:p>
    <w:p w14:paraId="22BDEB87">
      <w:pPr>
        <w:spacing w:line="360" w:lineRule="auto"/>
        <w:ind w:firstLine="725" w:firstLineChars="344"/>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表2  各镇（街）调查名单</w:t>
      </w:r>
    </w:p>
    <w:tbl>
      <w:tblPr>
        <w:tblStyle w:val="28"/>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236"/>
      </w:tblGrid>
      <w:tr w14:paraId="05AB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526" w:type="dxa"/>
            <w:shd w:val="clear" w:color="auto" w:fill="A5A5A5"/>
            <w:noWrap w:val="0"/>
            <w:vAlign w:val="center"/>
          </w:tcPr>
          <w:p w14:paraId="6D7AD5E6">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5592" w:type="dxa"/>
            <w:shd w:val="clear" w:color="auto" w:fill="A5A5A5"/>
            <w:noWrap w:val="0"/>
            <w:vAlign w:val="center"/>
          </w:tcPr>
          <w:p w14:paraId="60E9FED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镇（街）</w:t>
            </w:r>
          </w:p>
        </w:tc>
      </w:tr>
      <w:tr w14:paraId="704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53930F37">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592" w:type="dxa"/>
            <w:noWrap w:val="0"/>
            <w:vAlign w:val="top"/>
          </w:tcPr>
          <w:p w14:paraId="200C1B44">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万顷沙镇</w:t>
            </w:r>
          </w:p>
        </w:tc>
      </w:tr>
      <w:tr w14:paraId="0CBB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44966A19">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592" w:type="dxa"/>
            <w:noWrap w:val="0"/>
            <w:vAlign w:val="top"/>
          </w:tcPr>
          <w:p w14:paraId="12E48771">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黄阁镇</w:t>
            </w:r>
          </w:p>
        </w:tc>
      </w:tr>
      <w:tr w14:paraId="65E2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08815CB3">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5592" w:type="dxa"/>
            <w:noWrap w:val="0"/>
            <w:vAlign w:val="top"/>
          </w:tcPr>
          <w:p w14:paraId="167BA329">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横沥镇</w:t>
            </w:r>
          </w:p>
        </w:tc>
      </w:tr>
      <w:tr w14:paraId="4A48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50474418">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5592" w:type="dxa"/>
            <w:noWrap w:val="0"/>
            <w:vAlign w:val="top"/>
          </w:tcPr>
          <w:p w14:paraId="0A6D4BD5">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东涌镇</w:t>
            </w:r>
          </w:p>
        </w:tc>
      </w:tr>
      <w:tr w14:paraId="24E0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7D267858">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592" w:type="dxa"/>
            <w:noWrap w:val="0"/>
            <w:vAlign w:val="top"/>
          </w:tcPr>
          <w:p w14:paraId="429EF5FB">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大岗镇</w:t>
            </w:r>
          </w:p>
        </w:tc>
      </w:tr>
      <w:tr w14:paraId="15CF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763D70BD">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5592" w:type="dxa"/>
            <w:noWrap w:val="0"/>
            <w:vAlign w:val="top"/>
          </w:tcPr>
          <w:p w14:paraId="3510C4B4">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榄核镇</w:t>
            </w:r>
          </w:p>
        </w:tc>
      </w:tr>
      <w:tr w14:paraId="166E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227F7A91">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5592" w:type="dxa"/>
            <w:noWrap w:val="0"/>
            <w:vAlign w:val="top"/>
          </w:tcPr>
          <w:p w14:paraId="50839CBD">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南沙街</w:t>
            </w:r>
          </w:p>
        </w:tc>
      </w:tr>
      <w:tr w14:paraId="0ACA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1827F8B3">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592" w:type="dxa"/>
            <w:noWrap w:val="0"/>
            <w:vAlign w:val="top"/>
          </w:tcPr>
          <w:p w14:paraId="0266572A">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珠江街</w:t>
            </w:r>
          </w:p>
        </w:tc>
      </w:tr>
      <w:tr w14:paraId="4EF0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0B52E900">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5592" w:type="dxa"/>
            <w:noWrap w:val="0"/>
            <w:vAlign w:val="top"/>
          </w:tcPr>
          <w:p w14:paraId="7AA2B66C">
            <w:pPr>
              <w:pStyle w:val="94"/>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龙穴街</w:t>
            </w:r>
          </w:p>
        </w:tc>
      </w:tr>
      <w:tr w14:paraId="346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0360F6B4">
            <w:pPr>
              <w:pStyle w:val="94"/>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592" w:type="dxa"/>
            <w:noWrap w:val="0"/>
            <w:vAlign w:val="top"/>
          </w:tcPr>
          <w:p w14:paraId="4845061A">
            <w:pPr>
              <w:pStyle w:val="94"/>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港湾街</w:t>
            </w:r>
          </w:p>
        </w:tc>
      </w:tr>
    </w:tbl>
    <w:p w14:paraId="03F163B4">
      <w:pPr>
        <w:spacing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工作计划</w:t>
      </w:r>
    </w:p>
    <w:p w14:paraId="38EB531D">
      <w:pPr>
        <w:spacing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考评</w:t>
      </w:r>
      <w:r>
        <w:rPr>
          <w:rFonts w:hint="eastAsia" w:ascii="宋体" w:hAnsi="宋体" w:eastAsia="宋体" w:cs="宋体"/>
          <w:b/>
          <w:bCs/>
          <w:sz w:val="21"/>
          <w:szCs w:val="21"/>
          <w:lang w:val="en-US" w:eastAsia="zh-CN"/>
        </w:rPr>
        <w:t>周期及工作进度</w:t>
      </w:r>
    </w:p>
    <w:p w14:paraId="2DBF851F">
      <w:pPr>
        <w:spacing w:line="360" w:lineRule="auto"/>
        <w:ind w:firstLine="480"/>
        <w:jc w:val="both"/>
        <w:rPr>
          <w:rFonts w:hint="eastAsia" w:ascii="宋体" w:hAnsi="宋体" w:eastAsia="宋体" w:cs="宋体"/>
          <w:spacing w:val="8"/>
          <w:sz w:val="21"/>
          <w:szCs w:val="21"/>
        </w:rPr>
      </w:pPr>
      <w:r>
        <w:rPr>
          <w:rFonts w:hint="eastAsia" w:ascii="宋体" w:hAnsi="宋体" w:eastAsia="宋体" w:cs="宋体"/>
          <w:sz w:val="21"/>
          <w:szCs w:val="21"/>
          <w:lang w:val="en-US" w:eastAsia="zh-CN"/>
        </w:rPr>
        <w:t>根据</w:t>
      </w:r>
      <w:r>
        <w:rPr>
          <w:rFonts w:hint="eastAsia" w:ascii="宋体" w:hAnsi="宋体" w:eastAsia="宋体" w:cs="宋体"/>
          <w:sz w:val="21"/>
          <w:szCs w:val="21"/>
        </w:rPr>
        <w:t>对各考评对象在不同</w:t>
      </w:r>
      <w:r>
        <w:rPr>
          <w:rFonts w:hint="eastAsia" w:ascii="宋体" w:hAnsi="宋体" w:eastAsia="宋体" w:cs="宋体"/>
          <w:sz w:val="21"/>
          <w:szCs w:val="21"/>
          <w:lang w:val="en-US" w:eastAsia="zh-CN"/>
        </w:rPr>
        <w:t>考评</w:t>
      </w:r>
      <w:r>
        <w:rPr>
          <w:rFonts w:hint="eastAsia" w:ascii="宋体" w:hAnsi="宋体" w:eastAsia="宋体" w:cs="宋体"/>
          <w:sz w:val="21"/>
          <w:szCs w:val="21"/>
        </w:rPr>
        <w:t>指标领域的工作表现进行评分，所有指标得分之和则为该考评对象最终政务服务考评得分，项目分为上半年和下半年两个周期</w:t>
      </w:r>
      <w:r>
        <w:rPr>
          <w:rFonts w:hint="eastAsia" w:ascii="宋体" w:hAnsi="宋体" w:eastAsia="宋体" w:cs="宋体"/>
          <w:sz w:val="21"/>
          <w:szCs w:val="21"/>
          <w:lang w:val="en-US" w:eastAsia="zh-CN"/>
        </w:rPr>
        <w:t>进行调查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每季度覆盖考评范围，</w:t>
      </w:r>
      <w:r>
        <w:rPr>
          <w:rFonts w:hint="eastAsia" w:ascii="宋体" w:hAnsi="宋体" w:eastAsia="宋体" w:cs="宋体"/>
          <w:sz w:val="21"/>
          <w:szCs w:val="21"/>
        </w:rPr>
        <w:t>提交上半年和</w:t>
      </w:r>
      <w:r>
        <w:rPr>
          <w:rFonts w:hint="eastAsia" w:ascii="宋体" w:hAnsi="宋体" w:eastAsia="宋体" w:cs="宋体"/>
          <w:sz w:val="21"/>
          <w:szCs w:val="21"/>
          <w:lang w:val="en-US" w:eastAsia="zh-CN"/>
        </w:rPr>
        <w:t>全</w:t>
      </w:r>
      <w:r>
        <w:rPr>
          <w:rFonts w:hint="eastAsia" w:ascii="宋体" w:hAnsi="宋体" w:eastAsia="宋体" w:cs="宋体"/>
          <w:sz w:val="21"/>
          <w:szCs w:val="21"/>
        </w:rPr>
        <w:t>年</w:t>
      </w:r>
      <w:r>
        <w:rPr>
          <w:rFonts w:hint="eastAsia" w:ascii="宋体" w:hAnsi="宋体" w:eastAsia="宋体" w:cs="宋体"/>
          <w:sz w:val="21"/>
          <w:szCs w:val="21"/>
          <w:lang w:val="en-US" w:eastAsia="zh-CN"/>
        </w:rPr>
        <w:t>度</w:t>
      </w:r>
      <w:r>
        <w:rPr>
          <w:rFonts w:hint="eastAsia" w:ascii="宋体" w:hAnsi="宋体" w:eastAsia="宋体" w:cs="宋体"/>
          <w:sz w:val="21"/>
          <w:szCs w:val="21"/>
        </w:rPr>
        <w:t>调研报告成果，共两期。</w:t>
      </w:r>
    </w:p>
    <w:p w14:paraId="582C9D37">
      <w:pPr>
        <w:spacing w:line="360" w:lineRule="auto"/>
        <w:ind w:firstLine="480"/>
        <w:jc w:val="both"/>
        <w:rPr>
          <w:rFonts w:hint="eastAsia" w:ascii="宋体" w:hAnsi="宋体" w:eastAsia="宋体" w:cs="宋体"/>
          <w:b/>
          <w:bCs/>
          <w:spacing w:val="8"/>
          <w:sz w:val="21"/>
          <w:szCs w:val="21"/>
        </w:rPr>
      </w:pPr>
      <w:r>
        <w:rPr>
          <w:rFonts w:hint="eastAsia" w:ascii="宋体" w:hAnsi="宋体" w:eastAsia="宋体" w:cs="宋体"/>
          <w:b/>
          <w:bCs/>
          <w:spacing w:val="8"/>
          <w:sz w:val="21"/>
          <w:szCs w:val="21"/>
        </w:rPr>
        <w:t>第一</w:t>
      </w:r>
      <w:r>
        <w:rPr>
          <w:rFonts w:hint="eastAsia" w:ascii="宋体" w:hAnsi="宋体" w:eastAsia="宋体" w:cs="宋体"/>
          <w:b/>
          <w:bCs/>
          <w:spacing w:val="8"/>
          <w:sz w:val="21"/>
          <w:szCs w:val="21"/>
          <w:lang w:val="en-US" w:eastAsia="zh-CN"/>
        </w:rPr>
        <w:t>期</w:t>
      </w:r>
      <w:r>
        <w:rPr>
          <w:rFonts w:hint="eastAsia" w:ascii="宋体" w:hAnsi="宋体" w:eastAsia="宋体" w:cs="宋体"/>
          <w:b/>
          <w:bCs/>
          <w:spacing w:val="8"/>
          <w:sz w:val="21"/>
          <w:szCs w:val="21"/>
        </w:rPr>
        <w:t>调查工作进度如下：</w:t>
      </w:r>
    </w:p>
    <w:p w14:paraId="1F2F1F15">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2024年2月下旬前，</w:t>
      </w:r>
      <w:r>
        <w:rPr>
          <w:rFonts w:hint="eastAsia" w:ascii="宋体" w:hAnsi="宋体" w:eastAsia="宋体" w:cs="宋体"/>
          <w:sz w:val="21"/>
          <w:szCs w:val="21"/>
          <w:lang w:val="en-US" w:eastAsia="zh-CN"/>
        </w:rPr>
        <w:t>做好调查前期工作，</w:t>
      </w:r>
      <w:r>
        <w:rPr>
          <w:rFonts w:hint="eastAsia" w:ascii="宋体" w:hAnsi="宋体" w:eastAsia="宋体" w:cs="宋体"/>
          <w:sz w:val="21"/>
          <w:szCs w:val="21"/>
        </w:rPr>
        <w:t>确定项目调查方案，组建课题组。借鉴广东省、市及其他地区政务服务</w:t>
      </w:r>
      <w:r>
        <w:rPr>
          <w:rFonts w:hint="eastAsia" w:ascii="宋体" w:hAnsi="宋体" w:eastAsia="宋体" w:cs="宋体"/>
          <w:sz w:val="21"/>
          <w:szCs w:val="21"/>
          <w:lang w:eastAsia="zh-CN"/>
        </w:rPr>
        <w:t>考评</w:t>
      </w:r>
      <w:r>
        <w:rPr>
          <w:rFonts w:hint="eastAsia" w:ascii="宋体" w:hAnsi="宋体" w:eastAsia="宋体" w:cs="宋体"/>
          <w:sz w:val="21"/>
          <w:szCs w:val="21"/>
        </w:rPr>
        <w:t>调查指标体系，结合南沙区实际情况，设计</w:t>
      </w:r>
      <w:r>
        <w:rPr>
          <w:rFonts w:hint="eastAsia" w:ascii="宋体" w:hAnsi="宋体" w:eastAsia="宋体" w:cs="宋体"/>
          <w:sz w:val="21"/>
          <w:szCs w:val="21"/>
          <w:lang w:val="en-US" w:eastAsia="zh-CN"/>
        </w:rPr>
        <w:t>及优化完善</w:t>
      </w:r>
      <w:r>
        <w:rPr>
          <w:rFonts w:hint="eastAsia" w:ascii="宋体" w:hAnsi="宋体" w:eastAsia="宋体" w:cs="宋体"/>
          <w:sz w:val="21"/>
          <w:szCs w:val="21"/>
        </w:rPr>
        <w:t>2024年南沙区政务服务</w:t>
      </w:r>
      <w:r>
        <w:rPr>
          <w:rFonts w:hint="eastAsia" w:ascii="宋体" w:hAnsi="宋体" w:eastAsia="宋体" w:cs="宋体"/>
          <w:sz w:val="21"/>
          <w:szCs w:val="21"/>
          <w:lang w:val="en-US" w:eastAsia="zh-CN"/>
        </w:rPr>
        <w:t>公众考评满意度</w:t>
      </w:r>
      <w:r>
        <w:rPr>
          <w:rFonts w:hint="eastAsia" w:ascii="宋体" w:hAnsi="宋体" w:eastAsia="宋体" w:cs="宋体"/>
          <w:sz w:val="21"/>
          <w:szCs w:val="21"/>
          <w:lang w:eastAsia="zh-CN"/>
        </w:rPr>
        <w:t>考评</w:t>
      </w:r>
      <w:r>
        <w:rPr>
          <w:rFonts w:hint="eastAsia" w:ascii="宋体" w:hAnsi="宋体" w:eastAsia="宋体" w:cs="宋体"/>
          <w:sz w:val="21"/>
          <w:szCs w:val="21"/>
        </w:rPr>
        <w:t>指标体系。</w:t>
      </w:r>
    </w:p>
    <w:p w14:paraId="2D436FC7">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2024年6月下旬前，完成座谈会、深度模拟体验、暗访调查、问卷调查等发放和回收，审核、复核、编码、录入、整理和统计分析</w:t>
      </w:r>
      <w:r>
        <w:rPr>
          <w:rFonts w:hint="eastAsia" w:ascii="宋体" w:hAnsi="宋体" w:eastAsia="宋体" w:cs="宋体"/>
          <w:sz w:val="21"/>
          <w:szCs w:val="21"/>
          <w:lang w:val="en-US" w:eastAsia="zh-CN"/>
        </w:rPr>
        <w:t>等</w:t>
      </w:r>
      <w:r>
        <w:rPr>
          <w:rFonts w:hint="eastAsia" w:ascii="宋体" w:hAnsi="宋体" w:eastAsia="宋体" w:cs="宋体"/>
          <w:sz w:val="21"/>
          <w:szCs w:val="21"/>
        </w:rPr>
        <w:t>实施执行。</w:t>
      </w:r>
    </w:p>
    <w:p w14:paraId="5FFC92BC">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2024年7月下旬前，完成对座谈会、深度模拟体验材料收集梳理</w:t>
      </w:r>
      <w:r>
        <w:rPr>
          <w:rFonts w:hint="eastAsia" w:ascii="宋体" w:hAnsi="宋体" w:eastAsia="宋体" w:cs="宋体"/>
          <w:sz w:val="21"/>
          <w:szCs w:val="21"/>
          <w:lang w:eastAsia="zh-CN"/>
        </w:rPr>
        <w:t>、</w:t>
      </w:r>
      <w:r>
        <w:rPr>
          <w:rFonts w:hint="eastAsia" w:ascii="宋体" w:hAnsi="宋体" w:eastAsia="宋体" w:cs="宋体"/>
          <w:sz w:val="21"/>
          <w:szCs w:val="21"/>
        </w:rPr>
        <w:t>核查和分析</w:t>
      </w:r>
      <w:r>
        <w:rPr>
          <w:rFonts w:hint="eastAsia" w:ascii="宋体" w:hAnsi="宋体" w:eastAsia="宋体" w:cs="宋体"/>
          <w:sz w:val="21"/>
          <w:szCs w:val="21"/>
          <w:lang w:val="en-US" w:eastAsia="zh-CN"/>
        </w:rPr>
        <w:t>整合</w:t>
      </w:r>
      <w:r>
        <w:rPr>
          <w:rFonts w:hint="eastAsia" w:ascii="宋体" w:hAnsi="宋体" w:eastAsia="宋体" w:cs="宋体"/>
          <w:sz w:val="21"/>
          <w:szCs w:val="21"/>
        </w:rPr>
        <w:t>。</w:t>
      </w:r>
    </w:p>
    <w:p w14:paraId="1D2471F0">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2024年8月中旬前，</w:t>
      </w:r>
      <w:r>
        <w:rPr>
          <w:rFonts w:hint="eastAsia" w:ascii="宋体" w:hAnsi="宋体" w:eastAsia="宋体" w:cs="宋体"/>
          <w:sz w:val="21"/>
          <w:szCs w:val="21"/>
          <w:lang w:val="en-US" w:eastAsia="zh-CN"/>
        </w:rPr>
        <w:t>按照国家通用统计法，结合专家评估，对各</w:t>
      </w:r>
      <w:r>
        <w:rPr>
          <w:rFonts w:hint="eastAsia" w:ascii="宋体" w:hAnsi="宋体" w:eastAsia="宋体" w:cs="宋体"/>
          <w:sz w:val="21"/>
          <w:szCs w:val="21"/>
          <w:lang w:eastAsia="zh-CN"/>
        </w:rPr>
        <w:t>考评</w:t>
      </w:r>
      <w:r>
        <w:rPr>
          <w:rFonts w:hint="eastAsia" w:ascii="宋体" w:hAnsi="宋体" w:eastAsia="宋体" w:cs="宋体"/>
          <w:sz w:val="21"/>
          <w:szCs w:val="21"/>
        </w:rPr>
        <w:t>对象的政务服务情况进行</w:t>
      </w:r>
      <w:r>
        <w:rPr>
          <w:rFonts w:hint="eastAsia" w:ascii="宋体" w:hAnsi="宋体" w:eastAsia="宋体" w:cs="宋体"/>
          <w:sz w:val="21"/>
          <w:szCs w:val="21"/>
          <w:lang w:val="en-US" w:eastAsia="zh-CN"/>
        </w:rPr>
        <w:t>评分核实后作相应的</w:t>
      </w:r>
      <w:r>
        <w:rPr>
          <w:rFonts w:hint="eastAsia" w:ascii="宋体" w:hAnsi="宋体" w:eastAsia="宋体" w:cs="宋体"/>
          <w:sz w:val="21"/>
          <w:szCs w:val="21"/>
        </w:rPr>
        <w:t>修改完善，</w:t>
      </w:r>
      <w:r>
        <w:rPr>
          <w:rFonts w:hint="eastAsia" w:ascii="宋体" w:hAnsi="宋体" w:eastAsia="宋体" w:cs="宋体"/>
          <w:sz w:val="21"/>
          <w:szCs w:val="21"/>
          <w:lang w:val="en-US" w:eastAsia="zh-CN"/>
        </w:rPr>
        <w:t>提交上半年调查</w:t>
      </w:r>
      <w:r>
        <w:rPr>
          <w:rFonts w:hint="eastAsia" w:ascii="宋体" w:hAnsi="宋体" w:eastAsia="宋体" w:cs="宋体"/>
          <w:sz w:val="21"/>
          <w:szCs w:val="21"/>
          <w:lang w:eastAsia="zh-CN"/>
        </w:rPr>
        <w:t>考评</w:t>
      </w:r>
      <w:r>
        <w:rPr>
          <w:rFonts w:hint="eastAsia" w:ascii="宋体" w:hAnsi="宋体" w:eastAsia="宋体" w:cs="宋体"/>
          <w:sz w:val="21"/>
          <w:szCs w:val="21"/>
          <w:lang w:val="en-US" w:eastAsia="zh-CN"/>
        </w:rPr>
        <w:t>成</w:t>
      </w:r>
      <w:r>
        <w:rPr>
          <w:rFonts w:hint="eastAsia" w:ascii="宋体" w:hAnsi="宋体" w:eastAsia="宋体" w:cs="宋体"/>
          <w:sz w:val="21"/>
          <w:szCs w:val="21"/>
        </w:rPr>
        <w:t>果。</w:t>
      </w:r>
    </w:p>
    <w:p w14:paraId="1595244F">
      <w:pPr>
        <w:spacing w:line="360" w:lineRule="auto"/>
        <w:ind w:firstLine="480"/>
        <w:jc w:val="both"/>
        <w:rPr>
          <w:rFonts w:hint="eastAsia" w:ascii="宋体" w:hAnsi="宋体" w:eastAsia="宋体" w:cs="宋体"/>
          <w:b/>
          <w:bCs/>
          <w:color w:val="000000"/>
          <w:spacing w:val="8"/>
          <w:sz w:val="21"/>
          <w:szCs w:val="21"/>
        </w:rPr>
      </w:pPr>
      <w:r>
        <w:rPr>
          <w:rFonts w:hint="eastAsia" w:ascii="宋体" w:hAnsi="宋体" w:eastAsia="宋体" w:cs="宋体"/>
          <w:b/>
          <w:bCs/>
          <w:color w:val="000000"/>
          <w:spacing w:val="8"/>
          <w:sz w:val="21"/>
          <w:szCs w:val="21"/>
        </w:rPr>
        <w:t>第二</w:t>
      </w:r>
      <w:r>
        <w:rPr>
          <w:rFonts w:hint="eastAsia" w:ascii="宋体" w:hAnsi="宋体" w:eastAsia="宋体" w:cs="宋体"/>
          <w:b/>
          <w:bCs/>
          <w:color w:val="000000"/>
          <w:spacing w:val="8"/>
          <w:sz w:val="21"/>
          <w:szCs w:val="21"/>
          <w:lang w:val="en-US" w:eastAsia="zh-CN"/>
        </w:rPr>
        <w:t>期</w:t>
      </w:r>
      <w:r>
        <w:rPr>
          <w:rFonts w:hint="eastAsia" w:ascii="宋体" w:hAnsi="宋体" w:eastAsia="宋体" w:cs="宋体"/>
          <w:b/>
          <w:bCs/>
          <w:color w:val="000000"/>
          <w:spacing w:val="8"/>
          <w:sz w:val="21"/>
          <w:szCs w:val="21"/>
        </w:rPr>
        <w:t>调查工作进度如下：</w:t>
      </w:r>
    </w:p>
    <w:p w14:paraId="77C1EF70">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2024年7月中旬前，完成下半年项目的启动工作。</w:t>
      </w:r>
    </w:p>
    <w:p w14:paraId="12AF71EE">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2024年12月下旬前，完成座谈会、深度模拟体验、暗访调查、问卷调查等发放和回收，审核、复核、编码、录入、整理和统计分析</w:t>
      </w:r>
      <w:r>
        <w:rPr>
          <w:rFonts w:hint="eastAsia" w:ascii="宋体" w:hAnsi="宋体" w:eastAsia="宋体" w:cs="宋体"/>
          <w:sz w:val="21"/>
          <w:szCs w:val="21"/>
          <w:lang w:val="en-US" w:eastAsia="zh-CN"/>
        </w:rPr>
        <w:t>等</w:t>
      </w:r>
      <w:r>
        <w:rPr>
          <w:rFonts w:hint="eastAsia" w:ascii="宋体" w:hAnsi="宋体" w:eastAsia="宋体" w:cs="宋体"/>
          <w:sz w:val="21"/>
          <w:szCs w:val="21"/>
        </w:rPr>
        <w:t>实施执行。</w:t>
      </w:r>
    </w:p>
    <w:p w14:paraId="4B59A550">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2025年1月下旬前，完成对座谈会、深度模拟体验材料收集梳理</w:t>
      </w:r>
      <w:r>
        <w:rPr>
          <w:rFonts w:hint="eastAsia" w:ascii="宋体" w:hAnsi="宋体" w:eastAsia="宋体" w:cs="宋体"/>
          <w:sz w:val="21"/>
          <w:szCs w:val="21"/>
          <w:lang w:eastAsia="zh-CN"/>
        </w:rPr>
        <w:t>、</w:t>
      </w:r>
      <w:r>
        <w:rPr>
          <w:rFonts w:hint="eastAsia" w:ascii="宋体" w:hAnsi="宋体" w:eastAsia="宋体" w:cs="宋体"/>
          <w:sz w:val="21"/>
          <w:szCs w:val="21"/>
        </w:rPr>
        <w:t>核查和分析</w:t>
      </w:r>
      <w:r>
        <w:rPr>
          <w:rFonts w:hint="eastAsia" w:ascii="宋体" w:hAnsi="宋体" w:eastAsia="宋体" w:cs="宋体"/>
          <w:sz w:val="21"/>
          <w:szCs w:val="21"/>
          <w:lang w:val="en-US" w:eastAsia="zh-CN"/>
        </w:rPr>
        <w:t>整合</w:t>
      </w:r>
      <w:r>
        <w:rPr>
          <w:rFonts w:hint="eastAsia" w:ascii="宋体" w:hAnsi="宋体" w:eastAsia="宋体" w:cs="宋体"/>
          <w:sz w:val="21"/>
          <w:szCs w:val="21"/>
        </w:rPr>
        <w:t>。</w:t>
      </w:r>
    </w:p>
    <w:p w14:paraId="3C32BCEE">
      <w:pPr>
        <w:spacing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2025年2月中旬前，</w:t>
      </w:r>
      <w:r>
        <w:rPr>
          <w:rFonts w:hint="eastAsia" w:ascii="宋体" w:hAnsi="宋体" w:eastAsia="宋体" w:cs="宋体"/>
          <w:sz w:val="21"/>
          <w:szCs w:val="21"/>
          <w:lang w:val="en-US" w:eastAsia="zh-CN"/>
        </w:rPr>
        <w:t>按照国家通用统计法，结合专家评估，对各</w:t>
      </w:r>
      <w:r>
        <w:rPr>
          <w:rFonts w:hint="eastAsia" w:ascii="宋体" w:hAnsi="宋体" w:eastAsia="宋体" w:cs="宋体"/>
          <w:sz w:val="21"/>
          <w:szCs w:val="21"/>
          <w:lang w:eastAsia="zh-CN"/>
        </w:rPr>
        <w:t>考评</w:t>
      </w:r>
      <w:r>
        <w:rPr>
          <w:rFonts w:hint="eastAsia" w:ascii="宋体" w:hAnsi="宋体" w:eastAsia="宋体" w:cs="宋体"/>
          <w:sz w:val="21"/>
          <w:szCs w:val="21"/>
        </w:rPr>
        <w:t>对象的政务服务情况进行</w:t>
      </w:r>
      <w:r>
        <w:rPr>
          <w:rFonts w:hint="eastAsia" w:ascii="宋体" w:hAnsi="宋体" w:eastAsia="宋体" w:cs="宋体"/>
          <w:sz w:val="21"/>
          <w:szCs w:val="21"/>
          <w:lang w:val="en-US" w:eastAsia="zh-CN"/>
        </w:rPr>
        <w:t>评分核实后作相应的</w:t>
      </w:r>
      <w:r>
        <w:rPr>
          <w:rFonts w:hint="eastAsia" w:ascii="宋体" w:hAnsi="宋体" w:eastAsia="宋体" w:cs="宋体"/>
          <w:sz w:val="21"/>
          <w:szCs w:val="21"/>
        </w:rPr>
        <w:t>修改完善，提交</w:t>
      </w:r>
      <w:r>
        <w:rPr>
          <w:rFonts w:hint="eastAsia" w:ascii="宋体" w:hAnsi="宋体" w:eastAsia="宋体" w:cs="宋体"/>
          <w:sz w:val="21"/>
          <w:szCs w:val="21"/>
          <w:lang w:val="en-US" w:eastAsia="zh-CN"/>
        </w:rPr>
        <w:t>下半年及年度</w:t>
      </w:r>
      <w:r>
        <w:rPr>
          <w:rFonts w:hint="eastAsia" w:ascii="宋体" w:hAnsi="宋体" w:eastAsia="宋体" w:cs="宋体"/>
          <w:sz w:val="21"/>
          <w:szCs w:val="21"/>
        </w:rPr>
        <w:t>调查报告</w:t>
      </w:r>
      <w:r>
        <w:rPr>
          <w:rFonts w:hint="eastAsia" w:ascii="宋体" w:hAnsi="宋体" w:eastAsia="宋体" w:cs="宋体"/>
          <w:sz w:val="21"/>
          <w:szCs w:val="21"/>
          <w:lang w:val="en-US" w:eastAsia="zh-CN"/>
        </w:rPr>
        <w:t>成果</w:t>
      </w:r>
      <w:r>
        <w:rPr>
          <w:rFonts w:hint="eastAsia" w:ascii="宋体" w:hAnsi="宋体" w:eastAsia="宋体" w:cs="宋体"/>
          <w:sz w:val="21"/>
          <w:szCs w:val="21"/>
        </w:rPr>
        <w:t>。</w:t>
      </w:r>
    </w:p>
    <w:p w14:paraId="56052D45">
      <w:pPr>
        <w:spacing w:line="360" w:lineRule="auto"/>
        <w:ind w:firstLine="48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驻点体验研究分析及运用</w:t>
      </w:r>
    </w:p>
    <w:p w14:paraId="37670D11">
      <w:pPr>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根据项目需要，委派2名研究工作人员在项目执行期间，与区政数局的工作时间一致，驻点区政数局协助有关处室的日常工作开展，以更好地对接和理解政务服务考评项目的工作决策意图，做好前期的调研工作；并通过驻点工作的方式，客观的对区政务服务工作存在的情况进行分析，提出改善措施。督促各职能部门对政务服务考评过程中</w:t>
      </w:r>
      <w:r>
        <w:rPr>
          <w:rFonts w:hint="eastAsia" w:ascii="宋体" w:hAnsi="宋体" w:eastAsia="宋体" w:cs="宋体"/>
          <w:sz w:val="21"/>
          <w:szCs w:val="21"/>
          <w:lang w:val="en-US" w:eastAsia="zh-CN"/>
        </w:rPr>
        <w:t>存在</w:t>
      </w:r>
      <w:r>
        <w:rPr>
          <w:rFonts w:hint="eastAsia" w:ascii="宋体" w:hAnsi="宋体" w:eastAsia="宋体" w:cs="宋体"/>
          <w:sz w:val="21"/>
          <w:szCs w:val="21"/>
        </w:rPr>
        <w:t>的问题进行</w:t>
      </w:r>
      <w:r>
        <w:rPr>
          <w:rFonts w:hint="eastAsia" w:ascii="宋体" w:hAnsi="宋体" w:eastAsia="宋体" w:cs="宋体"/>
          <w:sz w:val="21"/>
          <w:szCs w:val="21"/>
          <w:lang w:val="en-US" w:eastAsia="zh-CN"/>
        </w:rPr>
        <w:t>立行</w:t>
      </w:r>
      <w:r>
        <w:rPr>
          <w:rFonts w:hint="eastAsia" w:ascii="宋体" w:hAnsi="宋体" w:eastAsia="宋体" w:cs="宋体"/>
          <w:sz w:val="21"/>
          <w:szCs w:val="21"/>
        </w:rPr>
        <w:t>整改，并将整改</w:t>
      </w:r>
      <w:r>
        <w:rPr>
          <w:rFonts w:hint="eastAsia" w:ascii="宋体" w:hAnsi="宋体" w:eastAsia="宋体" w:cs="宋体"/>
          <w:sz w:val="21"/>
          <w:szCs w:val="21"/>
          <w:lang w:val="en-US" w:eastAsia="zh-CN"/>
        </w:rPr>
        <w:t>落实工作情况</w:t>
      </w:r>
      <w:r>
        <w:rPr>
          <w:rFonts w:hint="eastAsia" w:ascii="宋体" w:hAnsi="宋体" w:eastAsia="宋体" w:cs="宋体"/>
          <w:sz w:val="21"/>
          <w:szCs w:val="21"/>
        </w:rPr>
        <w:t>反馈区政数局。</w:t>
      </w:r>
    </w:p>
    <w:p w14:paraId="0DF986F9">
      <w:pPr>
        <w:spacing w:line="360" w:lineRule="auto"/>
        <w:ind w:firstLine="480"/>
        <w:jc w:val="both"/>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对标学习先进经验，擦亮南沙政务品牌</w:t>
      </w:r>
    </w:p>
    <w:p w14:paraId="42423F58">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由</w:t>
      </w:r>
      <w:r>
        <w:rPr>
          <w:rFonts w:hint="eastAsia" w:ascii="宋体" w:hAnsi="宋体" w:cs="宋体"/>
          <w:sz w:val="21"/>
          <w:szCs w:val="21"/>
          <w:lang w:val="en-US" w:eastAsia="zh-CN"/>
        </w:rPr>
        <w:t>成交供应商</w:t>
      </w:r>
      <w:r>
        <w:rPr>
          <w:rFonts w:hint="eastAsia" w:ascii="宋体" w:hAnsi="宋体" w:eastAsia="宋体" w:cs="宋体"/>
          <w:kern w:val="0"/>
          <w:sz w:val="21"/>
          <w:szCs w:val="21"/>
          <w:lang w:val="en-US" w:eastAsia="zh-CN"/>
        </w:rPr>
        <w:t>统筹组织，</w:t>
      </w:r>
      <w:r>
        <w:rPr>
          <w:rFonts w:hint="eastAsia" w:ascii="宋体" w:hAnsi="宋体" w:eastAsia="宋体" w:cs="宋体"/>
          <w:kern w:val="0"/>
          <w:sz w:val="21"/>
          <w:szCs w:val="21"/>
        </w:rPr>
        <w:t>以对标学习、查找差距为目的，组建</w:t>
      </w:r>
      <w:r>
        <w:rPr>
          <w:rFonts w:hint="eastAsia" w:ascii="宋体" w:hAnsi="宋体" w:eastAsia="宋体" w:cs="宋体"/>
          <w:kern w:val="0"/>
          <w:sz w:val="21"/>
          <w:szCs w:val="21"/>
          <w:lang w:val="en-US" w:eastAsia="zh-CN"/>
        </w:rPr>
        <w:t>一次考评对象</w:t>
      </w:r>
      <w:r>
        <w:rPr>
          <w:rFonts w:hint="eastAsia" w:ascii="宋体" w:hAnsi="宋体" w:eastAsia="宋体" w:cs="宋体"/>
          <w:kern w:val="0"/>
          <w:sz w:val="21"/>
          <w:szCs w:val="21"/>
        </w:rPr>
        <w:t>团队实地调研</w:t>
      </w:r>
      <w:r>
        <w:rPr>
          <w:rFonts w:hint="eastAsia" w:ascii="宋体" w:hAnsi="宋体" w:eastAsia="宋体" w:cs="宋体"/>
          <w:kern w:val="0"/>
          <w:sz w:val="21"/>
          <w:szCs w:val="21"/>
          <w:lang w:val="en-US" w:eastAsia="zh-CN"/>
        </w:rPr>
        <w:t>别的区域或城市</w:t>
      </w:r>
      <w:r>
        <w:rPr>
          <w:rFonts w:hint="eastAsia" w:ascii="宋体" w:hAnsi="宋体" w:eastAsia="宋体" w:cs="宋体"/>
          <w:kern w:val="0"/>
          <w:sz w:val="21"/>
          <w:szCs w:val="21"/>
        </w:rPr>
        <w:t>学习优化营商环境、政务服务改革经验做法和先进理念，</w:t>
      </w:r>
      <w:r>
        <w:rPr>
          <w:rFonts w:hint="eastAsia" w:ascii="宋体" w:hAnsi="宋体" w:eastAsia="宋体" w:cs="宋体"/>
          <w:kern w:val="0"/>
          <w:sz w:val="21"/>
          <w:szCs w:val="21"/>
          <w:lang w:val="en-US" w:eastAsia="zh-CN"/>
        </w:rPr>
        <w:t>参考</w:t>
      </w:r>
      <w:r>
        <w:rPr>
          <w:rFonts w:hint="eastAsia" w:ascii="宋体" w:hAnsi="宋体" w:eastAsia="宋体" w:cs="宋体"/>
          <w:kern w:val="0"/>
          <w:sz w:val="21"/>
          <w:szCs w:val="21"/>
        </w:rPr>
        <w:t>先进城市政务服务平台建设运营、</w:t>
      </w:r>
      <w:r>
        <w:rPr>
          <w:rFonts w:hint="eastAsia" w:ascii="宋体" w:hAnsi="宋体" w:eastAsia="宋体" w:cs="宋体"/>
          <w:kern w:val="0"/>
          <w:sz w:val="21"/>
          <w:szCs w:val="21"/>
          <w:lang w:val="en-US" w:eastAsia="zh-CN"/>
        </w:rPr>
        <w:t>政务成效和特色亮点，分类梳理总结好经验。</w:t>
      </w:r>
      <w:r>
        <w:rPr>
          <w:rFonts w:hint="eastAsia" w:ascii="宋体" w:hAnsi="宋体" w:eastAsia="宋体" w:cs="宋体"/>
          <w:kern w:val="0"/>
          <w:sz w:val="21"/>
          <w:szCs w:val="21"/>
        </w:rPr>
        <w:t>对标学习</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搜集整理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运用调研成果，形成可复制推广的南沙经验，为南沙政务服务工作提出更多新思路、新点子，推动南沙政务服务水平再上新台阶。</w:t>
      </w:r>
    </w:p>
    <w:p w14:paraId="7728AB50">
      <w:pPr>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三、验收要求</w:t>
      </w:r>
    </w:p>
    <w:p w14:paraId="7B4CFC06">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（一）验收标准：完成项目所有工作的调研报告成果。 </w:t>
      </w:r>
    </w:p>
    <w:p w14:paraId="2670A842">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（二）检查督导：采购人对服务项目进行不定期检查和督导，各成交供应商有义务按采购人要求进行规范化作业。 </w:t>
      </w:r>
    </w:p>
    <w:p w14:paraId="7567AF2F">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（三）验收的时间和地点：工作调研报告成果工作完成后，由成交供应商提出验收申请；地点为广州市。 </w:t>
      </w:r>
    </w:p>
    <w:p w14:paraId="539523E7">
      <w:pPr>
        <w:spacing w:line="360" w:lineRule="auto"/>
        <w:ind w:firstLine="480"/>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（四）验收方法： 由采购人按照国家有关法律法规和行业标准及采购人相关管理办法组织进行审核验收，验收合格后出具验收意见书，不合格由成交供应商进行整改，整改后再申请验收。</w:t>
      </w:r>
    </w:p>
    <w:p w14:paraId="3E3D0097">
      <w:pPr>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四、付款方式</w:t>
      </w:r>
    </w:p>
    <w:p w14:paraId="046B4DF5">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rPr>
        <w:t>1期：支付比例30%,在签订合同的15个工作日内，成交供应商提供正式发票后采购人5个工作日内申请支付成交供应商合同总费用的30%作为启动资金；</w:t>
      </w:r>
    </w:p>
    <w:p w14:paraId="65F34220">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rPr>
        <w:t>2期：支付比例30%,在合同生效8个月后，成交供应商提供正式发票后采购人5个工作日内申请支付成交供应商合同总费用的30%作为项目款项；</w:t>
      </w:r>
    </w:p>
    <w:p w14:paraId="64A6783F">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3期：支付比例40%,成交供应商提交下半年度工作调研报告成果，采购人对该项目工作报告成果验收合格后，成交供应商提供正式发票后采购人5个工作日内申请支付合同总费用的40%剩余款项。 </w:t>
      </w:r>
    </w:p>
    <w:p w14:paraId="477F90AC">
      <w:pPr>
        <w:spacing w:line="360" w:lineRule="auto"/>
        <w:ind w:firstLine="48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（一）成交供应商凭以下有效文件与采购人结算： 1.合同； 2.成交供应商开具的正式发票； 3.成交通知书； 4.其他证明材料。 </w:t>
      </w:r>
    </w:p>
    <w:p w14:paraId="363E930D">
      <w:pPr>
        <w:spacing w:line="360" w:lineRule="auto"/>
        <w:ind w:firstLine="480"/>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rPr>
        <w:t>（二）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4A084AC6">
      <w:pPr>
        <w:adjustRightInd w:val="0"/>
        <w:snapToGrid w:val="0"/>
        <w:spacing w:line="360" w:lineRule="auto"/>
        <w:ind w:firstLine="420" w:firstLineChars="200"/>
        <w:rPr>
          <w:color w:val="auto"/>
        </w:rPr>
      </w:pPr>
    </w:p>
    <w:p w14:paraId="152F6611">
      <w:pPr>
        <w:tabs>
          <w:tab w:val="left" w:pos="900"/>
        </w:tabs>
        <w:autoSpaceDE w:val="0"/>
        <w:autoSpaceDN w:val="0"/>
        <w:adjustRightInd w:val="0"/>
        <w:snapToGrid w:val="0"/>
        <w:spacing w:line="360" w:lineRule="auto"/>
        <w:ind w:firstLine="315" w:firstLineChars="150"/>
        <w:rPr>
          <w:rFonts w:ascii="宋体" w:hAnsi="宋体" w:cs="宋体"/>
          <w:color w:val="auto"/>
        </w:rPr>
      </w:pPr>
      <w:r>
        <w:rPr>
          <w:rFonts w:hint="eastAsia" w:ascii="宋体" w:hAnsi="宋体" w:cs="宋体"/>
          <w:color w:val="auto"/>
          <w:szCs w:val="21"/>
        </w:rPr>
        <w:br w:type="page"/>
      </w:r>
    </w:p>
    <w:p w14:paraId="09AFD662">
      <w:pPr>
        <w:pStyle w:val="2"/>
        <w:spacing w:before="0" w:after="0" w:line="360" w:lineRule="auto"/>
        <w:rPr>
          <w:rFonts w:ascii="宋体" w:hAnsi="宋体" w:cs="宋体"/>
          <w:color w:val="auto"/>
          <w:sz w:val="21"/>
          <w:szCs w:val="21"/>
        </w:rPr>
      </w:pPr>
      <w:bookmarkStart w:id="240" w:name="_Toc29910"/>
      <w:r>
        <w:rPr>
          <w:rFonts w:hint="eastAsia" w:ascii="宋体" w:hAnsi="宋体" w:cs="宋体"/>
          <w:color w:val="auto"/>
        </w:rPr>
        <w:t>第四部分</w:t>
      </w:r>
      <w:r>
        <w:rPr>
          <w:rFonts w:ascii="宋体" w:hAnsi="宋体" w:cs="宋体"/>
          <w:color w:val="auto"/>
        </w:rPr>
        <w:t xml:space="preserve">  评审办法</w:t>
      </w:r>
      <w:bookmarkEnd w:id="240"/>
    </w:p>
    <w:p w14:paraId="2A0E888D">
      <w:pPr>
        <w:numPr>
          <w:ilvl w:val="0"/>
          <w:numId w:val="7"/>
        </w:numPr>
        <w:tabs>
          <w:tab w:val="left" w:pos="567"/>
          <w:tab w:val="clear" w:pos="851"/>
        </w:tabs>
        <w:snapToGrid w:val="0"/>
        <w:spacing w:line="360" w:lineRule="auto"/>
        <w:rPr>
          <w:rFonts w:ascii="宋体" w:hAnsi="宋体" w:cs="宋体"/>
          <w:b/>
          <w:color w:val="auto"/>
          <w:szCs w:val="21"/>
          <w:lang w:eastAsia="zh-TW"/>
        </w:rPr>
      </w:pPr>
      <w:r>
        <w:rPr>
          <w:rFonts w:ascii="宋体" w:hAnsi="宋体" w:cs="宋体"/>
          <w:b/>
          <w:color w:val="auto"/>
          <w:szCs w:val="21"/>
        </w:rPr>
        <w:t>磋商小组</w:t>
      </w:r>
    </w:p>
    <w:p w14:paraId="314C8862">
      <w:pPr>
        <w:tabs>
          <w:tab w:val="left" w:pos="567"/>
        </w:tabs>
        <w:snapToGrid w:val="0"/>
        <w:spacing w:line="360" w:lineRule="auto"/>
        <w:rPr>
          <w:rFonts w:ascii="宋体" w:hAnsi="宋体" w:cs="宋体"/>
          <w:color w:val="auto"/>
          <w:szCs w:val="21"/>
        </w:rPr>
      </w:pPr>
      <w:r>
        <w:rPr>
          <w:rFonts w:ascii="宋体" w:hAnsi="宋体" w:cs="宋体"/>
          <w:color w:val="auto"/>
          <w:szCs w:val="21"/>
        </w:rPr>
        <w:t>1.1本次磋商按照磋商须知前附表规定依法组建磋商小组。</w:t>
      </w:r>
    </w:p>
    <w:p w14:paraId="575AE59F">
      <w:pPr>
        <w:snapToGrid w:val="0"/>
        <w:spacing w:line="360" w:lineRule="auto"/>
        <w:ind w:left="372" w:hanging="371" w:hangingChars="177"/>
        <w:rPr>
          <w:rFonts w:ascii="宋体" w:hAnsi="宋体" w:cs="宋体"/>
          <w:color w:val="auto"/>
          <w:szCs w:val="21"/>
        </w:rPr>
      </w:pPr>
      <w:r>
        <w:rPr>
          <w:rFonts w:ascii="宋体" w:hAnsi="宋体" w:cs="宋体"/>
          <w:color w:val="auto"/>
          <w:szCs w:val="21"/>
        </w:rPr>
        <w:t>1.2磋商小组所有成员集中对</w:t>
      </w:r>
      <w:r>
        <w:rPr>
          <w:rFonts w:hint="eastAsia" w:ascii="宋体" w:hAnsi="宋体" w:cs="宋体"/>
          <w:color w:val="auto"/>
          <w:szCs w:val="21"/>
        </w:rPr>
        <w:t>响应文件</w:t>
      </w:r>
      <w:r>
        <w:rPr>
          <w:rFonts w:ascii="宋体" w:hAnsi="宋体" w:cs="宋体"/>
          <w:color w:val="auto"/>
          <w:szCs w:val="21"/>
        </w:rPr>
        <w:t>进行审查，与每个供应商分别进行先商务技术条件后价格的磋商，本次磋商采用一轮磋商，两次报价形式进行。磋商小组也可视实际情况确定磋商轮次（报价最多不超过3轮），并提交评审报告及推荐</w:t>
      </w:r>
      <w:r>
        <w:rPr>
          <w:rFonts w:hint="eastAsia" w:ascii="宋体" w:hAnsi="宋体" w:cs="宋体"/>
          <w:color w:val="auto"/>
          <w:szCs w:val="21"/>
        </w:rPr>
        <w:t>成交供应商</w:t>
      </w:r>
      <w:r>
        <w:rPr>
          <w:rFonts w:ascii="宋体" w:hAnsi="宋体" w:cs="宋体"/>
          <w:color w:val="auto"/>
          <w:szCs w:val="21"/>
        </w:rPr>
        <w:t>。</w:t>
      </w:r>
    </w:p>
    <w:p w14:paraId="56BA3D00">
      <w:pPr>
        <w:tabs>
          <w:tab w:val="left" w:pos="567"/>
        </w:tabs>
        <w:snapToGrid w:val="0"/>
        <w:spacing w:line="360" w:lineRule="auto"/>
        <w:rPr>
          <w:rFonts w:ascii="宋体" w:hAnsi="宋体" w:cs="宋体"/>
          <w:color w:val="auto"/>
          <w:szCs w:val="21"/>
        </w:rPr>
      </w:pPr>
      <w:r>
        <w:rPr>
          <w:rFonts w:ascii="宋体" w:hAnsi="宋体" w:cs="宋体"/>
          <w:color w:val="auto"/>
          <w:szCs w:val="21"/>
        </w:rPr>
        <w:t>1.3磋商小组名单在磋商结果确定前严格保密。</w:t>
      </w:r>
    </w:p>
    <w:p w14:paraId="74620C7D">
      <w:pPr>
        <w:numPr>
          <w:ilvl w:val="0"/>
          <w:numId w:val="7"/>
        </w:numPr>
        <w:tabs>
          <w:tab w:val="left" w:pos="567"/>
          <w:tab w:val="clear" w:pos="851"/>
        </w:tabs>
        <w:snapToGrid w:val="0"/>
        <w:spacing w:line="360" w:lineRule="auto"/>
        <w:rPr>
          <w:rFonts w:ascii="宋体" w:hAnsi="宋体" w:cs="宋体"/>
          <w:b/>
          <w:color w:val="auto"/>
          <w:szCs w:val="21"/>
          <w:lang w:eastAsia="zh-TW"/>
        </w:rPr>
      </w:pPr>
      <w:r>
        <w:rPr>
          <w:rFonts w:ascii="宋体" w:hAnsi="宋体" w:cs="宋体"/>
          <w:b/>
          <w:color w:val="auto"/>
          <w:szCs w:val="21"/>
        </w:rPr>
        <w:t>评审方法：综合评分法。</w:t>
      </w:r>
    </w:p>
    <w:p w14:paraId="52549F64">
      <w:pPr>
        <w:numPr>
          <w:ilvl w:val="0"/>
          <w:numId w:val="7"/>
        </w:numPr>
        <w:tabs>
          <w:tab w:val="left" w:pos="567"/>
          <w:tab w:val="clear" w:pos="851"/>
        </w:tabs>
        <w:snapToGrid w:val="0"/>
        <w:spacing w:line="360" w:lineRule="auto"/>
        <w:rPr>
          <w:rFonts w:ascii="宋体" w:hAnsi="宋体" w:cs="宋体"/>
          <w:b/>
          <w:color w:val="auto"/>
          <w:szCs w:val="21"/>
          <w:lang w:eastAsia="zh-TW"/>
        </w:rPr>
      </w:pPr>
      <w:r>
        <w:rPr>
          <w:rFonts w:ascii="宋体" w:hAnsi="宋体" w:cs="宋体"/>
          <w:b/>
          <w:color w:val="auto"/>
          <w:szCs w:val="21"/>
        </w:rPr>
        <w:t>评审程序</w:t>
      </w:r>
    </w:p>
    <w:p w14:paraId="1E56ED6D">
      <w:pPr>
        <w:tabs>
          <w:tab w:val="left" w:pos="567"/>
        </w:tabs>
        <w:snapToGrid w:val="0"/>
        <w:spacing w:line="360" w:lineRule="auto"/>
        <w:rPr>
          <w:rFonts w:ascii="宋体" w:hAnsi="宋体" w:cs="宋体"/>
          <w:b/>
          <w:color w:val="auto"/>
          <w:szCs w:val="21"/>
        </w:rPr>
      </w:pPr>
      <w:r>
        <w:rPr>
          <w:rFonts w:ascii="宋体" w:hAnsi="宋体" w:cs="宋体"/>
          <w:b/>
          <w:color w:val="auto"/>
          <w:szCs w:val="21"/>
        </w:rPr>
        <w:t>3.1</w:t>
      </w:r>
      <w:r>
        <w:rPr>
          <w:rFonts w:hint="eastAsia" w:ascii="宋体" w:hAnsi="宋体" w:cs="宋体"/>
          <w:b/>
          <w:color w:val="auto"/>
          <w:szCs w:val="21"/>
        </w:rPr>
        <w:t>确定磋商次序</w:t>
      </w:r>
    </w:p>
    <w:p w14:paraId="64B6264A">
      <w:pPr>
        <w:snapToGrid w:val="0"/>
        <w:spacing w:line="360" w:lineRule="auto"/>
        <w:ind w:left="567" w:leftChars="270"/>
        <w:rPr>
          <w:rFonts w:ascii="宋体" w:hAnsi="宋体" w:cs="宋体"/>
          <w:color w:val="auto"/>
          <w:szCs w:val="21"/>
        </w:rPr>
      </w:pPr>
      <w:r>
        <w:rPr>
          <w:rFonts w:ascii="宋体" w:hAnsi="宋体" w:cs="宋体"/>
          <w:color w:val="auto"/>
          <w:szCs w:val="21"/>
        </w:rPr>
        <w:t>按照供应商签到的先后顺序作为磋商的先后顺序。</w:t>
      </w:r>
    </w:p>
    <w:p w14:paraId="25D11373">
      <w:pPr>
        <w:tabs>
          <w:tab w:val="left" w:pos="567"/>
        </w:tabs>
        <w:snapToGrid w:val="0"/>
        <w:spacing w:line="360" w:lineRule="auto"/>
        <w:rPr>
          <w:rFonts w:ascii="宋体" w:hAnsi="宋体" w:cs="宋体"/>
          <w:b/>
          <w:color w:val="auto"/>
          <w:szCs w:val="21"/>
        </w:rPr>
      </w:pPr>
      <w:r>
        <w:rPr>
          <w:rFonts w:ascii="宋体" w:hAnsi="宋体" w:cs="宋体"/>
          <w:b/>
          <w:color w:val="auto"/>
          <w:szCs w:val="21"/>
        </w:rPr>
        <w:t>3.2磋商小组确认磋商文件</w:t>
      </w:r>
    </w:p>
    <w:p w14:paraId="404D5A12">
      <w:pPr>
        <w:tabs>
          <w:tab w:val="left" w:pos="567"/>
        </w:tabs>
        <w:snapToGrid w:val="0"/>
        <w:spacing w:line="360" w:lineRule="auto"/>
        <w:rPr>
          <w:rFonts w:ascii="宋体" w:hAnsi="宋体" w:cs="宋体"/>
          <w:b/>
          <w:color w:val="auto"/>
          <w:szCs w:val="21"/>
        </w:rPr>
      </w:pPr>
      <w:r>
        <w:rPr>
          <w:rFonts w:ascii="宋体" w:hAnsi="宋体" w:cs="宋体"/>
          <w:b/>
          <w:color w:val="auto"/>
          <w:szCs w:val="21"/>
        </w:rPr>
        <w:t>3.3资格、符合性评审</w:t>
      </w:r>
    </w:p>
    <w:p w14:paraId="5DBF3B85">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磋商小组对每个供应商的</w:t>
      </w:r>
      <w:r>
        <w:rPr>
          <w:rFonts w:hint="eastAsia" w:ascii="宋体" w:hAnsi="宋体" w:cs="宋体"/>
          <w:color w:val="auto"/>
          <w:szCs w:val="21"/>
        </w:rPr>
        <w:t>响应文件</w:t>
      </w:r>
      <w:r>
        <w:rPr>
          <w:rFonts w:ascii="宋体" w:hAnsi="宋体" w:cs="宋体"/>
          <w:color w:val="auto"/>
          <w:szCs w:val="21"/>
        </w:rPr>
        <w:t>进行资格、符合性审查。资格、符合性审查是审查</w:t>
      </w:r>
      <w:r>
        <w:rPr>
          <w:rFonts w:hint="eastAsia" w:ascii="宋体" w:hAnsi="宋体" w:cs="宋体"/>
          <w:color w:val="auto"/>
          <w:szCs w:val="21"/>
        </w:rPr>
        <w:t>响应文件</w:t>
      </w:r>
      <w:r>
        <w:rPr>
          <w:rFonts w:ascii="宋体" w:hAnsi="宋体" w:cs="宋体"/>
          <w:color w:val="auto"/>
          <w:szCs w:val="21"/>
        </w:rPr>
        <w:t>是否对磋商文件作出实质性条款的响应，评审细则详见“附表一：资格性审查表；</w:t>
      </w:r>
      <w:r>
        <w:rPr>
          <w:rFonts w:hint="eastAsia" w:ascii="宋体" w:hAnsi="宋体" w:cs="宋体"/>
          <w:color w:val="auto"/>
          <w:szCs w:val="21"/>
        </w:rPr>
        <w:t>附表二：</w:t>
      </w:r>
      <w:r>
        <w:rPr>
          <w:rFonts w:ascii="宋体" w:hAnsi="宋体" w:cs="宋体"/>
          <w:color w:val="auto"/>
          <w:szCs w:val="21"/>
        </w:rPr>
        <w:t>符合性审查表”。对资格性或符合性检查不通过的供应商，由磋商小组将集体意见现场及时告知该供应商，其</w:t>
      </w:r>
      <w:r>
        <w:rPr>
          <w:rFonts w:hint="eastAsia" w:ascii="宋体" w:hAnsi="宋体" w:cs="宋体"/>
          <w:color w:val="auto"/>
          <w:szCs w:val="21"/>
        </w:rPr>
        <w:t>响应文件</w:t>
      </w:r>
      <w:r>
        <w:rPr>
          <w:rFonts w:ascii="宋体" w:hAnsi="宋体" w:cs="宋体"/>
          <w:color w:val="auto"/>
          <w:szCs w:val="21"/>
        </w:rPr>
        <w:t>作无效处理，不参与磋</w:t>
      </w:r>
      <w:r>
        <w:rPr>
          <w:rFonts w:hint="eastAsia" w:ascii="宋体" w:hAnsi="宋体" w:cs="宋体"/>
          <w:color w:val="auto"/>
          <w:szCs w:val="21"/>
        </w:rPr>
        <w:t>商。</w:t>
      </w:r>
    </w:p>
    <w:p w14:paraId="5A040CFD">
      <w:pPr>
        <w:tabs>
          <w:tab w:val="left" w:pos="567"/>
        </w:tabs>
        <w:snapToGrid w:val="0"/>
        <w:spacing w:line="360" w:lineRule="auto"/>
        <w:rPr>
          <w:rFonts w:ascii="宋体" w:hAnsi="宋体" w:cs="宋体"/>
          <w:b/>
          <w:color w:val="auto"/>
          <w:szCs w:val="21"/>
          <w:lang w:eastAsia="zh-TW"/>
        </w:rPr>
      </w:pPr>
      <w:r>
        <w:rPr>
          <w:rFonts w:ascii="宋体" w:hAnsi="宋体" w:cs="宋体"/>
          <w:b/>
          <w:color w:val="auto"/>
          <w:szCs w:val="21"/>
        </w:rPr>
        <w:t>3.4</w:t>
      </w:r>
      <w:r>
        <w:rPr>
          <w:rFonts w:hint="eastAsia" w:ascii="宋体" w:hAnsi="宋体" w:cs="宋体"/>
          <w:b/>
          <w:color w:val="auto"/>
          <w:szCs w:val="21"/>
        </w:rPr>
        <w:t>磋商</w:t>
      </w:r>
    </w:p>
    <w:p w14:paraId="461D7583">
      <w:pPr>
        <w:snapToGrid w:val="0"/>
        <w:spacing w:line="360" w:lineRule="auto"/>
        <w:rPr>
          <w:rFonts w:ascii="宋体" w:hAnsi="宋体" w:cs="宋体"/>
          <w:b/>
          <w:color w:val="auto"/>
          <w:szCs w:val="21"/>
          <w:lang w:eastAsia="zh-TW"/>
        </w:rPr>
      </w:pPr>
      <w:r>
        <w:rPr>
          <w:rFonts w:ascii="宋体" w:hAnsi="宋体" w:cs="宋体"/>
          <w:b/>
          <w:color w:val="auto"/>
          <w:szCs w:val="21"/>
        </w:rPr>
        <w:t>3.4.1磋商文件未发生实质性变动的：</w:t>
      </w:r>
    </w:p>
    <w:p w14:paraId="7AA70FB0">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磋商小组集中与每个供应商分别进行磋商，磋商的内容主要是对</w:t>
      </w:r>
      <w:r>
        <w:rPr>
          <w:rFonts w:hint="eastAsia" w:ascii="宋体" w:hAnsi="宋体" w:cs="宋体"/>
          <w:color w:val="auto"/>
          <w:szCs w:val="21"/>
        </w:rPr>
        <w:t>响应文件</w:t>
      </w:r>
      <w:r>
        <w:rPr>
          <w:rFonts w:ascii="宋体" w:hAnsi="宋体" w:cs="宋体"/>
          <w:color w:val="auto"/>
          <w:szCs w:val="21"/>
        </w:rPr>
        <w:t>的澄清、修正、补充、确认等。供应商磋商结束后，在最终报价表上填上最后报价及有关承诺，并签字确认。如磋商小组没有对磋商文件作实质性变动增加新的需求，后一轮报价不得高于前一轮报价，否则将按响应无效处理。</w:t>
      </w:r>
    </w:p>
    <w:p w14:paraId="54EFA5C4">
      <w:pPr>
        <w:snapToGrid w:val="0"/>
        <w:spacing w:line="360" w:lineRule="auto"/>
        <w:rPr>
          <w:rFonts w:ascii="宋体" w:hAnsi="宋体" w:cs="宋体"/>
          <w:b/>
          <w:color w:val="auto"/>
          <w:szCs w:val="21"/>
          <w:lang w:eastAsia="zh-TW"/>
        </w:rPr>
      </w:pPr>
      <w:r>
        <w:rPr>
          <w:rFonts w:ascii="宋体" w:hAnsi="宋体" w:cs="宋体"/>
          <w:b/>
          <w:color w:val="auto"/>
          <w:szCs w:val="21"/>
        </w:rPr>
        <w:t>3.4.2磋商文件发生实质性变动的：</w:t>
      </w:r>
    </w:p>
    <w:p w14:paraId="5233F1C7">
      <w:pPr>
        <w:snapToGrid w:val="0"/>
        <w:spacing w:line="360" w:lineRule="auto"/>
        <w:ind w:left="567" w:leftChars="270"/>
        <w:rPr>
          <w:rFonts w:ascii="宋体" w:hAnsi="宋体" w:cs="宋体"/>
          <w:b/>
          <w:color w:val="auto"/>
          <w:szCs w:val="21"/>
          <w:lang w:eastAsia="zh-TW"/>
        </w:rPr>
      </w:pPr>
      <w:r>
        <w:rPr>
          <w:rFonts w:hint="eastAsia" w:ascii="宋体" w:hAnsi="宋体" w:cs="宋体"/>
          <w:b/>
          <w:color w:val="auto"/>
          <w:szCs w:val="21"/>
        </w:rPr>
        <w:t>（</w:t>
      </w:r>
      <w:r>
        <w:rPr>
          <w:rFonts w:ascii="宋体" w:hAnsi="宋体" w:cs="宋体"/>
          <w:b/>
          <w:color w:val="auto"/>
          <w:szCs w:val="21"/>
        </w:rPr>
        <w:t>1）书面通知变更内容</w:t>
      </w:r>
    </w:p>
    <w:p w14:paraId="6899856C">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经采购人代表确认后，由磋商小组书面通知所有供应商。对磋商文件作出的实质性变动是磋商文件的有效组成部分。</w:t>
      </w:r>
    </w:p>
    <w:p w14:paraId="7CE70922">
      <w:pPr>
        <w:snapToGrid w:val="0"/>
        <w:spacing w:line="360" w:lineRule="auto"/>
        <w:ind w:left="567" w:leftChars="270"/>
        <w:rPr>
          <w:rFonts w:ascii="宋体" w:hAnsi="宋体" w:cs="宋体"/>
          <w:b/>
          <w:color w:val="auto"/>
          <w:szCs w:val="21"/>
          <w:lang w:eastAsia="zh-TW"/>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）磋商</w:t>
      </w:r>
    </w:p>
    <w:p w14:paraId="3C2D9968">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磋商小组集中与接受磋商文件变更的每个供应商分别进行磋商，并形成磋商纪要。磋商的内容主要是对</w:t>
      </w:r>
      <w:r>
        <w:rPr>
          <w:rFonts w:hint="eastAsia" w:ascii="宋体" w:hAnsi="宋体" w:cs="宋体"/>
          <w:color w:val="auto"/>
          <w:szCs w:val="21"/>
        </w:rPr>
        <w:t>响应文件</w:t>
      </w:r>
      <w:r>
        <w:rPr>
          <w:rFonts w:ascii="宋体" w:hAnsi="宋体" w:cs="宋体"/>
          <w:color w:val="auto"/>
          <w:szCs w:val="21"/>
        </w:rPr>
        <w:t>的澄清、修正、补充、确认等。不接受磋商文件变更的供应商，视为自动退出磋商，其</w:t>
      </w:r>
      <w:r>
        <w:rPr>
          <w:rFonts w:hint="eastAsia" w:ascii="宋体" w:hAnsi="宋体" w:cs="宋体"/>
          <w:color w:val="auto"/>
          <w:szCs w:val="21"/>
        </w:rPr>
        <w:t>响应文件</w:t>
      </w:r>
      <w:r>
        <w:rPr>
          <w:rFonts w:ascii="宋体" w:hAnsi="宋体" w:cs="宋体"/>
          <w:color w:val="auto"/>
          <w:szCs w:val="21"/>
        </w:rPr>
        <w:t>作无效处理。</w:t>
      </w:r>
    </w:p>
    <w:p w14:paraId="42759E1F">
      <w:pPr>
        <w:snapToGrid w:val="0"/>
        <w:spacing w:line="360" w:lineRule="auto"/>
        <w:ind w:left="567" w:leftChars="27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3）重新提交</w:t>
      </w:r>
      <w:r>
        <w:rPr>
          <w:rFonts w:hint="eastAsia" w:ascii="宋体" w:hAnsi="宋体" w:cs="宋体"/>
          <w:b/>
          <w:color w:val="auto"/>
          <w:szCs w:val="21"/>
        </w:rPr>
        <w:t>响应文件</w:t>
      </w:r>
      <w:r>
        <w:rPr>
          <w:rFonts w:ascii="宋体" w:hAnsi="宋体" w:cs="宋体"/>
          <w:b/>
          <w:color w:val="auto"/>
          <w:szCs w:val="21"/>
        </w:rPr>
        <w:t>（含报价）</w:t>
      </w:r>
    </w:p>
    <w:p w14:paraId="494AA09E">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供应商应当按照磋商文件的变动情况和磋商小组的要求重新提交</w:t>
      </w:r>
      <w:r>
        <w:rPr>
          <w:rFonts w:hint="eastAsia" w:ascii="宋体" w:hAnsi="宋体" w:cs="宋体"/>
          <w:color w:val="auto"/>
          <w:szCs w:val="21"/>
        </w:rPr>
        <w:t>响应文件</w:t>
      </w:r>
      <w:r>
        <w:rPr>
          <w:rFonts w:ascii="宋体" w:hAnsi="宋体" w:cs="宋体"/>
          <w:color w:val="auto"/>
          <w:szCs w:val="21"/>
        </w:rPr>
        <w:t>（指磋商结束后，在规定时间内填写《磋商纪要》，在该文件上注明最后报价及有关承诺，并提交）。最终报价时间视磋商进程由磋商小组决定</w:t>
      </w:r>
      <w:r>
        <w:rPr>
          <w:rFonts w:hint="eastAsia" w:ascii="宋体" w:hAnsi="宋体" w:cs="宋体"/>
          <w:color w:val="auto"/>
          <w:szCs w:val="21"/>
        </w:rPr>
        <w:t>。</w:t>
      </w:r>
      <w:r>
        <w:rPr>
          <w:rFonts w:ascii="宋体" w:hAnsi="宋体" w:cs="宋体"/>
          <w:color w:val="auto"/>
          <w:szCs w:val="21"/>
        </w:rPr>
        <w:t>《磋商纪要》是</w:t>
      </w:r>
      <w:r>
        <w:rPr>
          <w:rFonts w:hint="eastAsia" w:ascii="宋体" w:hAnsi="宋体" w:cs="宋体"/>
          <w:color w:val="auto"/>
          <w:szCs w:val="21"/>
        </w:rPr>
        <w:t>响应文件</w:t>
      </w:r>
      <w:r>
        <w:rPr>
          <w:rFonts w:ascii="宋体" w:hAnsi="宋体" w:cs="宋体"/>
          <w:color w:val="auto"/>
          <w:szCs w:val="21"/>
        </w:rPr>
        <w:t>的有效组成部分，须由其法定代表人或授权代表签字或者加盖公章。由授权代表签字的，应当附法定代表人授权书。供应商为自然人的，应当由本人签字并附身份证明。</w:t>
      </w:r>
    </w:p>
    <w:p w14:paraId="1AA5FAAE">
      <w:pPr>
        <w:snapToGrid w:val="0"/>
        <w:spacing w:line="360" w:lineRule="auto"/>
        <w:ind w:left="567" w:leftChars="270"/>
        <w:rPr>
          <w:rFonts w:ascii="宋体" w:hAnsi="宋体" w:cs="宋体"/>
          <w:color w:val="auto"/>
          <w:szCs w:val="21"/>
          <w:lang w:eastAsia="zh-TW"/>
        </w:rPr>
      </w:pPr>
      <w:r>
        <w:rPr>
          <w:rFonts w:ascii="宋体" w:hAnsi="宋体" w:cs="宋体"/>
          <w:color w:val="auto"/>
          <w:szCs w:val="21"/>
        </w:rPr>
        <w:t>若供应商未按《磋商纪要》的要求对相关问题进行响应的，视为非实质性响应磋商文件。</w:t>
      </w:r>
    </w:p>
    <w:p w14:paraId="302E8A9C">
      <w:pPr>
        <w:tabs>
          <w:tab w:val="left" w:pos="567"/>
        </w:tabs>
        <w:snapToGrid w:val="0"/>
        <w:spacing w:line="360" w:lineRule="auto"/>
        <w:rPr>
          <w:rFonts w:ascii="宋体" w:hAnsi="宋体" w:cs="宋体"/>
          <w:b/>
          <w:color w:val="auto"/>
          <w:szCs w:val="21"/>
        </w:rPr>
      </w:pPr>
      <w:r>
        <w:rPr>
          <w:rFonts w:ascii="宋体" w:hAnsi="宋体" w:cs="宋体"/>
          <w:b/>
          <w:color w:val="auto"/>
          <w:szCs w:val="21"/>
        </w:rPr>
        <w:t>3.2最终报价</w:t>
      </w:r>
    </w:p>
    <w:p w14:paraId="5246E707">
      <w:pPr>
        <w:snapToGrid w:val="0"/>
        <w:spacing w:line="360" w:lineRule="auto"/>
        <w:ind w:left="567" w:leftChars="270"/>
        <w:rPr>
          <w:rFonts w:ascii="宋体" w:hAnsi="宋体" w:cs="宋体"/>
          <w:color w:val="auto"/>
          <w:szCs w:val="21"/>
        </w:rPr>
      </w:pPr>
      <w:r>
        <w:rPr>
          <w:rFonts w:ascii="宋体" w:hAnsi="宋体" w:cs="宋体"/>
          <w:color w:val="auto"/>
          <w:szCs w:val="21"/>
        </w:rPr>
        <w:t>除非在磋商中磋商小组调整或修改采购需求内容，否则采购人不接受高于前面轮次磋商报价的最终报价。</w:t>
      </w:r>
    </w:p>
    <w:p w14:paraId="672E03D7">
      <w:pPr>
        <w:tabs>
          <w:tab w:val="left" w:pos="567"/>
        </w:tabs>
        <w:snapToGrid w:val="0"/>
        <w:spacing w:line="360" w:lineRule="auto"/>
        <w:rPr>
          <w:rFonts w:ascii="宋体" w:hAnsi="宋体" w:cs="宋体"/>
          <w:b/>
          <w:color w:val="auto"/>
          <w:szCs w:val="21"/>
        </w:rPr>
      </w:pPr>
      <w:r>
        <w:rPr>
          <w:rFonts w:ascii="宋体" w:hAnsi="宋体" w:cs="宋体"/>
          <w:b/>
          <w:color w:val="auto"/>
          <w:szCs w:val="21"/>
        </w:rPr>
        <w:t>3.3最终方案评审</w:t>
      </w:r>
      <w:r>
        <w:rPr>
          <w:rFonts w:hint="eastAsia" w:ascii="宋体" w:hAnsi="宋体" w:cs="宋体"/>
          <w:b/>
          <w:color w:val="auto"/>
          <w:szCs w:val="21"/>
        </w:rPr>
        <w:t xml:space="preserve"> </w:t>
      </w:r>
    </w:p>
    <w:p w14:paraId="33F7739F">
      <w:pPr>
        <w:snapToGrid w:val="0"/>
        <w:spacing w:line="360" w:lineRule="auto"/>
        <w:rPr>
          <w:rFonts w:ascii="宋体" w:hAnsi="宋体" w:cs="宋体"/>
          <w:color w:val="auto"/>
          <w:szCs w:val="21"/>
        </w:rPr>
      </w:pPr>
      <w:r>
        <w:rPr>
          <w:rFonts w:ascii="宋体" w:hAnsi="宋体" w:cs="宋体"/>
          <w:b/>
          <w:color w:val="auto"/>
          <w:szCs w:val="21"/>
        </w:rPr>
        <w:t>3.3.1</w:t>
      </w:r>
      <w:r>
        <w:rPr>
          <w:rFonts w:ascii="宋体" w:hAnsi="宋体" w:cs="宋体"/>
          <w:color w:val="auto"/>
          <w:szCs w:val="21"/>
        </w:rPr>
        <w:t>综合评分法评审步骤</w:t>
      </w:r>
    </w:p>
    <w:p w14:paraId="2C980E9E">
      <w:pPr>
        <w:snapToGrid w:val="0"/>
        <w:spacing w:line="360" w:lineRule="auto"/>
        <w:ind w:firstLine="420" w:firstLineChars="200"/>
        <w:rPr>
          <w:rFonts w:ascii="宋体" w:hAnsi="宋体" w:cs="宋体"/>
          <w:color w:val="auto"/>
          <w:szCs w:val="21"/>
        </w:rPr>
      </w:pPr>
      <w:r>
        <w:rPr>
          <w:rFonts w:ascii="宋体" w:hAnsi="宋体" w:cs="宋体"/>
          <w:color w:val="auto"/>
          <w:szCs w:val="21"/>
        </w:rPr>
        <w:t>经磋商确定最终采购需求和提交最后报价的供应商后，由磋商小组采用综合评分法对提交最后报价的供应商的</w:t>
      </w:r>
      <w:r>
        <w:rPr>
          <w:rFonts w:hint="eastAsia" w:ascii="宋体" w:hAnsi="宋体" w:cs="宋体"/>
          <w:color w:val="auto"/>
          <w:szCs w:val="21"/>
        </w:rPr>
        <w:t>响应文件</w:t>
      </w:r>
      <w:r>
        <w:rPr>
          <w:rFonts w:ascii="宋体" w:hAnsi="宋体" w:cs="宋体"/>
          <w:color w:val="auto"/>
          <w:szCs w:val="21"/>
        </w:rPr>
        <w:t>和最后报价进行综合评分。</w:t>
      </w:r>
      <w:r>
        <w:rPr>
          <w:rFonts w:ascii="宋体" w:hAnsi="宋体" w:cs="宋体"/>
          <w:b/>
          <w:color w:val="auto"/>
          <w:szCs w:val="21"/>
        </w:rPr>
        <w:t>先进行资格性、符合性检查，再进行技术、商务及价格</w:t>
      </w:r>
      <w:r>
        <w:rPr>
          <w:rFonts w:hint="eastAsia" w:ascii="宋体" w:hAnsi="宋体" w:cs="宋体"/>
          <w:b/>
          <w:color w:val="auto"/>
          <w:szCs w:val="21"/>
          <w:lang w:eastAsia="zh-CN"/>
        </w:rPr>
        <w:t>、</w:t>
      </w:r>
      <w:r>
        <w:rPr>
          <w:rFonts w:hint="eastAsia" w:ascii="宋体" w:hAnsi="宋体" w:cs="宋体"/>
          <w:b/>
          <w:color w:val="auto"/>
          <w:szCs w:val="21"/>
        </w:rPr>
        <w:t>综合信用分</w:t>
      </w:r>
      <w:r>
        <w:rPr>
          <w:rFonts w:ascii="宋体" w:hAnsi="宋体" w:cs="宋体"/>
          <w:b/>
          <w:color w:val="auto"/>
          <w:szCs w:val="21"/>
        </w:rPr>
        <w:t>的详细评审。</w:t>
      </w:r>
      <w:r>
        <w:rPr>
          <w:rFonts w:ascii="宋体" w:hAnsi="宋体" w:cs="宋体"/>
          <w:color w:val="auto"/>
          <w:szCs w:val="21"/>
        </w:rPr>
        <w:t>只有通过资格性、符合性评审的供应商才能进入下一步的详细评审。</w:t>
      </w:r>
    </w:p>
    <w:p w14:paraId="62169FF9">
      <w:pPr>
        <w:numPr>
          <w:ilvl w:val="1"/>
          <w:numId w:val="8"/>
        </w:numPr>
        <w:spacing w:line="360" w:lineRule="auto"/>
        <w:ind w:left="748" w:hanging="28"/>
        <w:rPr>
          <w:rFonts w:ascii="宋体" w:hAnsi="宋体" w:cs="宋体"/>
          <w:color w:val="auto"/>
          <w:szCs w:val="21"/>
        </w:rPr>
      </w:pPr>
      <w:r>
        <w:rPr>
          <w:rFonts w:ascii="宋体" w:hAnsi="宋体" w:cs="宋体"/>
          <w:color w:val="auto"/>
          <w:szCs w:val="21"/>
        </w:rPr>
        <w:t>资格性审查表（详见附表一）</w:t>
      </w:r>
    </w:p>
    <w:p w14:paraId="3D8B8800">
      <w:pPr>
        <w:numPr>
          <w:ilvl w:val="1"/>
          <w:numId w:val="8"/>
        </w:numPr>
        <w:spacing w:line="360" w:lineRule="auto"/>
        <w:ind w:left="748" w:hanging="28"/>
        <w:rPr>
          <w:rFonts w:ascii="宋体" w:hAnsi="宋体" w:cs="宋体"/>
          <w:color w:val="auto"/>
          <w:szCs w:val="21"/>
        </w:rPr>
      </w:pPr>
      <w:r>
        <w:rPr>
          <w:rFonts w:ascii="宋体" w:hAnsi="宋体" w:cs="宋体"/>
          <w:color w:val="auto"/>
          <w:szCs w:val="21"/>
        </w:rPr>
        <w:t>符合性审查表（详见附表二）</w:t>
      </w:r>
    </w:p>
    <w:p w14:paraId="74092E91">
      <w:pPr>
        <w:numPr>
          <w:ilvl w:val="1"/>
          <w:numId w:val="8"/>
        </w:numPr>
        <w:spacing w:line="360" w:lineRule="auto"/>
        <w:ind w:left="748" w:hanging="28"/>
        <w:rPr>
          <w:rFonts w:ascii="宋体" w:hAnsi="宋体" w:cs="宋体"/>
          <w:color w:val="auto"/>
          <w:szCs w:val="21"/>
        </w:rPr>
      </w:pPr>
      <w:r>
        <w:rPr>
          <w:rFonts w:ascii="宋体" w:hAnsi="宋体" w:cs="宋体"/>
          <w:color w:val="auto"/>
          <w:szCs w:val="21"/>
        </w:rPr>
        <w:t>技术评审表（详见附表三）</w:t>
      </w:r>
    </w:p>
    <w:p w14:paraId="4B4B8F84">
      <w:pPr>
        <w:numPr>
          <w:ilvl w:val="1"/>
          <w:numId w:val="8"/>
        </w:numPr>
        <w:spacing w:line="360" w:lineRule="auto"/>
        <w:ind w:left="748" w:hanging="28"/>
        <w:rPr>
          <w:rFonts w:ascii="宋体" w:hAnsi="宋体" w:cs="宋体"/>
          <w:color w:val="auto"/>
          <w:szCs w:val="21"/>
        </w:rPr>
      </w:pPr>
      <w:r>
        <w:rPr>
          <w:rFonts w:ascii="宋体" w:hAnsi="宋体" w:cs="宋体"/>
          <w:color w:val="auto"/>
          <w:szCs w:val="21"/>
        </w:rPr>
        <w:t>商务评审表（详见附表四）</w:t>
      </w:r>
    </w:p>
    <w:p w14:paraId="19FFE1C6">
      <w:pPr>
        <w:snapToGrid w:val="0"/>
        <w:spacing w:line="360" w:lineRule="auto"/>
        <w:rPr>
          <w:rFonts w:ascii="宋体" w:hAnsi="宋体" w:cs="宋体"/>
          <w:b/>
          <w:color w:val="auto"/>
          <w:szCs w:val="21"/>
        </w:rPr>
      </w:pPr>
      <w:r>
        <w:rPr>
          <w:rFonts w:ascii="宋体" w:hAnsi="宋体" w:cs="宋体"/>
          <w:b/>
          <w:color w:val="auto"/>
          <w:szCs w:val="21"/>
        </w:rPr>
        <w:t>3.3.2比较与评价</w:t>
      </w:r>
    </w:p>
    <w:p w14:paraId="2A0AB191">
      <w:pPr>
        <w:snapToGrid w:val="0"/>
        <w:spacing w:line="360" w:lineRule="auto"/>
        <w:ind w:firstLine="420" w:firstLineChars="200"/>
        <w:rPr>
          <w:rFonts w:ascii="宋体" w:hAnsi="宋体" w:cs="宋体"/>
          <w:b/>
          <w:color w:val="auto"/>
          <w:szCs w:val="21"/>
          <w:lang w:eastAsia="zh-TW"/>
        </w:rPr>
      </w:pPr>
      <w:r>
        <w:rPr>
          <w:rFonts w:ascii="宋体" w:hAnsi="宋体" w:cs="宋体"/>
          <w:color w:val="auto"/>
          <w:szCs w:val="21"/>
        </w:rPr>
        <w:t>磋商小组按磋商文件中规定的评审方法和标准，对资格性审查和符合性审查合格的</w:t>
      </w:r>
      <w:r>
        <w:rPr>
          <w:rFonts w:hint="eastAsia" w:ascii="宋体" w:hAnsi="宋体" w:cs="宋体"/>
          <w:color w:val="auto"/>
          <w:szCs w:val="21"/>
        </w:rPr>
        <w:t>响应文件</w:t>
      </w:r>
      <w:r>
        <w:rPr>
          <w:rFonts w:ascii="宋体" w:hAnsi="宋体" w:cs="宋体"/>
          <w:color w:val="auto"/>
          <w:szCs w:val="21"/>
        </w:rPr>
        <w:t>进行商务和技术评估，综合比较与评价。技术、商务、价格</w:t>
      </w:r>
      <w:r>
        <w:rPr>
          <w:rFonts w:hint="eastAsia" w:ascii="宋体" w:hAnsi="宋体" w:cs="宋体"/>
          <w:color w:val="auto"/>
          <w:szCs w:val="21"/>
          <w:lang w:eastAsia="zh-CN"/>
        </w:rPr>
        <w:t>、综合信用分</w:t>
      </w:r>
      <w:r>
        <w:rPr>
          <w:rFonts w:ascii="宋体" w:hAnsi="宋体" w:cs="宋体"/>
          <w:color w:val="auto"/>
          <w:szCs w:val="21"/>
        </w:rPr>
        <w:t>部分分值分配如下：</w:t>
      </w:r>
    </w:p>
    <w:tbl>
      <w:tblPr>
        <w:tblStyle w:val="27"/>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89"/>
        <w:gridCol w:w="1701"/>
        <w:gridCol w:w="1701"/>
        <w:gridCol w:w="1609"/>
        <w:gridCol w:w="1609"/>
      </w:tblGrid>
      <w:tr w14:paraId="4704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6E852A7D">
            <w:pPr>
              <w:autoSpaceDE w:val="0"/>
              <w:autoSpaceDN w:val="0"/>
              <w:adjustRightInd w:val="0"/>
              <w:spacing w:line="360" w:lineRule="auto"/>
              <w:jc w:val="center"/>
              <w:rPr>
                <w:rFonts w:ascii="宋体" w:hAnsi="宋体" w:cs="宋体"/>
                <w:b/>
                <w:color w:val="auto"/>
                <w:kern w:val="0"/>
                <w:szCs w:val="21"/>
              </w:rPr>
            </w:pPr>
            <w:r>
              <w:rPr>
                <w:rFonts w:ascii="宋体" w:hAnsi="宋体" w:cs="宋体"/>
                <w:b/>
                <w:color w:val="auto"/>
                <w:kern w:val="0"/>
                <w:szCs w:val="21"/>
              </w:rPr>
              <w:t>评分项目</w:t>
            </w:r>
          </w:p>
        </w:tc>
        <w:tc>
          <w:tcPr>
            <w:tcW w:w="1889" w:type="dxa"/>
            <w:vAlign w:val="center"/>
          </w:tcPr>
          <w:p w14:paraId="0E78AA48">
            <w:pPr>
              <w:autoSpaceDE w:val="0"/>
              <w:autoSpaceDN w:val="0"/>
              <w:adjustRightInd w:val="0"/>
              <w:spacing w:line="360" w:lineRule="auto"/>
              <w:jc w:val="center"/>
              <w:rPr>
                <w:rFonts w:ascii="宋体" w:hAnsi="宋体" w:cs="宋体"/>
                <w:b/>
                <w:color w:val="auto"/>
                <w:kern w:val="0"/>
                <w:szCs w:val="21"/>
              </w:rPr>
            </w:pPr>
            <w:r>
              <w:rPr>
                <w:rFonts w:ascii="宋体" w:hAnsi="宋体" w:cs="宋体"/>
                <w:b/>
                <w:color w:val="auto"/>
                <w:kern w:val="0"/>
                <w:szCs w:val="21"/>
              </w:rPr>
              <w:t>技术评</w:t>
            </w:r>
            <w:r>
              <w:rPr>
                <w:rFonts w:hint="eastAsia" w:ascii="宋体" w:hAnsi="宋体" w:cs="宋体"/>
                <w:b/>
                <w:color w:val="auto"/>
                <w:kern w:val="0"/>
                <w:szCs w:val="21"/>
              </w:rPr>
              <w:t>分</w:t>
            </w:r>
          </w:p>
        </w:tc>
        <w:tc>
          <w:tcPr>
            <w:tcW w:w="1701" w:type="dxa"/>
            <w:vAlign w:val="center"/>
          </w:tcPr>
          <w:p w14:paraId="220D562D">
            <w:pPr>
              <w:autoSpaceDE w:val="0"/>
              <w:autoSpaceDN w:val="0"/>
              <w:adjustRightInd w:val="0"/>
              <w:spacing w:line="360" w:lineRule="auto"/>
              <w:jc w:val="center"/>
              <w:rPr>
                <w:rFonts w:ascii="宋体" w:hAnsi="宋体" w:cs="宋体"/>
                <w:b/>
                <w:color w:val="auto"/>
                <w:kern w:val="0"/>
                <w:szCs w:val="21"/>
              </w:rPr>
            </w:pPr>
            <w:r>
              <w:rPr>
                <w:rFonts w:ascii="宋体" w:hAnsi="宋体" w:cs="宋体"/>
                <w:b/>
                <w:color w:val="auto"/>
                <w:kern w:val="0"/>
                <w:szCs w:val="21"/>
              </w:rPr>
              <w:t>商务评分</w:t>
            </w:r>
          </w:p>
        </w:tc>
        <w:tc>
          <w:tcPr>
            <w:tcW w:w="1701" w:type="dxa"/>
            <w:vAlign w:val="center"/>
          </w:tcPr>
          <w:p w14:paraId="702CD518">
            <w:pPr>
              <w:autoSpaceDE w:val="0"/>
              <w:autoSpaceDN w:val="0"/>
              <w:adjustRightInd w:val="0"/>
              <w:spacing w:line="360" w:lineRule="auto"/>
              <w:ind w:left="1" w:leftChars="-51" w:hanging="108" w:hangingChars="51"/>
              <w:jc w:val="center"/>
              <w:rPr>
                <w:rFonts w:ascii="宋体" w:hAnsi="宋体" w:cs="宋体"/>
                <w:b/>
                <w:color w:val="auto"/>
                <w:kern w:val="0"/>
                <w:szCs w:val="21"/>
              </w:rPr>
            </w:pPr>
            <w:r>
              <w:rPr>
                <w:rFonts w:ascii="宋体" w:hAnsi="宋体" w:cs="宋体"/>
                <w:b/>
                <w:color w:val="auto"/>
                <w:kern w:val="0"/>
                <w:szCs w:val="21"/>
              </w:rPr>
              <w:t>价格评分</w:t>
            </w:r>
          </w:p>
        </w:tc>
        <w:tc>
          <w:tcPr>
            <w:tcW w:w="1609" w:type="dxa"/>
            <w:vAlign w:val="center"/>
          </w:tcPr>
          <w:p w14:paraId="66212775">
            <w:pPr>
              <w:spacing w:line="360" w:lineRule="auto"/>
              <w:jc w:val="center"/>
              <w:rPr>
                <w:rFonts w:ascii="宋体" w:hAnsi="宋体" w:cs="宋体"/>
                <w:b/>
                <w:color w:val="auto"/>
                <w:szCs w:val="21"/>
              </w:rPr>
            </w:pPr>
            <w:r>
              <w:rPr>
                <w:rFonts w:hint="eastAsia" w:ascii="宋体" w:hAnsi="宋体" w:cs="宋体"/>
                <w:b/>
                <w:color w:val="auto"/>
                <w:szCs w:val="21"/>
              </w:rPr>
              <w:t>综合信用分</w:t>
            </w:r>
          </w:p>
        </w:tc>
        <w:tc>
          <w:tcPr>
            <w:tcW w:w="1609" w:type="dxa"/>
            <w:vAlign w:val="center"/>
          </w:tcPr>
          <w:p w14:paraId="7ED285D9">
            <w:pPr>
              <w:spacing w:line="360" w:lineRule="auto"/>
              <w:jc w:val="center"/>
              <w:rPr>
                <w:rFonts w:ascii="宋体" w:hAnsi="宋体" w:cs="宋体"/>
                <w:b/>
                <w:color w:val="auto"/>
                <w:szCs w:val="21"/>
              </w:rPr>
            </w:pPr>
            <w:r>
              <w:rPr>
                <w:rFonts w:ascii="宋体" w:hAnsi="宋体" w:cs="宋体"/>
                <w:b/>
                <w:color w:val="auto"/>
                <w:szCs w:val="21"/>
              </w:rPr>
              <w:t>合计</w:t>
            </w:r>
          </w:p>
        </w:tc>
      </w:tr>
      <w:tr w14:paraId="123E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1EED1E86">
            <w:pPr>
              <w:autoSpaceDE w:val="0"/>
              <w:autoSpaceDN w:val="0"/>
              <w:adjustRightInd w:val="0"/>
              <w:spacing w:line="360" w:lineRule="auto"/>
              <w:jc w:val="center"/>
              <w:rPr>
                <w:rFonts w:ascii="宋体" w:hAnsi="宋体" w:cs="宋体"/>
                <w:b/>
                <w:color w:val="auto"/>
                <w:kern w:val="0"/>
                <w:szCs w:val="21"/>
              </w:rPr>
            </w:pPr>
            <w:r>
              <w:rPr>
                <w:rFonts w:ascii="宋体" w:hAnsi="宋体" w:cs="宋体"/>
                <w:b/>
                <w:color w:val="auto"/>
                <w:kern w:val="0"/>
                <w:szCs w:val="21"/>
              </w:rPr>
              <w:t>权重</w:t>
            </w:r>
          </w:p>
        </w:tc>
        <w:tc>
          <w:tcPr>
            <w:tcW w:w="1889" w:type="dxa"/>
            <w:vAlign w:val="center"/>
          </w:tcPr>
          <w:p w14:paraId="354577CE">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szCs w:val="21"/>
                <w:lang w:val="en-US" w:eastAsia="zh-CN"/>
              </w:rPr>
              <w:t>50</w:t>
            </w:r>
            <w:r>
              <w:rPr>
                <w:rFonts w:ascii="宋体" w:hAnsi="宋体" w:cs="宋体"/>
                <w:b/>
                <w:color w:val="auto"/>
                <w:szCs w:val="21"/>
              </w:rPr>
              <w:t>%</w:t>
            </w:r>
          </w:p>
        </w:tc>
        <w:tc>
          <w:tcPr>
            <w:tcW w:w="1701" w:type="dxa"/>
            <w:vAlign w:val="center"/>
          </w:tcPr>
          <w:p w14:paraId="32262A23">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szCs w:val="21"/>
                <w:lang w:val="en-US" w:eastAsia="zh-CN"/>
              </w:rPr>
              <w:t>35</w:t>
            </w:r>
            <w:r>
              <w:rPr>
                <w:rFonts w:ascii="宋体" w:hAnsi="宋体" w:cs="宋体"/>
                <w:b/>
                <w:color w:val="auto"/>
                <w:szCs w:val="21"/>
              </w:rPr>
              <w:t>%</w:t>
            </w:r>
          </w:p>
        </w:tc>
        <w:tc>
          <w:tcPr>
            <w:tcW w:w="1701" w:type="dxa"/>
            <w:vAlign w:val="center"/>
          </w:tcPr>
          <w:p w14:paraId="59821B3D">
            <w:pPr>
              <w:autoSpaceDE w:val="0"/>
              <w:autoSpaceDN w:val="0"/>
              <w:adjustRightInd w:val="0"/>
              <w:spacing w:line="360" w:lineRule="auto"/>
              <w:ind w:left="1" w:leftChars="-51" w:hanging="108" w:hangingChars="51"/>
              <w:jc w:val="center"/>
              <w:rPr>
                <w:rFonts w:ascii="宋体" w:hAnsi="宋体" w:cs="宋体"/>
                <w:b/>
                <w:color w:val="auto"/>
                <w:kern w:val="0"/>
                <w:szCs w:val="21"/>
              </w:rPr>
            </w:pPr>
            <w:r>
              <w:rPr>
                <w:rFonts w:hint="eastAsia" w:ascii="宋体" w:hAnsi="宋体" w:cs="宋体"/>
                <w:b/>
                <w:color w:val="auto"/>
                <w:szCs w:val="21"/>
                <w:lang w:val="en-US" w:eastAsia="zh-CN"/>
              </w:rPr>
              <w:t>10</w:t>
            </w:r>
            <w:r>
              <w:rPr>
                <w:rFonts w:ascii="宋体" w:hAnsi="宋体" w:cs="宋体"/>
                <w:b/>
                <w:color w:val="auto"/>
                <w:szCs w:val="21"/>
              </w:rPr>
              <w:t>%</w:t>
            </w:r>
          </w:p>
        </w:tc>
        <w:tc>
          <w:tcPr>
            <w:tcW w:w="1609" w:type="dxa"/>
            <w:vAlign w:val="center"/>
          </w:tcPr>
          <w:p w14:paraId="0A4EB757">
            <w:pPr>
              <w:spacing w:line="360" w:lineRule="auto"/>
              <w:jc w:val="center"/>
              <w:rPr>
                <w:rFonts w:ascii="宋体" w:hAnsi="宋体" w:cs="宋体"/>
                <w:b/>
                <w:color w:val="auto"/>
                <w:szCs w:val="21"/>
              </w:rPr>
            </w:pPr>
            <w:r>
              <w:rPr>
                <w:rFonts w:hint="eastAsia" w:ascii="宋体" w:hAnsi="宋体" w:cs="宋体"/>
                <w:b/>
                <w:color w:val="auto"/>
                <w:szCs w:val="21"/>
                <w:lang w:val="en-US" w:eastAsia="zh-CN"/>
              </w:rPr>
              <w:t>5</w:t>
            </w:r>
            <w:r>
              <w:rPr>
                <w:rFonts w:ascii="宋体" w:hAnsi="宋体" w:cs="宋体"/>
                <w:b/>
                <w:color w:val="auto"/>
                <w:szCs w:val="21"/>
              </w:rPr>
              <w:t>%</w:t>
            </w:r>
          </w:p>
        </w:tc>
        <w:tc>
          <w:tcPr>
            <w:tcW w:w="1609" w:type="dxa"/>
            <w:vAlign w:val="center"/>
          </w:tcPr>
          <w:p w14:paraId="2282C203">
            <w:pPr>
              <w:spacing w:line="360" w:lineRule="auto"/>
              <w:jc w:val="center"/>
              <w:rPr>
                <w:rFonts w:ascii="宋体" w:hAnsi="宋体" w:cs="宋体"/>
                <w:b/>
                <w:color w:val="auto"/>
                <w:szCs w:val="21"/>
              </w:rPr>
            </w:pPr>
            <w:r>
              <w:rPr>
                <w:rFonts w:ascii="宋体" w:hAnsi="宋体" w:cs="宋体"/>
                <w:b/>
                <w:color w:val="auto"/>
                <w:szCs w:val="21"/>
              </w:rPr>
              <w:t>100%</w:t>
            </w:r>
          </w:p>
        </w:tc>
      </w:tr>
      <w:tr w14:paraId="302A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6AFB1522">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分值</w:t>
            </w:r>
          </w:p>
        </w:tc>
        <w:tc>
          <w:tcPr>
            <w:tcW w:w="1889" w:type="dxa"/>
            <w:vAlign w:val="center"/>
          </w:tcPr>
          <w:p w14:paraId="678FF099">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lang w:val="en-US" w:eastAsia="zh-CN"/>
              </w:rPr>
              <w:t>50</w:t>
            </w:r>
            <w:r>
              <w:rPr>
                <w:rFonts w:hint="eastAsia" w:ascii="宋体" w:hAnsi="宋体" w:cs="宋体"/>
                <w:b/>
                <w:color w:val="auto"/>
                <w:szCs w:val="21"/>
              </w:rPr>
              <w:t>分</w:t>
            </w:r>
          </w:p>
        </w:tc>
        <w:tc>
          <w:tcPr>
            <w:tcW w:w="1701" w:type="dxa"/>
            <w:vAlign w:val="center"/>
          </w:tcPr>
          <w:p w14:paraId="47016891">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lang w:val="en-US" w:eastAsia="zh-CN"/>
              </w:rPr>
              <w:t>35</w:t>
            </w:r>
            <w:r>
              <w:rPr>
                <w:rFonts w:hint="eastAsia" w:ascii="宋体" w:hAnsi="宋体" w:cs="宋体"/>
                <w:b/>
                <w:color w:val="auto"/>
                <w:szCs w:val="21"/>
              </w:rPr>
              <w:t>分</w:t>
            </w:r>
          </w:p>
        </w:tc>
        <w:tc>
          <w:tcPr>
            <w:tcW w:w="1701" w:type="dxa"/>
            <w:vAlign w:val="center"/>
          </w:tcPr>
          <w:p w14:paraId="1E91CDC8">
            <w:pPr>
              <w:autoSpaceDE w:val="0"/>
              <w:autoSpaceDN w:val="0"/>
              <w:adjustRightInd w:val="0"/>
              <w:spacing w:line="360" w:lineRule="auto"/>
              <w:ind w:left="1" w:leftChars="-51" w:hanging="108" w:hangingChars="51"/>
              <w:jc w:val="center"/>
              <w:rPr>
                <w:rFonts w:ascii="宋体" w:hAnsi="宋体" w:cs="宋体"/>
                <w:b/>
                <w:color w:val="auto"/>
                <w:szCs w:val="21"/>
              </w:rPr>
            </w:pPr>
            <w:r>
              <w:rPr>
                <w:rFonts w:hint="eastAsia" w:ascii="宋体" w:hAnsi="宋体" w:cs="宋体"/>
                <w:b/>
                <w:color w:val="auto"/>
                <w:szCs w:val="21"/>
                <w:lang w:val="en-US" w:eastAsia="zh-CN"/>
              </w:rPr>
              <w:t>10</w:t>
            </w:r>
            <w:r>
              <w:rPr>
                <w:rFonts w:hint="eastAsia" w:ascii="宋体" w:hAnsi="宋体" w:cs="宋体"/>
                <w:b/>
                <w:color w:val="auto"/>
                <w:szCs w:val="21"/>
              </w:rPr>
              <w:t>分</w:t>
            </w:r>
          </w:p>
        </w:tc>
        <w:tc>
          <w:tcPr>
            <w:tcW w:w="1609" w:type="dxa"/>
            <w:vAlign w:val="center"/>
          </w:tcPr>
          <w:p w14:paraId="0C3385D3">
            <w:pPr>
              <w:spacing w:line="360" w:lineRule="auto"/>
              <w:jc w:val="center"/>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分</w:t>
            </w:r>
          </w:p>
        </w:tc>
        <w:tc>
          <w:tcPr>
            <w:tcW w:w="1609" w:type="dxa"/>
            <w:vAlign w:val="center"/>
          </w:tcPr>
          <w:p w14:paraId="77AF2FAC">
            <w:pPr>
              <w:spacing w:line="360" w:lineRule="auto"/>
              <w:jc w:val="center"/>
              <w:rPr>
                <w:rFonts w:ascii="宋体" w:hAnsi="宋体" w:cs="宋体"/>
                <w:b/>
                <w:color w:val="auto"/>
                <w:szCs w:val="21"/>
              </w:rPr>
            </w:pPr>
            <w:r>
              <w:rPr>
                <w:rFonts w:ascii="宋体" w:hAnsi="宋体" w:cs="宋体"/>
                <w:b/>
                <w:color w:val="auto"/>
                <w:szCs w:val="21"/>
              </w:rPr>
              <w:t>100</w:t>
            </w:r>
            <w:r>
              <w:rPr>
                <w:rFonts w:hint="eastAsia" w:ascii="宋体" w:hAnsi="宋体" w:cs="宋体"/>
                <w:b/>
                <w:color w:val="auto"/>
                <w:szCs w:val="21"/>
              </w:rPr>
              <w:t>分</w:t>
            </w:r>
          </w:p>
        </w:tc>
      </w:tr>
    </w:tbl>
    <w:p w14:paraId="39F864BD">
      <w:pPr>
        <w:snapToGrid w:val="0"/>
        <w:spacing w:line="360" w:lineRule="auto"/>
        <w:rPr>
          <w:rFonts w:ascii="宋体" w:hAnsi="宋体" w:cs="宋体"/>
          <w:color w:val="auto"/>
          <w:szCs w:val="21"/>
        </w:rPr>
      </w:pPr>
      <w:r>
        <w:rPr>
          <w:rFonts w:hint="eastAsia" w:ascii="宋体" w:hAnsi="宋体" w:cs="宋体"/>
          <w:color w:val="auto"/>
          <w:szCs w:val="21"/>
        </w:rPr>
        <w:t>具体量</w:t>
      </w:r>
      <w:r>
        <w:rPr>
          <w:rFonts w:ascii="宋体" w:hAnsi="宋体" w:cs="宋体"/>
          <w:color w:val="auto"/>
          <w:szCs w:val="21"/>
        </w:rPr>
        <w:t>化打分标准如下：</w:t>
      </w:r>
    </w:p>
    <w:p w14:paraId="36918B6B">
      <w:pPr>
        <w:snapToGrid w:val="0"/>
        <w:spacing w:line="360" w:lineRule="auto"/>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1）技术、商务评分</w:t>
      </w:r>
    </w:p>
    <w:p w14:paraId="66C0C729">
      <w:pPr>
        <w:snapToGrid w:val="0"/>
        <w:spacing w:line="360" w:lineRule="auto"/>
        <w:ind w:firstLine="420" w:firstLineChars="200"/>
        <w:rPr>
          <w:rFonts w:ascii="宋体" w:hAnsi="宋体" w:cs="宋体"/>
          <w:color w:val="auto"/>
          <w:szCs w:val="21"/>
          <w:lang w:eastAsia="zh-TW"/>
        </w:rPr>
      </w:pPr>
      <w:r>
        <w:rPr>
          <w:rFonts w:ascii="宋体" w:hAnsi="宋体" w:cs="宋体"/>
          <w:color w:val="auto"/>
          <w:szCs w:val="21"/>
        </w:rPr>
        <w:t>磋商小组分别对各供应商的技术、商务</w:t>
      </w:r>
      <w:r>
        <w:rPr>
          <w:rFonts w:hint="eastAsia" w:ascii="宋体" w:hAnsi="宋体" w:cs="宋体"/>
          <w:color w:val="auto"/>
          <w:szCs w:val="21"/>
        </w:rPr>
        <w:t>响应文件</w:t>
      </w:r>
      <w:r>
        <w:rPr>
          <w:rFonts w:ascii="宋体" w:hAnsi="宋体" w:cs="宋体"/>
          <w:color w:val="auto"/>
          <w:szCs w:val="21"/>
        </w:rPr>
        <w:t>中的各项内容进行评议比较，详细对比其技术、商务方案等各种因素方面是否满足磋商文件的要求。在技术、商务评审表的相应项各自记名打分。</w:t>
      </w:r>
    </w:p>
    <w:p w14:paraId="25F24138">
      <w:pPr>
        <w:snapToGrid w:val="0"/>
        <w:spacing w:line="360" w:lineRule="auto"/>
        <w:rPr>
          <w:rFonts w:ascii="宋体" w:hAnsi="宋体" w:cs="宋体"/>
          <w:b/>
          <w:color w:val="auto"/>
          <w:szCs w:val="21"/>
          <w:lang w:eastAsia="zh-TW"/>
        </w:rPr>
      </w:pPr>
      <w:r>
        <w:rPr>
          <w:rFonts w:hint="eastAsia" w:ascii="宋体" w:hAnsi="宋体" w:cs="宋体"/>
          <w:b/>
          <w:color w:val="auto"/>
          <w:szCs w:val="21"/>
        </w:rPr>
        <w:t>（</w:t>
      </w:r>
      <w:r>
        <w:rPr>
          <w:rFonts w:ascii="宋体" w:hAnsi="宋体" w:cs="宋体"/>
          <w:b/>
          <w:color w:val="auto"/>
          <w:szCs w:val="21"/>
        </w:rPr>
        <w:t>2）技术商务得分统计</w:t>
      </w:r>
    </w:p>
    <w:p w14:paraId="18BD1362">
      <w:pPr>
        <w:spacing w:line="360" w:lineRule="auto"/>
        <w:ind w:firstLine="420" w:firstLineChars="200"/>
        <w:rPr>
          <w:rFonts w:ascii="宋体" w:hAnsi="宋体" w:cs="宋体"/>
          <w:color w:val="auto"/>
          <w:szCs w:val="21"/>
        </w:rPr>
      </w:pPr>
      <w:r>
        <w:rPr>
          <w:rFonts w:ascii="宋体" w:hAnsi="宋体" w:cs="宋体"/>
          <w:color w:val="auto"/>
          <w:szCs w:val="21"/>
        </w:rPr>
        <w:t>将所有磋商小组的技术评分的算术平均值即为每个有效供应商的技术得分（四舍五入后，精确到0.01</w:t>
      </w:r>
      <w:r>
        <w:rPr>
          <w:rFonts w:hint="eastAsia" w:ascii="宋体" w:hAnsi="宋体" w:cs="宋体"/>
          <w:color w:val="auto"/>
          <w:szCs w:val="21"/>
        </w:rPr>
        <w:t>）。</w:t>
      </w:r>
    </w:p>
    <w:p w14:paraId="584EFD33">
      <w:pPr>
        <w:spacing w:line="360" w:lineRule="auto"/>
        <w:ind w:firstLine="420" w:firstLineChars="200"/>
        <w:rPr>
          <w:rFonts w:ascii="宋体" w:hAnsi="宋体" w:cs="宋体"/>
          <w:color w:val="auto"/>
          <w:szCs w:val="21"/>
        </w:rPr>
      </w:pPr>
      <w:r>
        <w:rPr>
          <w:rFonts w:ascii="宋体" w:hAnsi="宋体" w:cs="宋体"/>
          <w:color w:val="auto"/>
          <w:szCs w:val="21"/>
        </w:rPr>
        <w:t>将所有磋商小组的商务评分的算术平均值即为每个有效供应商的商务得分（四舍五入后，精确到0.01</w:t>
      </w:r>
      <w:r>
        <w:rPr>
          <w:rFonts w:hint="eastAsia" w:ascii="宋体" w:hAnsi="宋体" w:cs="宋体"/>
          <w:color w:val="auto"/>
          <w:szCs w:val="21"/>
        </w:rPr>
        <w:t>）。</w:t>
      </w:r>
    </w:p>
    <w:p w14:paraId="300706B1">
      <w:pPr>
        <w:spacing w:line="360" w:lineRule="auto"/>
        <w:ind w:firstLine="420" w:firstLineChars="200"/>
        <w:rPr>
          <w:rFonts w:ascii="宋体" w:hAnsi="宋体" w:cs="宋体"/>
          <w:color w:val="auto"/>
          <w:szCs w:val="21"/>
        </w:rPr>
      </w:pPr>
      <w:r>
        <w:rPr>
          <w:rFonts w:ascii="宋体" w:hAnsi="宋体" w:cs="宋体"/>
          <w:color w:val="auto"/>
          <w:szCs w:val="21"/>
        </w:rPr>
        <w:t>将技术得分、商务得分相加乘于对应权重得出商务技术得分。</w:t>
      </w:r>
    </w:p>
    <w:p w14:paraId="32B0A1D7">
      <w:pPr>
        <w:spacing w:line="360" w:lineRule="auto"/>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3）价格分计算</w:t>
      </w:r>
    </w:p>
    <w:p w14:paraId="141FFF10">
      <w:pPr>
        <w:spacing w:line="360" w:lineRule="auto"/>
        <w:ind w:firstLine="420" w:firstLineChars="200"/>
        <w:rPr>
          <w:rFonts w:ascii="宋体" w:hAnsi="宋体" w:cs="宋体"/>
          <w:color w:val="auto"/>
          <w:szCs w:val="21"/>
          <w:lang w:eastAsia="zh-TW"/>
        </w:rPr>
      </w:pPr>
      <w:r>
        <w:rPr>
          <w:rFonts w:ascii="宋体" w:hAnsi="宋体" w:cs="宋体"/>
          <w:color w:val="auto"/>
          <w:szCs w:val="21"/>
        </w:rPr>
        <w:t>计算价格评分：价格分采用低价优先法计算，即满足磋商文件要求（通过资格性审查及符合性审查）且报价价格最低的</w:t>
      </w:r>
      <w:r>
        <w:rPr>
          <w:rFonts w:hint="eastAsia" w:ascii="宋体" w:hAnsi="宋体" w:cs="宋体"/>
          <w:color w:val="auto"/>
          <w:szCs w:val="21"/>
        </w:rPr>
        <w:t>响应报价</w:t>
      </w:r>
      <w:r>
        <w:rPr>
          <w:rFonts w:ascii="宋体" w:hAnsi="宋体" w:cs="宋体"/>
          <w:color w:val="auto"/>
          <w:szCs w:val="21"/>
        </w:rPr>
        <w:t>（指修正后报价，下同）为评标基准价，其价格分为满分。其他</w:t>
      </w:r>
      <w:r>
        <w:rPr>
          <w:rFonts w:hint="eastAsia" w:ascii="宋体" w:hAnsi="宋体" w:cs="宋体"/>
          <w:color w:val="auto"/>
          <w:szCs w:val="21"/>
        </w:rPr>
        <w:t>响应供应商</w:t>
      </w:r>
      <w:r>
        <w:rPr>
          <w:rFonts w:ascii="宋体" w:hAnsi="宋体" w:cs="宋体"/>
          <w:color w:val="auto"/>
          <w:szCs w:val="21"/>
        </w:rPr>
        <w:t>的价格分统一按照下列公式计算（四舍五入保留两位小数）：</w:t>
      </w:r>
    </w:p>
    <w:p w14:paraId="5222BBBD">
      <w:pPr>
        <w:spacing w:line="360" w:lineRule="auto"/>
        <w:ind w:firstLine="420" w:firstLineChars="200"/>
        <w:rPr>
          <w:rFonts w:ascii="宋体" w:hAnsi="宋体" w:cs="宋体"/>
          <w:color w:val="auto"/>
          <w:szCs w:val="21"/>
          <w:lang w:eastAsia="zh-TW"/>
        </w:rPr>
      </w:pPr>
      <w:r>
        <w:rPr>
          <w:rFonts w:hint="eastAsia" w:ascii="宋体" w:hAnsi="宋体" w:cs="宋体"/>
          <w:color w:val="auto"/>
          <w:szCs w:val="21"/>
        </w:rPr>
        <w:t>磋商报价得分=（磋商基准价/最后磋商报价）×价格权值×100</w:t>
      </w:r>
    </w:p>
    <w:p w14:paraId="4D4AD1CC">
      <w:pPr>
        <w:spacing w:line="360" w:lineRule="auto"/>
        <w:rPr>
          <w:rFonts w:ascii="宋体" w:hAnsi="宋体" w:cs="宋体"/>
          <w:color w:val="auto"/>
          <w:szCs w:val="21"/>
          <w:lang w:eastAsia="zh-TW"/>
        </w:rPr>
      </w:pPr>
      <w:r>
        <w:rPr>
          <w:rFonts w:hint="eastAsia" w:ascii="宋体" w:hAnsi="宋体" w:cs="宋体"/>
          <w:b/>
          <w:color w:val="auto"/>
          <w:szCs w:val="21"/>
        </w:rPr>
        <w:t>（</w:t>
      </w:r>
      <w:r>
        <w:rPr>
          <w:rFonts w:ascii="宋体" w:hAnsi="宋体" w:cs="宋体"/>
          <w:b/>
          <w:color w:val="auto"/>
          <w:szCs w:val="21"/>
        </w:rPr>
        <w:t>4）价格核准和评分</w:t>
      </w:r>
    </w:p>
    <w:p w14:paraId="620889B4">
      <w:pPr>
        <w:pStyle w:val="62"/>
        <w:numPr>
          <w:ilvl w:val="0"/>
          <w:numId w:val="9"/>
        </w:numPr>
        <w:snapToGrid w:val="0"/>
        <w:spacing w:line="360" w:lineRule="auto"/>
        <w:ind w:firstLineChars="0"/>
        <w:rPr>
          <w:rFonts w:ascii="宋体" w:hAnsi="宋体" w:cs="宋体"/>
          <w:b/>
          <w:color w:val="auto"/>
          <w:szCs w:val="21"/>
        </w:rPr>
      </w:pPr>
      <w:r>
        <w:rPr>
          <w:rFonts w:hint="eastAsia" w:ascii="宋体" w:hAnsi="宋体" w:cs="宋体"/>
          <w:b/>
          <w:color w:val="auto"/>
          <w:szCs w:val="21"/>
        </w:rPr>
        <w:t>价格的核准</w:t>
      </w:r>
    </w:p>
    <w:p w14:paraId="5CCF1908">
      <w:pPr>
        <w:snapToGrid w:val="0"/>
        <w:spacing w:line="360" w:lineRule="auto"/>
        <w:ind w:firstLine="411" w:firstLineChars="196"/>
        <w:rPr>
          <w:rFonts w:ascii="宋体" w:hAnsi="宋体" w:cs="宋体"/>
          <w:color w:val="auto"/>
          <w:szCs w:val="21"/>
          <w:lang w:eastAsia="zh-TW"/>
        </w:rPr>
      </w:pPr>
      <w:r>
        <w:rPr>
          <w:rFonts w:ascii="宋体" w:hAnsi="宋体" w:cs="宋体"/>
          <w:color w:val="auto"/>
          <w:szCs w:val="21"/>
        </w:rPr>
        <w:t>供应商不得以低于成本的报价竞争(若报价明显低于其成本，供应商应能作出合理说明)</w:t>
      </w:r>
      <w:r>
        <w:rPr>
          <w:rFonts w:hint="eastAsia" w:ascii="宋体" w:hAnsi="宋体" w:cs="宋体"/>
          <w:color w:val="auto"/>
          <w:szCs w:val="21"/>
        </w:rPr>
        <w:t>。</w:t>
      </w:r>
      <w:r>
        <w:rPr>
          <w:rFonts w:ascii="宋体" w:hAnsi="宋体" w:cs="宋体"/>
          <w:color w:val="auto"/>
          <w:szCs w:val="21"/>
        </w:rPr>
        <w:t>如果磋商小组发现供应商的报价明显低于其他供应商的，使得其报价可能低于其个别成本的，将要求该供应商作书面说明并提供相关证</w:t>
      </w:r>
      <w:r>
        <w:rPr>
          <w:rFonts w:hint="eastAsia" w:ascii="宋体" w:hAnsi="宋体" w:cs="宋体"/>
          <w:color w:val="auto"/>
          <w:szCs w:val="21"/>
        </w:rPr>
        <w:t>明材料。</w:t>
      </w:r>
      <w:r>
        <w:rPr>
          <w:rFonts w:ascii="宋体" w:hAnsi="宋体" w:cs="宋体"/>
          <w:color w:val="auto"/>
          <w:szCs w:val="21"/>
        </w:rPr>
        <w:t>供应商不能合理说明或不能提供相关证明材料的，磋商小组将认定该供应商以低于成本报价竞争，其</w:t>
      </w:r>
      <w:r>
        <w:rPr>
          <w:rFonts w:hint="eastAsia" w:ascii="宋体" w:hAnsi="宋体" w:cs="宋体"/>
          <w:color w:val="auto"/>
          <w:szCs w:val="21"/>
        </w:rPr>
        <w:t>响应文件</w:t>
      </w:r>
      <w:r>
        <w:rPr>
          <w:rFonts w:ascii="宋体" w:hAnsi="宋体" w:cs="宋体"/>
          <w:color w:val="auto"/>
          <w:szCs w:val="21"/>
        </w:rPr>
        <w:t>作无效处理。</w:t>
      </w:r>
    </w:p>
    <w:p w14:paraId="7096ADFE">
      <w:pPr>
        <w:snapToGrid w:val="0"/>
        <w:spacing w:line="360" w:lineRule="auto"/>
        <w:ind w:firstLine="411" w:firstLineChars="196"/>
        <w:rPr>
          <w:rFonts w:ascii="宋体" w:hAnsi="宋体" w:cs="宋体"/>
          <w:color w:val="auto"/>
          <w:szCs w:val="21"/>
          <w:lang w:eastAsia="zh-TW"/>
        </w:rPr>
      </w:pPr>
      <w:r>
        <w:rPr>
          <w:rFonts w:ascii="宋体" w:hAnsi="宋体" w:cs="宋体"/>
          <w:color w:val="auto"/>
          <w:szCs w:val="21"/>
        </w:rPr>
        <w:t>磋商小组先对入围供应商的最后报价进行复核，审查其是否有计算上的错误，修正错误的原则如下</w:t>
      </w:r>
    </w:p>
    <w:p w14:paraId="2DEEED1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响应文件</w:t>
      </w:r>
      <w:r>
        <w:rPr>
          <w:rFonts w:ascii="宋体" w:hAnsi="宋体" w:cs="宋体"/>
          <w:color w:val="auto"/>
          <w:szCs w:val="21"/>
        </w:rPr>
        <w:t>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cs="宋体"/>
          <w:color w:val="auto"/>
          <w:szCs w:val="21"/>
        </w:rPr>
        <w:t>响应文件</w:t>
      </w:r>
      <w:r>
        <w:rPr>
          <w:rFonts w:ascii="宋体" w:hAnsi="宋体" w:cs="宋体"/>
          <w:color w:val="auto"/>
          <w:szCs w:val="21"/>
        </w:rPr>
        <w:t>的解释发生异议的，以中文文本为准</w:t>
      </w:r>
      <w:r>
        <w:rPr>
          <w:rFonts w:hint="eastAsia" w:ascii="宋体" w:hAnsi="宋体" w:cs="宋体"/>
          <w:color w:val="auto"/>
          <w:szCs w:val="21"/>
        </w:rPr>
        <w:t>。</w:t>
      </w:r>
    </w:p>
    <w:p w14:paraId="0C497947">
      <w:pPr>
        <w:snapToGrid w:val="0"/>
        <w:spacing w:line="360" w:lineRule="auto"/>
        <w:ind w:firstLine="420" w:firstLineChars="200"/>
        <w:rPr>
          <w:rFonts w:ascii="宋体" w:hAnsi="宋体" w:cs="宋体"/>
          <w:color w:val="auto"/>
          <w:szCs w:val="21"/>
        </w:rPr>
      </w:pPr>
      <w:r>
        <w:rPr>
          <w:rFonts w:ascii="宋体" w:hAnsi="宋体" w:cs="宋体"/>
          <w:color w:val="auto"/>
          <w:szCs w:val="21"/>
        </w:rPr>
        <w:t>按上述修正错误的方法调整后的最后报价，对供应商具有约束力。如果供应商不接受修正后的价格，则其</w:t>
      </w:r>
      <w:r>
        <w:rPr>
          <w:rFonts w:hint="eastAsia" w:ascii="宋体" w:hAnsi="宋体" w:cs="宋体"/>
          <w:color w:val="auto"/>
          <w:szCs w:val="21"/>
        </w:rPr>
        <w:t>响应文件</w:t>
      </w:r>
      <w:r>
        <w:rPr>
          <w:rFonts w:ascii="宋体" w:hAnsi="宋体" w:cs="宋体"/>
          <w:color w:val="auto"/>
          <w:szCs w:val="21"/>
        </w:rPr>
        <w:t>作无效处理</w:t>
      </w:r>
      <w:r>
        <w:rPr>
          <w:rFonts w:hint="eastAsia" w:ascii="宋体" w:hAnsi="宋体" w:cs="宋体"/>
          <w:color w:val="auto"/>
          <w:szCs w:val="21"/>
        </w:rPr>
        <w:t>。</w:t>
      </w:r>
    </w:p>
    <w:p w14:paraId="35F8A677">
      <w:pPr>
        <w:pStyle w:val="62"/>
        <w:numPr>
          <w:ilvl w:val="0"/>
          <w:numId w:val="9"/>
        </w:numPr>
        <w:snapToGrid w:val="0"/>
        <w:spacing w:line="360" w:lineRule="auto"/>
        <w:ind w:firstLineChars="0"/>
        <w:rPr>
          <w:rFonts w:ascii="宋体" w:hAnsi="宋体" w:cs="宋体"/>
          <w:b/>
          <w:color w:val="auto"/>
          <w:szCs w:val="21"/>
        </w:rPr>
      </w:pPr>
      <w:r>
        <w:rPr>
          <w:rFonts w:hint="eastAsia" w:ascii="宋体" w:hAnsi="宋体" w:cs="宋体"/>
          <w:b/>
          <w:color w:val="auto"/>
          <w:szCs w:val="21"/>
        </w:rPr>
        <w:t>政策价格扣除</w:t>
      </w:r>
    </w:p>
    <w:p w14:paraId="38305F50">
      <w:pPr>
        <w:pStyle w:val="62"/>
        <w:snapToGrid w:val="0"/>
        <w:spacing w:line="360" w:lineRule="auto"/>
        <w:ind w:left="105" w:leftChars="50"/>
        <w:rPr>
          <w:rFonts w:ascii="宋体" w:hAnsi="宋体" w:cs="宋体"/>
          <w:color w:val="auto"/>
          <w:szCs w:val="21"/>
        </w:rPr>
      </w:pPr>
      <w:r>
        <w:rPr>
          <w:rFonts w:ascii="宋体" w:hAnsi="宋体" w:cs="宋体"/>
          <w:color w:val="auto"/>
          <w:szCs w:val="21"/>
          <w:lang w:eastAsia="zh-TW"/>
        </w:rPr>
        <w:t>a</w:t>
      </w:r>
      <w:r>
        <w:rPr>
          <w:rFonts w:ascii="宋体" w:hAnsi="宋体" w:cs="宋体"/>
          <w:color w:val="auto"/>
          <w:szCs w:val="21"/>
        </w:rPr>
        <w:t>）小型和微型企业产品价格扣除</w:t>
      </w:r>
    </w:p>
    <w:p w14:paraId="0809284A">
      <w:pPr>
        <w:pStyle w:val="62"/>
        <w:snapToGrid w:val="0"/>
        <w:spacing w:line="360" w:lineRule="auto"/>
        <w:ind w:left="105" w:leftChars="50"/>
        <w:rPr>
          <w:rFonts w:ascii="宋体" w:hAnsi="宋体" w:cs="宋体"/>
          <w:color w:val="auto"/>
          <w:szCs w:val="21"/>
        </w:rPr>
      </w:pPr>
      <w:r>
        <w:rPr>
          <w:rFonts w:ascii="宋体" w:hAnsi="宋体" w:cs="宋体"/>
          <w:color w:val="auto"/>
          <w:szCs w:val="21"/>
        </w:rPr>
        <w:t>供应商为小型或微型企业（包括成员均为小型或微型企业的联合体）且报价产品</w:t>
      </w:r>
      <w:r>
        <w:rPr>
          <w:rFonts w:ascii="宋体" w:hAnsi="宋体" w:cs="宋体"/>
          <w:color w:val="auto"/>
          <w:szCs w:val="21"/>
          <w:lang w:eastAsia="zh-TW"/>
        </w:rPr>
        <w:t>/</w:t>
      </w:r>
      <w:r>
        <w:rPr>
          <w:rFonts w:ascii="宋体" w:hAnsi="宋体" w:cs="宋体"/>
          <w:color w:val="auto"/>
          <w:szCs w:val="21"/>
        </w:rPr>
        <w:t>服务含小型或微型企业产品</w:t>
      </w:r>
      <w:r>
        <w:rPr>
          <w:rFonts w:ascii="宋体" w:hAnsi="宋体" w:cs="宋体"/>
          <w:color w:val="auto"/>
          <w:szCs w:val="21"/>
          <w:lang w:eastAsia="zh-TW"/>
        </w:rPr>
        <w:t>/</w:t>
      </w:r>
      <w:r>
        <w:rPr>
          <w:rFonts w:ascii="宋体" w:hAnsi="宋体" w:cs="宋体"/>
          <w:color w:val="auto"/>
          <w:szCs w:val="21"/>
        </w:rPr>
        <w:t>服务时，报价给予</w:t>
      </w:r>
      <w:r>
        <w:rPr>
          <w:rFonts w:ascii="宋体" w:hAnsi="宋体" w:cs="宋体"/>
          <w:color w:val="auto"/>
          <w:szCs w:val="21"/>
          <w:lang w:eastAsia="zh-TW"/>
        </w:rPr>
        <w:t>K1</w:t>
      </w:r>
      <w:r>
        <w:rPr>
          <w:rFonts w:hint="eastAsia" w:ascii="宋体" w:hAnsi="宋体" w:cs="宋体"/>
          <w:color w:val="auto"/>
          <w:szCs w:val="21"/>
        </w:rPr>
        <w:t>的价格扣除（</w:t>
      </w:r>
      <w:r>
        <w:rPr>
          <w:rFonts w:ascii="宋体" w:hAnsi="宋体" w:cs="宋体"/>
          <w:color w:val="auto"/>
          <w:szCs w:val="21"/>
          <w:lang w:eastAsia="zh-TW"/>
        </w:rPr>
        <w:t>K1</w:t>
      </w:r>
      <w:r>
        <w:rPr>
          <w:rFonts w:ascii="宋体" w:hAnsi="宋体" w:cs="宋体"/>
          <w:color w:val="auto"/>
          <w:szCs w:val="21"/>
        </w:rPr>
        <w:t>的取值为</w:t>
      </w:r>
      <w:r>
        <w:rPr>
          <w:rFonts w:hint="eastAsia" w:ascii="宋体" w:hAnsi="宋体" w:cs="宋体"/>
          <w:color w:val="auto"/>
          <w:szCs w:val="21"/>
          <w:lang w:val="en-US"/>
        </w:rPr>
        <w:t>10</w:t>
      </w:r>
      <w:r>
        <w:rPr>
          <w:rFonts w:ascii="宋体" w:hAnsi="宋体" w:cs="宋体"/>
          <w:color w:val="auto"/>
          <w:szCs w:val="21"/>
          <w:lang w:eastAsia="zh-TW"/>
        </w:rPr>
        <w:t>%</w:t>
      </w:r>
      <w:r>
        <w:rPr>
          <w:rFonts w:hint="eastAsia" w:ascii="宋体" w:hAnsi="宋体" w:cs="宋体"/>
          <w:color w:val="auto"/>
          <w:szCs w:val="21"/>
        </w:rPr>
        <w:t>），即：</w:t>
      </w:r>
      <w:r>
        <w:rPr>
          <w:rFonts w:ascii="宋体" w:hAnsi="宋体" w:cs="宋体"/>
          <w:color w:val="auto"/>
          <w:szCs w:val="21"/>
        </w:rPr>
        <w:t>评审价＝核实价</w:t>
      </w:r>
      <w:r>
        <w:rPr>
          <w:rFonts w:ascii="宋体" w:hAnsi="宋体" w:cs="宋体"/>
          <w:color w:val="auto"/>
          <w:szCs w:val="21"/>
          <w:lang w:eastAsia="zh-TW"/>
        </w:rPr>
        <w:t>-</w:t>
      </w:r>
      <w:r>
        <w:rPr>
          <w:rFonts w:ascii="宋体" w:hAnsi="宋体" w:cs="宋体"/>
          <w:color w:val="auto"/>
          <w:szCs w:val="21"/>
        </w:rPr>
        <w:t>小微企业产品核实价×</w:t>
      </w:r>
      <w:r>
        <w:rPr>
          <w:rFonts w:ascii="宋体" w:hAnsi="宋体" w:cs="宋体"/>
          <w:color w:val="auto"/>
          <w:szCs w:val="21"/>
          <w:lang w:eastAsia="zh-TW"/>
        </w:rPr>
        <w:t>K1</w:t>
      </w:r>
      <w:r>
        <w:rPr>
          <w:rFonts w:hint="eastAsia" w:ascii="宋体" w:hAnsi="宋体" w:cs="宋体"/>
          <w:color w:val="auto"/>
          <w:szCs w:val="21"/>
        </w:rPr>
        <w:t>；</w:t>
      </w:r>
    </w:p>
    <w:p w14:paraId="53B9E173">
      <w:pPr>
        <w:pStyle w:val="62"/>
        <w:snapToGrid w:val="0"/>
        <w:spacing w:line="360" w:lineRule="auto"/>
        <w:ind w:left="105" w:leftChars="50"/>
        <w:rPr>
          <w:rFonts w:ascii="宋体" w:hAnsi="宋体" w:cs="宋体"/>
          <w:color w:val="auto"/>
          <w:szCs w:val="21"/>
        </w:rPr>
      </w:pPr>
      <w:r>
        <w:rPr>
          <w:rFonts w:ascii="宋体" w:hAnsi="宋体" w:cs="宋体"/>
          <w:color w:val="auto"/>
          <w:szCs w:val="21"/>
        </w:rPr>
        <w:t>供应商为大中型企业和其他自然人、法人或者其他组织与小型、微型企业组成的联合体，且联合体协议中约定小型、微型企业的协议合同金额（必须为本企业承担的服务）占到联合体协议合同总金额</w:t>
      </w:r>
      <w:r>
        <w:rPr>
          <w:rFonts w:ascii="宋体" w:hAnsi="宋体" w:cs="宋体"/>
          <w:color w:val="auto"/>
          <w:szCs w:val="21"/>
          <w:lang w:eastAsia="zh-TW"/>
        </w:rPr>
        <w:t>30%</w:t>
      </w:r>
      <w:r>
        <w:rPr>
          <w:rFonts w:ascii="宋体" w:hAnsi="宋体" w:cs="宋体"/>
          <w:color w:val="auto"/>
          <w:szCs w:val="21"/>
        </w:rPr>
        <w:t>以上的，对联合体报价给予</w:t>
      </w:r>
      <w:r>
        <w:rPr>
          <w:rFonts w:ascii="宋体" w:hAnsi="宋体" w:cs="宋体"/>
          <w:color w:val="auto"/>
          <w:szCs w:val="21"/>
          <w:lang w:eastAsia="zh-TW"/>
        </w:rPr>
        <w:t>K2</w:t>
      </w:r>
      <w:r>
        <w:rPr>
          <w:rFonts w:hint="eastAsia" w:ascii="宋体" w:hAnsi="宋体" w:cs="宋体"/>
          <w:color w:val="auto"/>
          <w:szCs w:val="21"/>
        </w:rPr>
        <w:t>的价格扣除（</w:t>
      </w:r>
      <w:r>
        <w:rPr>
          <w:rFonts w:ascii="宋体" w:hAnsi="宋体" w:cs="宋体"/>
          <w:color w:val="auto"/>
          <w:szCs w:val="21"/>
          <w:lang w:eastAsia="zh-TW"/>
        </w:rPr>
        <w:t>K2</w:t>
      </w:r>
      <w:r>
        <w:rPr>
          <w:rFonts w:ascii="宋体" w:hAnsi="宋体" w:cs="宋体"/>
          <w:color w:val="auto"/>
          <w:szCs w:val="21"/>
        </w:rPr>
        <w:t>的取值为</w:t>
      </w:r>
      <w:r>
        <w:rPr>
          <w:rFonts w:hint="eastAsia" w:ascii="宋体" w:hAnsi="宋体" w:cs="宋体"/>
          <w:color w:val="auto"/>
          <w:szCs w:val="21"/>
          <w:lang w:val="en-US"/>
        </w:rPr>
        <w:t>6</w:t>
      </w:r>
      <w:r>
        <w:rPr>
          <w:rFonts w:ascii="宋体" w:hAnsi="宋体" w:cs="宋体"/>
          <w:color w:val="auto"/>
          <w:szCs w:val="21"/>
          <w:lang w:eastAsia="zh-TW"/>
        </w:rPr>
        <w:t>%</w:t>
      </w:r>
      <w:r>
        <w:rPr>
          <w:rFonts w:hint="eastAsia" w:ascii="宋体" w:hAnsi="宋体" w:cs="宋体"/>
          <w:color w:val="auto"/>
          <w:szCs w:val="21"/>
        </w:rPr>
        <w:t>），即：</w:t>
      </w:r>
      <w:r>
        <w:rPr>
          <w:rFonts w:ascii="宋体" w:hAnsi="宋体" w:cs="宋体"/>
          <w:color w:val="auto"/>
          <w:szCs w:val="21"/>
        </w:rPr>
        <w:t>评审价＝核实价</w:t>
      </w:r>
      <w:r>
        <w:rPr>
          <w:rFonts w:ascii="宋体" w:hAnsi="宋体" w:cs="宋体"/>
          <w:color w:val="auto"/>
          <w:szCs w:val="21"/>
          <w:lang w:eastAsia="zh-TW"/>
        </w:rPr>
        <w:t>-</w:t>
      </w:r>
      <w:r>
        <w:rPr>
          <w:rFonts w:ascii="宋体" w:hAnsi="宋体" w:cs="宋体"/>
          <w:color w:val="auto"/>
          <w:szCs w:val="21"/>
        </w:rPr>
        <w:t>小微企业产品核实价×</w:t>
      </w:r>
      <w:r>
        <w:rPr>
          <w:rFonts w:ascii="宋体" w:hAnsi="宋体" w:cs="宋体"/>
          <w:color w:val="auto"/>
          <w:szCs w:val="21"/>
          <w:lang w:eastAsia="zh-TW"/>
        </w:rPr>
        <w:t>K2</w:t>
      </w:r>
      <w:r>
        <w:rPr>
          <w:rFonts w:hint="eastAsia" w:ascii="宋体" w:hAnsi="宋体" w:cs="宋体"/>
          <w:color w:val="auto"/>
          <w:szCs w:val="21"/>
        </w:rPr>
        <w:t>；</w:t>
      </w:r>
    </w:p>
    <w:p w14:paraId="6875BBE0">
      <w:pPr>
        <w:pStyle w:val="62"/>
        <w:snapToGrid w:val="0"/>
        <w:spacing w:line="360" w:lineRule="auto"/>
        <w:ind w:left="105" w:leftChars="50"/>
        <w:rPr>
          <w:rFonts w:ascii="宋体" w:hAnsi="宋体" w:cs="宋体"/>
          <w:color w:val="auto"/>
          <w:szCs w:val="21"/>
        </w:rPr>
      </w:pPr>
      <w:r>
        <w:rPr>
          <w:rFonts w:ascii="宋体" w:hAnsi="宋体" w:cs="宋体"/>
          <w:color w:val="auto"/>
          <w:szCs w:val="21"/>
        </w:rPr>
        <w:t>本条款所称小型或微型企业应当符合以下条件：符合《工业和信息化部、国家统计局、国家发展和改革委员会、财政部关于印发中小企业划型标准规定的通知》（工信部联企业</w:t>
      </w:r>
      <w:r>
        <w:rPr>
          <w:rFonts w:ascii="宋体" w:hAnsi="宋体" w:cs="宋体"/>
          <w:color w:val="auto"/>
          <w:szCs w:val="21"/>
          <w:lang w:eastAsia="zh-TW"/>
        </w:rPr>
        <w:t>[2011]300</w:t>
      </w:r>
      <w:r>
        <w:rPr>
          <w:rFonts w:ascii="宋体" w:hAnsi="宋体" w:cs="宋体"/>
          <w:color w:val="auto"/>
          <w:szCs w:val="21"/>
        </w:rPr>
        <w:t>号）规定的对小型或微型企业的划分标准，并且提供本企业承担的服务；</w:t>
      </w:r>
    </w:p>
    <w:p w14:paraId="5F0AC7E9">
      <w:pPr>
        <w:pStyle w:val="62"/>
        <w:snapToGrid w:val="0"/>
        <w:spacing w:line="360" w:lineRule="auto"/>
        <w:ind w:left="105" w:leftChars="50"/>
        <w:rPr>
          <w:rFonts w:ascii="宋体" w:hAnsi="宋体" w:cs="宋体"/>
          <w:color w:val="auto"/>
          <w:szCs w:val="21"/>
        </w:rPr>
      </w:pPr>
      <w:r>
        <w:rPr>
          <w:rFonts w:ascii="宋体" w:hAnsi="宋体" w:cs="宋体"/>
          <w:color w:val="auto"/>
          <w:szCs w:val="21"/>
        </w:rPr>
        <w:t>组成联合体的大中型企业和其他自然人、法人或者其他组织，与联合体中的小型、微型企业之间不得存在投资关系；</w:t>
      </w:r>
    </w:p>
    <w:p w14:paraId="566AA905">
      <w:pPr>
        <w:pStyle w:val="62"/>
        <w:snapToGrid w:val="0"/>
        <w:spacing w:line="360" w:lineRule="auto"/>
        <w:ind w:left="105" w:leftChars="50"/>
        <w:rPr>
          <w:rFonts w:ascii="宋体" w:hAnsi="宋体" w:cs="宋体"/>
          <w:color w:val="auto"/>
          <w:szCs w:val="21"/>
        </w:rPr>
      </w:pPr>
      <w:r>
        <w:rPr>
          <w:rFonts w:ascii="宋体" w:hAnsi="宋体" w:cs="宋体"/>
          <w:color w:val="auto"/>
          <w:szCs w:val="21"/>
        </w:rPr>
        <w:t>参加采购活动的中小企业应当提供《中小企业声明函》（详见</w:t>
      </w:r>
      <w:r>
        <w:rPr>
          <w:rFonts w:hint="eastAsia" w:ascii="宋体" w:hAnsi="宋体" w:cs="宋体"/>
          <w:color w:val="auto"/>
          <w:szCs w:val="21"/>
        </w:rPr>
        <w:t>响应文件</w:t>
      </w:r>
      <w:r>
        <w:rPr>
          <w:rFonts w:ascii="宋体" w:hAnsi="宋体" w:cs="宋体"/>
          <w:color w:val="auto"/>
          <w:szCs w:val="21"/>
        </w:rPr>
        <w:t>格式）。</w:t>
      </w:r>
    </w:p>
    <w:p w14:paraId="1867AF68">
      <w:pPr>
        <w:pStyle w:val="62"/>
        <w:snapToGrid w:val="0"/>
        <w:spacing w:line="360" w:lineRule="auto"/>
        <w:ind w:left="105" w:leftChars="50"/>
        <w:rPr>
          <w:rFonts w:ascii="宋体" w:hAnsi="宋体" w:cs="宋体"/>
          <w:color w:val="auto"/>
          <w:szCs w:val="21"/>
        </w:rPr>
      </w:pPr>
      <w:r>
        <w:rPr>
          <w:rFonts w:ascii="宋体" w:hAnsi="宋体" w:cs="宋体"/>
          <w:color w:val="auto"/>
          <w:szCs w:val="21"/>
          <w:lang w:eastAsia="zh-TW"/>
        </w:rPr>
        <w:t>b)</w:t>
      </w:r>
      <w:r>
        <w:rPr>
          <w:rFonts w:ascii="宋体" w:hAnsi="宋体" w:cs="宋体"/>
          <w:color w:val="auto"/>
          <w:szCs w:val="21"/>
        </w:rPr>
        <w:t>监狱企业产品价格扣除</w:t>
      </w:r>
    </w:p>
    <w:p w14:paraId="79CB6A4A">
      <w:pPr>
        <w:pStyle w:val="62"/>
        <w:snapToGrid w:val="0"/>
        <w:spacing w:line="360" w:lineRule="auto"/>
        <w:ind w:left="105" w:leftChars="50"/>
        <w:rPr>
          <w:rFonts w:ascii="宋体" w:hAnsi="宋体" w:cs="宋体"/>
          <w:color w:val="auto"/>
          <w:szCs w:val="21"/>
        </w:rPr>
      </w:pPr>
      <w:r>
        <w:rPr>
          <w:rFonts w:ascii="宋体" w:hAnsi="宋体" w:cs="宋体"/>
          <w:color w:val="auto"/>
          <w:szCs w:val="21"/>
        </w:rPr>
        <w:t>监狱企业视同小型、微型企业，按上述</w:t>
      </w:r>
      <w:r>
        <w:rPr>
          <w:rFonts w:ascii="宋体" w:hAnsi="宋体" w:cs="宋体"/>
          <w:color w:val="auto"/>
          <w:szCs w:val="21"/>
          <w:lang w:eastAsia="zh-TW"/>
        </w:rPr>
        <w:t>a)</w:t>
      </w:r>
      <w:r>
        <w:rPr>
          <w:rFonts w:ascii="宋体" w:hAnsi="宋体" w:cs="宋体"/>
          <w:color w:val="auto"/>
          <w:szCs w:val="21"/>
        </w:rPr>
        <w:t>条款享受评审中价格扣除。</w:t>
      </w:r>
    </w:p>
    <w:p w14:paraId="5F261AF3">
      <w:pPr>
        <w:pStyle w:val="62"/>
        <w:snapToGrid w:val="0"/>
        <w:spacing w:line="360" w:lineRule="auto"/>
        <w:ind w:left="105" w:leftChars="50"/>
        <w:rPr>
          <w:rFonts w:ascii="宋体" w:hAnsi="宋体" w:cs="宋体"/>
          <w:color w:val="auto"/>
          <w:szCs w:val="21"/>
        </w:rPr>
      </w:pPr>
      <w:r>
        <w:rPr>
          <w:rFonts w:ascii="宋体" w:hAnsi="宋体" w:cs="宋体"/>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8CBC47">
      <w:pPr>
        <w:pStyle w:val="62"/>
        <w:snapToGrid w:val="0"/>
        <w:spacing w:line="360" w:lineRule="auto"/>
        <w:ind w:left="105" w:leftChars="50"/>
        <w:rPr>
          <w:rFonts w:ascii="宋体" w:hAnsi="宋体" w:cs="宋体"/>
          <w:color w:val="auto"/>
          <w:szCs w:val="21"/>
        </w:rPr>
      </w:pPr>
      <w:r>
        <w:rPr>
          <w:rFonts w:ascii="宋体" w:hAnsi="宋体" w:cs="宋体"/>
          <w:color w:val="auto"/>
          <w:szCs w:val="21"/>
        </w:rPr>
        <w:t>监狱企业参加采购活动时，应当提供由省级以上监狱管理局、戒毒管理局（含新疆生产建设兵团）出具的属于监狱企业的证明文件，否则不予认可。</w:t>
      </w:r>
    </w:p>
    <w:p w14:paraId="0CA6894D">
      <w:pPr>
        <w:pStyle w:val="62"/>
        <w:snapToGrid w:val="0"/>
        <w:spacing w:line="360" w:lineRule="auto"/>
        <w:ind w:left="105" w:leftChars="50"/>
        <w:rPr>
          <w:rFonts w:ascii="宋体" w:hAnsi="宋体" w:cs="宋体"/>
          <w:color w:val="auto"/>
          <w:szCs w:val="21"/>
        </w:rPr>
      </w:pPr>
      <w:r>
        <w:rPr>
          <w:rFonts w:ascii="宋体" w:hAnsi="宋体" w:cs="宋体"/>
          <w:color w:val="auto"/>
          <w:szCs w:val="21"/>
          <w:lang w:eastAsia="zh-TW"/>
        </w:rPr>
        <w:t>c</w:t>
      </w:r>
      <w:r>
        <w:rPr>
          <w:rFonts w:ascii="宋体" w:hAnsi="宋体" w:cs="宋体"/>
          <w:color w:val="auto"/>
          <w:szCs w:val="21"/>
        </w:rPr>
        <w:t>）残疾人福利性单位产品价格扣除</w:t>
      </w:r>
    </w:p>
    <w:p w14:paraId="545927F4">
      <w:pPr>
        <w:pStyle w:val="62"/>
        <w:snapToGrid w:val="0"/>
        <w:spacing w:line="360" w:lineRule="auto"/>
        <w:ind w:left="105" w:leftChars="50"/>
        <w:rPr>
          <w:rFonts w:ascii="宋体" w:hAnsi="宋体" w:cs="宋体"/>
          <w:color w:val="auto"/>
          <w:szCs w:val="21"/>
        </w:rPr>
      </w:pPr>
      <w:r>
        <w:rPr>
          <w:rFonts w:ascii="宋体" w:hAnsi="宋体" w:cs="宋体"/>
          <w:color w:val="auto"/>
          <w:szCs w:val="21"/>
        </w:rPr>
        <w:t>残疾人福利性单位视同小型、微型企业，按上述</w:t>
      </w:r>
      <w:r>
        <w:rPr>
          <w:rFonts w:ascii="宋体" w:hAnsi="宋体" w:cs="宋体"/>
          <w:color w:val="auto"/>
          <w:szCs w:val="21"/>
          <w:lang w:eastAsia="zh-TW"/>
        </w:rPr>
        <w:t>a)</w:t>
      </w:r>
      <w:r>
        <w:rPr>
          <w:rFonts w:ascii="宋体" w:hAnsi="宋体" w:cs="宋体"/>
          <w:color w:val="auto"/>
          <w:szCs w:val="21"/>
        </w:rPr>
        <w:t>条款享受评审中价格扣除。</w:t>
      </w:r>
    </w:p>
    <w:p w14:paraId="4ECA5BF6">
      <w:pPr>
        <w:pStyle w:val="62"/>
        <w:snapToGrid w:val="0"/>
        <w:spacing w:line="360" w:lineRule="auto"/>
        <w:ind w:left="105" w:leftChars="50"/>
        <w:rPr>
          <w:rFonts w:ascii="宋体" w:hAnsi="宋体" w:cs="宋体"/>
          <w:color w:val="auto"/>
          <w:szCs w:val="21"/>
          <w:lang w:eastAsia="zh-TW"/>
        </w:rPr>
      </w:pPr>
      <w:r>
        <w:rPr>
          <w:rFonts w:hint="eastAsia" w:ascii="宋体" w:hAnsi="宋体" w:cs="宋体"/>
          <w:color w:val="auto"/>
          <w:szCs w:val="21"/>
          <w:lang w:val="en-US"/>
        </w:rPr>
        <w:t>参考</w:t>
      </w:r>
      <w:r>
        <w:rPr>
          <w:rFonts w:ascii="宋体" w:hAnsi="宋体" w:cs="宋体"/>
          <w:color w:val="auto"/>
          <w:szCs w:val="21"/>
        </w:rPr>
        <w:t>财政部、民政部、中国残疾人联合会印发的《关于促进残疾人就业政府采购政策的通知》（财库〔</w:t>
      </w:r>
      <w:r>
        <w:rPr>
          <w:rFonts w:ascii="宋体" w:hAnsi="宋体" w:cs="宋体"/>
          <w:color w:val="auto"/>
          <w:szCs w:val="21"/>
          <w:lang w:eastAsia="zh-TW"/>
        </w:rPr>
        <w:t>2017</w:t>
      </w:r>
      <w:r>
        <w:rPr>
          <w:rFonts w:hint="eastAsia" w:ascii="宋体" w:hAnsi="宋体" w:cs="宋体"/>
          <w:color w:val="auto"/>
          <w:szCs w:val="21"/>
        </w:rPr>
        <w:t>〕</w:t>
      </w:r>
      <w:r>
        <w:rPr>
          <w:rFonts w:ascii="宋体" w:hAnsi="宋体" w:cs="宋体"/>
          <w:color w:val="auto"/>
          <w:szCs w:val="21"/>
          <w:lang w:eastAsia="zh-TW"/>
        </w:rPr>
        <w:t>141</w:t>
      </w:r>
      <w:r>
        <w:rPr>
          <w:rFonts w:ascii="宋体" w:hAnsi="宋体" w:cs="宋体"/>
          <w:color w:val="auto"/>
          <w:szCs w:val="21"/>
        </w:rPr>
        <w:t>号）的规定，符合条件的残疾人福利性单位在参加采购活动时，应当提供该通知规定的《残疾人福利性单位声明函》，并对声明的真实性负责。一旦成交将在成交公告中公告其声明函，接受社会监督。</w:t>
      </w:r>
    </w:p>
    <w:p w14:paraId="42E2716D">
      <w:pPr>
        <w:pStyle w:val="62"/>
        <w:snapToGrid w:val="0"/>
        <w:spacing w:line="360" w:lineRule="auto"/>
        <w:ind w:left="105" w:leftChars="50"/>
        <w:rPr>
          <w:rFonts w:ascii="宋体" w:hAnsi="宋体" w:cs="宋体"/>
          <w:color w:val="auto"/>
          <w:szCs w:val="21"/>
          <w:lang w:eastAsia="zh-TW"/>
        </w:rPr>
      </w:pPr>
      <w:r>
        <w:rPr>
          <w:rFonts w:ascii="宋体" w:hAnsi="宋体" w:cs="宋体"/>
          <w:color w:val="auto"/>
          <w:szCs w:val="21"/>
          <w:lang w:eastAsia="zh-TW"/>
        </w:rPr>
        <w:t>d</w:t>
      </w:r>
      <w:r>
        <w:rPr>
          <w:rFonts w:ascii="宋体" w:hAnsi="宋体" w:cs="宋体"/>
          <w:color w:val="auto"/>
          <w:szCs w:val="21"/>
        </w:rPr>
        <w:t>）供应商同时为小型、微型企业、监狱企业和残疾人福利性单位任两种或以上情况的，评审中只享受一次价格扣除。不重复进行价格扣除。</w:t>
      </w:r>
    </w:p>
    <w:p w14:paraId="2AE0969F">
      <w:pPr>
        <w:pStyle w:val="62"/>
        <w:snapToGrid w:val="0"/>
        <w:spacing w:line="360" w:lineRule="auto"/>
        <w:ind w:left="105" w:leftChars="50"/>
        <w:rPr>
          <w:rFonts w:ascii="宋体" w:hAnsi="宋体" w:cs="宋体"/>
          <w:color w:val="auto"/>
          <w:szCs w:val="21"/>
          <w:lang w:eastAsia="zh-TW"/>
        </w:rPr>
      </w:pPr>
      <w:r>
        <w:rPr>
          <w:rFonts w:ascii="宋体" w:hAnsi="宋体" w:cs="宋体"/>
          <w:color w:val="auto"/>
          <w:szCs w:val="21"/>
          <w:lang w:eastAsia="zh-TW"/>
        </w:rPr>
        <w:t>e</w:t>
      </w:r>
      <w:r>
        <w:rPr>
          <w:rFonts w:ascii="宋体" w:hAnsi="宋体" w:cs="宋体"/>
          <w:color w:val="auto"/>
          <w:szCs w:val="21"/>
        </w:rPr>
        <w:t>）节能产品、环保产品价格扣除：对获得节能产品认证证书或环境标志产品认证证书的产品给予</w:t>
      </w:r>
      <w:r>
        <w:rPr>
          <w:rFonts w:ascii="宋体" w:hAnsi="宋体" w:cs="宋体"/>
          <w:color w:val="auto"/>
          <w:szCs w:val="21"/>
          <w:lang w:eastAsia="zh-TW"/>
        </w:rPr>
        <w:t>3%</w:t>
      </w:r>
      <w:r>
        <w:rPr>
          <w:rFonts w:hint="eastAsia" w:ascii="宋体" w:hAnsi="宋体" w:cs="宋体"/>
          <w:color w:val="auto"/>
          <w:szCs w:val="21"/>
        </w:rPr>
        <w:t>的价格扣除。</w:t>
      </w:r>
    </w:p>
    <w:p w14:paraId="64AD0B6D">
      <w:pPr>
        <w:pStyle w:val="62"/>
        <w:numPr>
          <w:ilvl w:val="0"/>
          <w:numId w:val="9"/>
        </w:numPr>
        <w:snapToGrid w:val="0"/>
        <w:spacing w:line="360" w:lineRule="auto"/>
        <w:ind w:firstLineChars="0"/>
        <w:rPr>
          <w:rFonts w:ascii="宋体" w:hAnsi="宋体" w:cs="宋体"/>
          <w:b/>
          <w:color w:val="auto"/>
          <w:szCs w:val="21"/>
        </w:rPr>
      </w:pPr>
      <w:r>
        <w:rPr>
          <w:rFonts w:ascii="宋体" w:hAnsi="宋体" w:cs="宋体"/>
          <w:b/>
          <w:color w:val="auto"/>
          <w:szCs w:val="21"/>
        </w:rPr>
        <w:t>价格评分</w:t>
      </w:r>
    </w:p>
    <w:p w14:paraId="0692F106">
      <w:pPr>
        <w:snapToGrid w:val="0"/>
        <w:spacing w:line="360" w:lineRule="auto"/>
        <w:ind w:firstLine="411" w:firstLineChars="196"/>
        <w:rPr>
          <w:rFonts w:ascii="宋体" w:hAnsi="宋体" w:cs="宋体"/>
          <w:color w:val="auto"/>
          <w:szCs w:val="21"/>
          <w:lang w:eastAsia="zh-TW"/>
        </w:rPr>
      </w:pPr>
      <w:r>
        <w:rPr>
          <w:rFonts w:ascii="宋体" w:hAnsi="宋体" w:cs="宋体"/>
          <w:color w:val="auto"/>
          <w:szCs w:val="21"/>
        </w:rPr>
        <w:t>磋商小组对入围的供应商的最后价格进行修正得出评审价。综合评分法中的价格分统一采用低价优先法计算，即满足磋商文件要求（通过资格性、符合性审查）且价格最低的有效最后报价（指修正后的价格，下同）为磋商基准价，其价格分为满分。其他供应商的价格分统一按照下列公式计算：</w:t>
      </w:r>
    </w:p>
    <w:p w14:paraId="57B5B67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磋商报价得分=（磋商基准价/最后磋商报价）×价格权值×100</w:t>
      </w:r>
    </w:p>
    <w:p w14:paraId="5E06D459">
      <w:pPr>
        <w:spacing w:line="360" w:lineRule="auto"/>
        <w:rPr>
          <w:rFonts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5</w:t>
      </w:r>
      <w:r>
        <w:rPr>
          <w:rFonts w:ascii="宋体" w:hAnsi="宋体" w:cs="宋体"/>
          <w:b/>
          <w:color w:val="auto"/>
          <w:szCs w:val="21"/>
        </w:rPr>
        <w:t>）</w:t>
      </w:r>
      <w:r>
        <w:rPr>
          <w:rFonts w:hint="eastAsia" w:ascii="宋体" w:hAnsi="宋体" w:cs="宋体"/>
          <w:b/>
          <w:color w:val="auto"/>
          <w:szCs w:val="21"/>
        </w:rPr>
        <w:t>综合信用分</w:t>
      </w:r>
    </w:p>
    <w:p w14:paraId="43673E15">
      <w:pPr>
        <w:snapToGrid w:val="0"/>
        <w:spacing w:line="360" w:lineRule="auto"/>
        <w:ind w:firstLine="420" w:firstLineChars="200"/>
        <w:rPr>
          <w:rFonts w:hint="eastAsia" w:ascii="宋体" w:hAnsi="宋体" w:cs="宋体"/>
          <w:color w:val="auto"/>
          <w:szCs w:val="21"/>
          <w:lang w:eastAsia="zh-TW"/>
        </w:rPr>
      </w:pPr>
      <w:r>
        <w:rPr>
          <w:rFonts w:hint="eastAsia"/>
          <w:color w:val="auto"/>
        </w:rPr>
        <w:t>综合信用评价得分(属于商务部分的一部分)=</w:t>
      </w:r>
      <w:r>
        <w:rPr>
          <w:rFonts w:hint="eastAsia"/>
          <w:color w:val="auto"/>
          <w:lang w:eastAsia="zh-CN"/>
        </w:rPr>
        <w:t>响应供应商</w:t>
      </w:r>
      <w:r>
        <w:rPr>
          <w:rFonts w:hint="eastAsia"/>
          <w:color w:val="auto"/>
        </w:rPr>
        <w:t xml:space="preserve">的广州公共资源交易信用评价（政府采购供应商信用评价分）×5%。 </w:t>
      </w:r>
      <w:r>
        <w:rPr>
          <w:rFonts w:hint="eastAsia"/>
          <w:color w:val="auto"/>
          <w:lang w:eastAsia="zh-CN"/>
        </w:rPr>
        <w:t>响应供应商</w:t>
      </w:r>
      <w:r>
        <w:rPr>
          <w:rFonts w:hint="eastAsia"/>
          <w:color w:val="auto"/>
        </w:rPr>
        <w:t>的信用评价分以开标当天广州交易集团有限公司网站公布的分值为准（通过“广州交易集团有限公司网站-信用信息-广州公共资源交易信用平台2.0” 进行核实，未能在网站查询到供应商信用评价分的，以信用评价基准分（93.4分）计算）</w:t>
      </w:r>
    </w:p>
    <w:p w14:paraId="6D73BAC1">
      <w:pPr>
        <w:numPr>
          <w:ilvl w:val="0"/>
          <w:numId w:val="7"/>
        </w:numPr>
        <w:tabs>
          <w:tab w:val="left" w:pos="567"/>
          <w:tab w:val="clear" w:pos="851"/>
        </w:tabs>
        <w:snapToGrid w:val="0"/>
        <w:spacing w:line="360" w:lineRule="auto"/>
        <w:rPr>
          <w:rFonts w:ascii="宋体" w:hAnsi="宋体" w:cs="宋体"/>
          <w:b/>
          <w:color w:val="auto"/>
          <w:szCs w:val="21"/>
        </w:rPr>
      </w:pPr>
      <w:r>
        <w:rPr>
          <w:rFonts w:ascii="宋体" w:hAnsi="宋体" w:cs="宋体"/>
          <w:b/>
          <w:color w:val="auto"/>
          <w:szCs w:val="21"/>
        </w:rPr>
        <w:t>推荐成交候选人名单</w:t>
      </w:r>
    </w:p>
    <w:p w14:paraId="37C8748C">
      <w:pPr>
        <w:snapToGrid w:val="0"/>
        <w:spacing w:line="360" w:lineRule="auto"/>
        <w:ind w:firstLine="420" w:firstLineChars="200"/>
        <w:rPr>
          <w:rFonts w:ascii="宋体" w:hAnsi="宋体" w:cs="宋体"/>
          <w:color w:val="auto"/>
          <w:szCs w:val="21"/>
        </w:rPr>
      </w:pPr>
      <w:r>
        <w:rPr>
          <w:rFonts w:ascii="宋体" w:hAnsi="宋体" w:cs="宋体"/>
          <w:color w:val="auto"/>
          <w:szCs w:val="21"/>
        </w:rPr>
        <w:t>详见磋商须知前附表。</w:t>
      </w:r>
    </w:p>
    <w:p w14:paraId="6CFCD391">
      <w:pPr>
        <w:numPr>
          <w:ilvl w:val="0"/>
          <w:numId w:val="7"/>
        </w:numPr>
        <w:tabs>
          <w:tab w:val="left" w:pos="567"/>
          <w:tab w:val="clear" w:pos="851"/>
        </w:tabs>
        <w:snapToGrid w:val="0"/>
        <w:spacing w:line="360" w:lineRule="auto"/>
        <w:rPr>
          <w:rFonts w:ascii="宋体" w:hAnsi="宋体" w:cs="宋体"/>
          <w:b/>
          <w:color w:val="auto"/>
          <w:szCs w:val="21"/>
        </w:rPr>
      </w:pPr>
      <w:r>
        <w:rPr>
          <w:rFonts w:hint="eastAsia" w:ascii="宋体" w:hAnsi="宋体" w:cs="宋体"/>
          <w:b/>
          <w:color w:val="auto"/>
          <w:szCs w:val="21"/>
        </w:rPr>
        <w:t>确定成交供应商</w:t>
      </w:r>
    </w:p>
    <w:p w14:paraId="386B2DFF">
      <w:pPr>
        <w:spacing w:line="360" w:lineRule="auto"/>
        <w:ind w:firstLine="420" w:firstLineChars="200"/>
        <w:rPr>
          <w:rFonts w:ascii="宋体" w:hAnsi="宋体" w:cs="宋体"/>
          <w:b/>
          <w:color w:val="auto"/>
          <w:szCs w:val="21"/>
          <w:lang w:eastAsia="zh-TW"/>
        </w:rPr>
      </w:pPr>
      <w:r>
        <w:rPr>
          <w:rFonts w:ascii="宋体" w:hAnsi="宋体" w:cs="宋体"/>
          <w:color w:val="auto"/>
          <w:szCs w:val="21"/>
        </w:rPr>
        <w:t>采购人将根据评审结果，确定</w:t>
      </w:r>
      <w:r>
        <w:rPr>
          <w:rFonts w:hint="eastAsia" w:ascii="宋体" w:hAnsi="宋体" w:cs="宋体"/>
          <w:color w:val="auto"/>
          <w:szCs w:val="21"/>
        </w:rPr>
        <w:t>成交供应商</w:t>
      </w:r>
      <w:r>
        <w:rPr>
          <w:rFonts w:ascii="宋体" w:hAnsi="宋体" w:cs="宋体"/>
          <w:color w:val="auto"/>
          <w:szCs w:val="21"/>
        </w:rPr>
        <w:t>。采购代理机构受采购人委托在规</w:t>
      </w:r>
      <w:r>
        <w:rPr>
          <w:rFonts w:hint="eastAsia" w:ascii="宋体" w:hAnsi="宋体" w:cs="宋体"/>
          <w:color w:val="auto"/>
          <w:szCs w:val="21"/>
        </w:rPr>
        <w:t>定的媒体</w:t>
      </w:r>
      <w:r>
        <w:rPr>
          <w:rFonts w:ascii="宋体" w:hAnsi="宋体" w:cs="宋体"/>
          <w:bCs/>
          <w:color w:val="auto"/>
          <w:szCs w:val="21"/>
        </w:rPr>
        <w:t>上发布成交公告，同时</w:t>
      </w:r>
      <w:r>
        <w:rPr>
          <w:rFonts w:ascii="宋体" w:hAnsi="宋体" w:cs="宋体"/>
          <w:color w:val="auto"/>
          <w:szCs w:val="21"/>
        </w:rPr>
        <w:t>向</w:t>
      </w:r>
      <w:r>
        <w:rPr>
          <w:rFonts w:hint="eastAsia" w:ascii="宋体" w:hAnsi="宋体" w:cs="宋体"/>
          <w:color w:val="auto"/>
          <w:szCs w:val="21"/>
        </w:rPr>
        <w:t>成交供应商</w:t>
      </w:r>
      <w:r>
        <w:rPr>
          <w:rFonts w:ascii="宋体" w:hAnsi="宋体" w:cs="宋体"/>
          <w:color w:val="auto"/>
          <w:szCs w:val="21"/>
        </w:rPr>
        <w:t>发出书面《成交通知书》。成交结果的发布视为有效送达，不再另行通知未</w:t>
      </w:r>
      <w:r>
        <w:rPr>
          <w:rFonts w:hint="eastAsia" w:ascii="宋体" w:hAnsi="宋体" w:cs="宋体"/>
          <w:color w:val="auto"/>
          <w:szCs w:val="21"/>
        </w:rPr>
        <w:t>成交供应商</w:t>
      </w:r>
      <w:r>
        <w:rPr>
          <w:rFonts w:ascii="宋体" w:hAnsi="宋体" w:cs="宋体"/>
          <w:color w:val="auto"/>
          <w:szCs w:val="21"/>
        </w:rPr>
        <w:t>。《成交通知书》对</w:t>
      </w:r>
      <w:r>
        <w:rPr>
          <w:rFonts w:hint="eastAsia" w:ascii="宋体" w:hAnsi="宋体" w:cs="宋体"/>
          <w:color w:val="auto"/>
          <w:szCs w:val="21"/>
        </w:rPr>
        <w:t>成交供应商</w:t>
      </w:r>
      <w:r>
        <w:rPr>
          <w:rFonts w:ascii="宋体" w:hAnsi="宋体" w:cs="宋体"/>
          <w:color w:val="auto"/>
          <w:szCs w:val="21"/>
        </w:rPr>
        <w:t>和采购人具有同等法律效力。</w:t>
      </w:r>
    </w:p>
    <w:p w14:paraId="6114579F">
      <w:pPr>
        <w:pStyle w:val="4"/>
        <w:rPr>
          <w:b w:val="0"/>
          <w:color w:val="auto"/>
          <w:sz w:val="21"/>
          <w:szCs w:val="21"/>
          <w:lang w:val="en-US"/>
        </w:rPr>
      </w:pPr>
      <w:r>
        <w:rPr>
          <w:rFonts w:hint="eastAsia" w:ascii="宋体" w:hAnsi="宋体" w:cs="宋体"/>
          <w:b w:val="0"/>
          <w:bCs w:val="0"/>
          <w:color w:val="auto"/>
          <w:sz w:val="21"/>
          <w:szCs w:val="21"/>
          <w:lang w:val="en-US" w:eastAsia="zh-TW"/>
        </w:rPr>
        <w:br w:type="page"/>
      </w:r>
      <w:r>
        <w:rPr>
          <w:rFonts w:hint="eastAsia" w:ascii="宋体" w:hAnsi="宋体" w:cs="宋体"/>
          <w:bCs w:val="0"/>
          <w:color w:val="auto"/>
          <w:sz w:val="28"/>
        </w:rPr>
        <w:t>附表一</w:t>
      </w:r>
      <w:r>
        <w:rPr>
          <w:rFonts w:hint="eastAsia" w:ascii="宋体" w:hAnsi="宋体" w:cs="宋体"/>
          <w:bCs w:val="0"/>
          <w:color w:val="auto"/>
          <w:sz w:val="28"/>
          <w:lang w:val="en-US"/>
        </w:rPr>
        <w:t>：</w:t>
      </w:r>
      <w:r>
        <w:rPr>
          <w:rFonts w:ascii="宋体" w:hAnsi="宋体" w:cs="宋体"/>
          <w:bCs w:val="0"/>
          <w:color w:val="auto"/>
          <w:sz w:val="28"/>
        </w:rPr>
        <w:t>资格性审查表</w:t>
      </w:r>
    </w:p>
    <w:p w14:paraId="5736355E">
      <w:pPr>
        <w:spacing w:line="360" w:lineRule="auto"/>
        <w:rPr>
          <w:rFonts w:hint="eastAsia" w:ascii="宋体" w:hAnsi="宋体" w:eastAsia="宋体" w:cs="宋体"/>
          <w:color w:val="auto"/>
          <w:szCs w:val="21"/>
          <w:lang w:eastAsia="zh-CN"/>
        </w:rPr>
      </w:pPr>
      <w:r>
        <w:rPr>
          <w:rFonts w:ascii="宋体" w:hAnsi="宋体" w:cs="宋体"/>
          <w:color w:val="auto"/>
          <w:szCs w:val="21"/>
        </w:rPr>
        <w:t>项目名称：</w:t>
      </w:r>
      <w:r>
        <w:rPr>
          <w:rFonts w:hint="eastAsia" w:ascii="宋体" w:hAnsi="宋体" w:cs="宋体"/>
          <w:color w:val="auto"/>
          <w:kern w:val="28"/>
          <w:szCs w:val="21"/>
          <w:lang w:eastAsia="zh-CN"/>
        </w:rPr>
        <w:t>2024年广州市南沙政务服务公众考核满意度调查项目</w:t>
      </w:r>
    </w:p>
    <w:p w14:paraId="6AE28C6A">
      <w:pPr>
        <w:spacing w:line="360" w:lineRule="auto"/>
        <w:rPr>
          <w:rFonts w:hint="eastAsia" w:ascii="宋体" w:hAnsi="宋体" w:eastAsia="宋体" w:cs="宋体"/>
          <w:color w:val="auto"/>
          <w:szCs w:val="21"/>
          <w:lang w:eastAsia="zh-CN"/>
        </w:rPr>
      </w:pPr>
      <w:r>
        <w:rPr>
          <w:rFonts w:ascii="宋体" w:hAnsi="宋体" w:cs="宋体"/>
          <w:color w:val="auto"/>
          <w:szCs w:val="21"/>
        </w:rPr>
        <w:t>项目编号：</w:t>
      </w:r>
      <w:r>
        <w:rPr>
          <w:rFonts w:hint="eastAsia" w:ascii="宋体" w:hAnsi="宋体" w:cs="宋体"/>
          <w:color w:val="auto"/>
          <w:szCs w:val="21"/>
          <w:lang w:eastAsia="zh-CN"/>
        </w:rPr>
        <w:t>GDWCFFC2312121</w:t>
      </w:r>
    </w:p>
    <w:tbl>
      <w:tblPr>
        <w:tblStyle w:val="27"/>
        <w:tblW w:w="9683" w:type="dxa"/>
        <w:jc w:val="center"/>
        <w:tblLayout w:type="fixed"/>
        <w:tblCellMar>
          <w:top w:w="0" w:type="dxa"/>
          <w:left w:w="0" w:type="dxa"/>
          <w:bottom w:w="0" w:type="dxa"/>
          <w:right w:w="0" w:type="dxa"/>
        </w:tblCellMar>
      </w:tblPr>
      <w:tblGrid>
        <w:gridCol w:w="548"/>
        <w:gridCol w:w="9135"/>
      </w:tblGrid>
      <w:tr w14:paraId="6BE1EEE0">
        <w:tblPrEx>
          <w:tblCellMar>
            <w:top w:w="0" w:type="dxa"/>
            <w:left w:w="0" w:type="dxa"/>
            <w:bottom w:w="0" w:type="dxa"/>
            <w:right w:w="0" w:type="dxa"/>
          </w:tblCellMar>
        </w:tblPrEx>
        <w:trPr>
          <w:cantSplit/>
          <w:trHeight w:val="403" w:hRule="atLeast"/>
          <w:jc w:val="center"/>
        </w:trPr>
        <w:tc>
          <w:tcPr>
            <w:tcW w:w="548" w:type="dxa"/>
            <w:vMerge w:val="restart"/>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14:paraId="0E4FCE6D">
            <w:pPr>
              <w:spacing w:line="360" w:lineRule="auto"/>
              <w:ind w:right="-120" w:rightChars="-57"/>
              <w:jc w:val="center"/>
              <w:rPr>
                <w:rFonts w:ascii="宋体" w:hAnsi="宋体"/>
                <w:b/>
                <w:color w:val="auto"/>
                <w:szCs w:val="21"/>
              </w:rPr>
            </w:pPr>
            <w:r>
              <w:rPr>
                <w:rFonts w:ascii="宋体" w:hAnsi="宋体"/>
                <w:b/>
                <w:color w:val="auto"/>
                <w:szCs w:val="21"/>
              </w:rPr>
              <w:t>序号</w:t>
            </w:r>
          </w:p>
        </w:tc>
        <w:tc>
          <w:tcPr>
            <w:tcW w:w="9135" w:type="dxa"/>
            <w:vMerge w:val="restart"/>
            <w:tcBorders>
              <w:top w:val="single" w:color="auto" w:sz="4" w:space="0"/>
              <w:left w:val="single" w:color="auto" w:sz="4" w:space="0"/>
              <w:bottom w:val="single" w:color="000000" w:sz="4" w:space="0"/>
              <w:right w:val="single" w:color="000000" w:sz="4" w:space="0"/>
            </w:tcBorders>
            <w:vAlign w:val="center"/>
          </w:tcPr>
          <w:p w14:paraId="654E41C6">
            <w:pPr>
              <w:spacing w:line="360" w:lineRule="auto"/>
              <w:ind w:right="-120" w:rightChars="-57"/>
              <w:jc w:val="center"/>
              <w:rPr>
                <w:rFonts w:ascii="宋体" w:hAnsi="宋体"/>
                <w:b/>
                <w:color w:val="auto"/>
                <w:szCs w:val="21"/>
              </w:rPr>
            </w:pPr>
            <w:r>
              <w:rPr>
                <w:rFonts w:ascii="宋体" w:hAnsi="宋体"/>
                <w:b/>
                <w:color w:val="auto"/>
                <w:szCs w:val="21"/>
              </w:rPr>
              <w:t>审查内容</w:t>
            </w:r>
          </w:p>
        </w:tc>
      </w:tr>
      <w:tr w14:paraId="52B7CCC5">
        <w:tblPrEx>
          <w:tblCellMar>
            <w:top w:w="0" w:type="dxa"/>
            <w:left w:w="0" w:type="dxa"/>
            <w:bottom w:w="0" w:type="dxa"/>
            <w:right w:w="0" w:type="dxa"/>
          </w:tblCellMar>
        </w:tblPrEx>
        <w:trPr>
          <w:cantSplit/>
          <w:trHeight w:val="403" w:hRule="atLeast"/>
          <w:jc w:val="center"/>
        </w:trPr>
        <w:tc>
          <w:tcPr>
            <w:tcW w:w="548" w:type="dxa"/>
            <w:vMerge w:val="continue"/>
            <w:tcBorders>
              <w:top w:val="single" w:color="auto" w:sz="4" w:space="0"/>
              <w:left w:val="single" w:color="auto" w:sz="4" w:space="0"/>
              <w:bottom w:val="single" w:color="000000" w:sz="4" w:space="0"/>
              <w:right w:val="single" w:color="auto" w:sz="4" w:space="0"/>
            </w:tcBorders>
            <w:vAlign w:val="center"/>
          </w:tcPr>
          <w:p w14:paraId="2C0EDB07">
            <w:pPr>
              <w:spacing w:line="360" w:lineRule="auto"/>
              <w:rPr>
                <w:rFonts w:ascii="宋体" w:hAnsi="宋体"/>
                <w:color w:val="auto"/>
                <w:szCs w:val="21"/>
              </w:rPr>
            </w:pPr>
          </w:p>
        </w:tc>
        <w:tc>
          <w:tcPr>
            <w:tcW w:w="9135" w:type="dxa"/>
            <w:vMerge w:val="continue"/>
            <w:tcBorders>
              <w:top w:val="single" w:color="auto" w:sz="4" w:space="0"/>
              <w:left w:val="single" w:color="auto" w:sz="4" w:space="0"/>
              <w:bottom w:val="single" w:color="000000" w:sz="4" w:space="0"/>
              <w:right w:val="single" w:color="000000" w:sz="4" w:space="0"/>
            </w:tcBorders>
            <w:vAlign w:val="center"/>
          </w:tcPr>
          <w:p w14:paraId="6874B4BF">
            <w:pPr>
              <w:spacing w:line="360" w:lineRule="auto"/>
              <w:rPr>
                <w:rFonts w:ascii="宋体" w:hAnsi="宋体"/>
                <w:color w:val="auto"/>
                <w:szCs w:val="21"/>
              </w:rPr>
            </w:pPr>
          </w:p>
        </w:tc>
      </w:tr>
      <w:tr w14:paraId="18368389">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000000" w:sz="4" w:space="0"/>
              <w:right w:val="single" w:color="auto" w:sz="4" w:space="0"/>
            </w:tcBorders>
            <w:vAlign w:val="center"/>
          </w:tcPr>
          <w:p w14:paraId="71A49592">
            <w:pPr>
              <w:pStyle w:val="70"/>
              <w:widowControl w:val="0"/>
              <w:pBdr>
                <w:bottom w:val="none" w:color="auto" w:sz="0" w:space="0"/>
                <w:right w:val="none" w:color="auto" w:sz="0" w:space="0"/>
              </w:pBdr>
              <w:spacing w:before="0" w:beforeAutospacing="0" w:after="0" w:afterAutospacing="0" w:line="360" w:lineRule="auto"/>
              <w:rPr>
                <w:color w:val="auto"/>
                <w:kern w:val="2"/>
              </w:rPr>
            </w:pPr>
            <w:r>
              <w:rPr>
                <w:color w:val="auto"/>
                <w:kern w:val="2"/>
              </w:rPr>
              <w:t>1</w:t>
            </w:r>
          </w:p>
        </w:tc>
        <w:tc>
          <w:tcPr>
            <w:tcW w:w="9135" w:type="dxa"/>
            <w:tcBorders>
              <w:top w:val="single" w:color="auto" w:sz="4" w:space="0"/>
              <w:left w:val="single" w:color="auto" w:sz="4" w:space="0"/>
              <w:bottom w:val="single" w:color="000000" w:sz="4" w:space="0"/>
              <w:right w:val="single" w:color="000000" w:sz="4" w:space="0"/>
            </w:tcBorders>
            <w:vAlign w:val="center"/>
          </w:tcPr>
          <w:p w14:paraId="532C3535">
            <w:pPr>
              <w:spacing w:line="360" w:lineRule="auto"/>
              <w:rPr>
                <w:rFonts w:ascii="宋体" w:cs="Tahoma"/>
                <w:color w:val="auto"/>
                <w:szCs w:val="21"/>
              </w:rPr>
            </w:pPr>
            <w:r>
              <w:rPr>
                <w:rFonts w:hint="eastAsia" w:ascii="宋体" w:cs="Tahoma"/>
                <w:color w:val="auto"/>
                <w:szCs w:val="21"/>
              </w:rPr>
              <w:t>提供在中华人民共和国境内注册的法人或其他组织的营业执照（或事业单位法人证书，或社会团体法人登记证书，或执业许可证）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如响应供应商为自然人的提供自然人身份证明复印件。</w:t>
            </w:r>
          </w:p>
        </w:tc>
      </w:tr>
      <w:tr w14:paraId="10AE96BD">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5E03A1D">
            <w:pPr>
              <w:spacing w:line="360" w:lineRule="auto"/>
              <w:jc w:val="center"/>
              <w:rPr>
                <w:rFonts w:ascii="宋体" w:hAnsi="宋体"/>
                <w:color w:val="auto"/>
                <w:szCs w:val="21"/>
              </w:rPr>
            </w:pPr>
            <w:r>
              <w:rPr>
                <w:rFonts w:ascii="宋体" w:hAnsi="宋体"/>
                <w:color w:val="auto"/>
                <w:szCs w:val="21"/>
              </w:rPr>
              <w:t>2</w:t>
            </w:r>
          </w:p>
        </w:tc>
        <w:tc>
          <w:tcPr>
            <w:tcW w:w="9135" w:type="dxa"/>
            <w:tcBorders>
              <w:top w:val="single" w:color="auto" w:sz="4" w:space="0"/>
              <w:left w:val="single" w:color="auto" w:sz="4" w:space="0"/>
              <w:bottom w:val="single" w:color="auto" w:sz="4" w:space="0"/>
              <w:right w:val="single" w:color="000000" w:sz="4" w:space="0"/>
            </w:tcBorders>
            <w:vAlign w:val="center"/>
          </w:tcPr>
          <w:p w14:paraId="0439BEBF">
            <w:pPr>
              <w:spacing w:line="360" w:lineRule="auto"/>
              <w:rPr>
                <w:rFonts w:ascii="宋体" w:cs="Tahoma"/>
                <w:color w:val="auto"/>
                <w:szCs w:val="21"/>
              </w:rPr>
            </w:pPr>
            <w:r>
              <w:rPr>
                <w:rFonts w:hint="eastAsia" w:ascii="宋体" w:cs="Tahoma"/>
                <w:color w:val="auto"/>
                <w:szCs w:val="21"/>
              </w:rPr>
              <w:t>具有良好的商业信誉和健全的财务会计制度。（提供响应供应商资格声明函，详见响应文件格式）</w:t>
            </w:r>
          </w:p>
        </w:tc>
      </w:tr>
      <w:tr w14:paraId="0F4061BF">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4D88DD95">
            <w:pPr>
              <w:spacing w:line="360" w:lineRule="auto"/>
              <w:jc w:val="center"/>
              <w:rPr>
                <w:rFonts w:ascii="宋体" w:hAnsi="宋体"/>
                <w:color w:val="auto"/>
                <w:szCs w:val="21"/>
              </w:rPr>
            </w:pPr>
            <w:r>
              <w:rPr>
                <w:rFonts w:ascii="宋体" w:hAnsi="宋体"/>
                <w:color w:val="auto"/>
                <w:szCs w:val="21"/>
              </w:rPr>
              <w:t>3</w:t>
            </w:r>
          </w:p>
        </w:tc>
        <w:tc>
          <w:tcPr>
            <w:tcW w:w="9135" w:type="dxa"/>
            <w:tcBorders>
              <w:top w:val="single" w:color="auto" w:sz="4" w:space="0"/>
              <w:left w:val="single" w:color="auto" w:sz="4" w:space="0"/>
              <w:bottom w:val="single" w:color="auto" w:sz="4" w:space="0"/>
              <w:right w:val="single" w:color="000000" w:sz="4" w:space="0"/>
            </w:tcBorders>
            <w:vAlign w:val="center"/>
          </w:tcPr>
          <w:p w14:paraId="2EE3C762">
            <w:pPr>
              <w:spacing w:line="360" w:lineRule="auto"/>
              <w:rPr>
                <w:rFonts w:ascii="宋体" w:cs="Tahoma"/>
                <w:color w:val="auto"/>
                <w:szCs w:val="21"/>
              </w:rPr>
            </w:pPr>
            <w:r>
              <w:rPr>
                <w:rFonts w:hint="eastAsia" w:ascii="宋体" w:cs="Tahoma"/>
                <w:color w:val="auto"/>
                <w:szCs w:val="21"/>
              </w:rPr>
              <w:t>具有履行合同所必需的专业技术能力。（提供响应供应商资格声明函，详见响应文件格式）</w:t>
            </w:r>
          </w:p>
        </w:tc>
      </w:tr>
      <w:tr w14:paraId="6597A973">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0E143A08">
            <w:pPr>
              <w:spacing w:line="360" w:lineRule="auto"/>
              <w:jc w:val="center"/>
              <w:rPr>
                <w:rFonts w:ascii="宋体" w:hAnsi="宋体"/>
                <w:color w:val="auto"/>
                <w:szCs w:val="21"/>
              </w:rPr>
            </w:pPr>
            <w:r>
              <w:rPr>
                <w:rFonts w:ascii="宋体" w:hAnsi="宋体"/>
                <w:color w:val="auto"/>
                <w:szCs w:val="21"/>
              </w:rPr>
              <w:t>4</w:t>
            </w:r>
          </w:p>
        </w:tc>
        <w:tc>
          <w:tcPr>
            <w:tcW w:w="9135" w:type="dxa"/>
            <w:tcBorders>
              <w:top w:val="single" w:color="auto" w:sz="4" w:space="0"/>
              <w:left w:val="single" w:color="auto" w:sz="4" w:space="0"/>
              <w:bottom w:val="single" w:color="auto" w:sz="4" w:space="0"/>
              <w:right w:val="single" w:color="000000" w:sz="4" w:space="0"/>
            </w:tcBorders>
            <w:vAlign w:val="center"/>
          </w:tcPr>
          <w:p w14:paraId="193C1E21">
            <w:pPr>
              <w:spacing w:line="360" w:lineRule="auto"/>
              <w:rPr>
                <w:rFonts w:ascii="宋体" w:cs="Tahoma"/>
                <w:color w:val="auto"/>
                <w:szCs w:val="21"/>
              </w:rPr>
            </w:pPr>
            <w:r>
              <w:rPr>
                <w:rFonts w:hint="eastAsia" w:ascii="宋体" w:cs="Tahoma"/>
                <w:color w:val="auto"/>
                <w:szCs w:val="21"/>
              </w:rPr>
              <w:t>具有依法缴纳税收和社会保障资金的良好记录。（提供响应供应商资格声明函，详见响应文件格式）</w:t>
            </w:r>
          </w:p>
        </w:tc>
      </w:tr>
      <w:tr w14:paraId="6CD8E08D">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C965DAB">
            <w:pPr>
              <w:spacing w:line="360" w:lineRule="auto"/>
              <w:jc w:val="center"/>
              <w:rPr>
                <w:rFonts w:ascii="宋体" w:hAnsi="宋体"/>
                <w:color w:val="auto"/>
                <w:szCs w:val="21"/>
              </w:rPr>
            </w:pPr>
            <w:r>
              <w:rPr>
                <w:rFonts w:ascii="宋体" w:hAnsi="宋体"/>
                <w:color w:val="auto"/>
                <w:szCs w:val="21"/>
              </w:rPr>
              <w:t>5</w:t>
            </w:r>
          </w:p>
        </w:tc>
        <w:tc>
          <w:tcPr>
            <w:tcW w:w="9135" w:type="dxa"/>
            <w:tcBorders>
              <w:top w:val="single" w:color="auto" w:sz="4" w:space="0"/>
              <w:left w:val="single" w:color="auto" w:sz="4" w:space="0"/>
              <w:bottom w:val="single" w:color="auto" w:sz="4" w:space="0"/>
              <w:right w:val="single" w:color="000000" w:sz="4" w:space="0"/>
            </w:tcBorders>
          </w:tcPr>
          <w:p w14:paraId="3340FEF6">
            <w:pPr>
              <w:spacing w:line="360" w:lineRule="auto"/>
              <w:rPr>
                <w:rFonts w:ascii="宋体" w:cs="Tahoma"/>
                <w:color w:val="auto"/>
                <w:szCs w:val="21"/>
              </w:rPr>
            </w:pPr>
            <w:r>
              <w:rPr>
                <w:rFonts w:hint="eastAsia" w:ascii="宋体" w:cs="Tahoma"/>
                <w:color w:val="auto"/>
                <w:szCs w:val="21"/>
              </w:rPr>
              <w:t>参加采购活动前三年内，在经营活动中没有重大违法记录声明函。（提供响应供应商资格声明函，详见响应文件格式）</w:t>
            </w:r>
          </w:p>
        </w:tc>
      </w:tr>
      <w:tr w14:paraId="0D05D65B">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A8DCE5A">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9135" w:type="dxa"/>
            <w:tcBorders>
              <w:top w:val="single" w:color="auto" w:sz="4" w:space="0"/>
              <w:left w:val="single" w:color="auto" w:sz="4" w:space="0"/>
              <w:bottom w:val="single" w:color="auto" w:sz="4" w:space="0"/>
              <w:right w:val="single" w:color="000000" w:sz="4" w:space="0"/>
            </w:tcBorders>
          </w:tcPr>
          <w:p w14:paraId="2360E659">
            <w:pPr>
              <w:spacing w:line="360" w:lineRule="auto"/>
              <w:rPr>
                <w:rFonts w:hint="eastAsia" w:ascii="宋体" w:cs="Tahoma"/>
                <w:color w:val="auto"/>
                <w:szCs w:val="21"/>
              </w:rPr>
            </w:pPr>
            <w:r>
              <w:rPr>
                <w:rFonts w:hint="eastAsia" w:ascii="宋体" w:hAnsi="宋体" w:cs="宋体"/>
                <w:szCs w:val="21"/>
                <w:lang w:val="en-US" w:eastAsia="zh-CN"/>
              </w:rPr>
              <w:t>存在任一级人民政府财政部门作出“禁止参加政府采购活动”行政处罚决定且处罚期限未届满的，不得参加政府采购活动。</w:t>
            </w:r>
            <w:r>
              <w:rPr>
                <w:rFonts w:hint="eastAsia" w:ascii="宋体" w:hAnsi="宋体" w:cs="Tahoma"/>
                <w:color w:val="auto"/>
                <w:szCs w:val="21"/>
              </w:rPr>
              <w:t>（提供响应供应商资格声明函，详见响应文件格式）</w:t>
            </w:r>
          </w:p>
        </w:tc>
      </w:tr>
      <w:tr w14:paraId="6BEB7C71">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1F88A09B">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9135" w:type="dxa"/>
            <w:tcBorders>
              <w:top w:val="single" w:color="auto" w:sz="4" w:space="0"/>
              <w:left w:val="single" w:color="auto" w:sz="4" w:space="0"/>
              <w:bottom w:val="single" w:color="auto" w:sz="4" w:space="0"/>
              <w:right w:val="single" w:color="000000" w:sz="4" w:space="0"/>
            </w:tcBorders>
            <w:vAlign w:val="center"/>
          </w:tcPr>
          <w:p w14:paraId="4FCB29D1">
            <w:pPr>
              <w:spacing w:line="360" w:lineRule="auto"/>
              <w:rPr>
                <w:rFonts w:ascii="宋体" w:cs="Tahoma"/>
                <w:color w:val="auto"/>
                <w:szCs w:val="21"/>
              </w:rPr>
            </w:pPr>
            <w:r>
              <w:rPr>
                <w:rFonts w:hint="eastAsia" w:ascii="宋体" w:cs="Tahoma"/>
                <w:color w:val="auto"/>
                <w:szCs w:val="21"/>
              </w:rPr>
              <w:t>提供《公平竞争承诺书》。</w:t>
            </w:r>
          </w:p>
        </w:tc>
      </w:tr>
      <w:tr w14:paraId="51C26F37">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DAEFAAC">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9135" w:type="dxa"/>
            <w:tcBorders>
              <w:top w:val="single" w:color="auto" w:sz="4" w:space="0"/>
              <w:left w:val="single" w:color="auto" w:sz="4" w:space="0"/>
              <w:bottom w:val="single" w:color="auto" w:sz="4" w:space="0"/>
              <w:right w:val="single" w:color="000000" w:sz="4" w:space="0"/>
            </w:tcBorders>
          </w:tcPr>
          <w:p w14:paraId="12F118F4">
            <w:pPr>
              <w:spacing w:line="360" w:lineRule="auto"/>
              <w:rPr>
                <w:rFonts w:ascii="宋体" w:cs="Tahoma"/>
                <w:color w:val="auto"/>
                <w:szCs w:val="21"/>
              </w:rPr>
            </w:pPr>
            <w:r>
              <w:rPr>
                <w:rFonts w:hint="eastAsia" w:ascii="宋体" w:cs="Tahoma"/>
                <w:color w:val="auto"/>
                <w:szCs w:val="21"/>
              </w:rPr>
              <w:t>为采购项目提供整体设计、规范编制或者项目管理、监理、检测等服务的供应商，不得再参加同一采购项目的其他采购活动。（提供响应供应商资格声明函，详见响应文件格式）</w:t>
            </w:r>
          </w:p>
        </w:tc>
      </w:tr>
      <w:tr w14:paraId="75390D14">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4E2BBA0B">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9135" w:type="dxa"/>
            <w:tcBorders>
              <w:top w:val="single" w:color="auto" w:sz="4" w:space="0"/>
              <w:left w:val="single" w:color="auto" w:sz="4" w:space="0"/>
              <w:bottom w:val="single" w:color="auto" w:sz="4" w:space="0"/>
              <w:right w:val="single" w:color="000000" w:sz="4" w:space="0"/>
            </w:tcBorders>
          </w:tcPr>
          <w:p w14:paraId="615C0C85">
            <w:pPr>
              <w:spacing w:line="360" w:lineRule="auto"/>
              <w:rPr>
                <w:rFonts w:ascii="宋体" w:cs="Tahoma"/>
                <w:color w:val="auto"/>
                <w:szCs w:val="21"/>
              </w:rPr>
            </w:pPr>
            <w:r>
              <w:rPr>
                <w:rFonts w:hint="eastAsia" w:ascii="宋体" w:cs="Tahoma"/>
                <w:color w:val="auto"/>
                <w:szCs w:val="21"/>
              </w:rPr>
              <w:t>单位负责人为同一人或者存在直接控股、管理关系的不同供应商，不得参加同一合同项下的采购活动。（提供响应供应商资格声明函，详见响应文件格式）</w:t>
            </w:r>
          </w:p>
        </w:tc>
      </w:tr>
      <w:tr w14:paraId="31CAEC31">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4C481F13">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9135" w:type="dxa"/>
            <w:tcBorders>
              <w:top w:val="single" w:color="auto" w:sz="4" w:space="0"/>
              <w:left w:val="single" w:color="auto" w:sz="4" w:space="0"/>
              <w:bottom w:val="single" w:color="auto" w:sz="4" w:space="0"/>
              <w:right w:val="single" w:color="000000" w:sz="4" w:space="0"/>
            </w:tcBorders>
          </w:tcPr>
          <w:p w14:paraId="5DCFCDE5">
            <w:pPr>
              <w:spacing w:line="360" w:lineRule="auto"/>
              <w:rPr>
                <w:rFonts w:ascii="宋体" w:cs="Tahoma"/>
                <w:color w:val="auto"/>
                <w:szCs w:val="21"/>
              </w:rPr>
            </w:pPr>
            <w:r>
              <w:rPr>
                <w:rFonts w:hint="eastAsia" w:ascii="宋体" w:hAnsi="宋体" w:cs="Tahoma"/>
                <w:color w:val="auto"/>
                <w:szCs w:val="21"/>
              </w:rPr>
              <w:t>响应供应商未被列入“中国执行信息公开网”（ http://zxgk.court.gov.cn/shixin/）“记录失信被执行人”名单；“信用中国”网站(www.creditchina.gov.cn)“重大税收违法案件当事人名单、采购严重违法失信行为”。如查询结果未显示存在失信记录，视为不存在上述不良信用记录。（①由采购代理机构于投标截止日当天在上述网站进行查询，同时对信用信息查询记录和证据截图或下载存档；②响应供应商为分公司的，同时对该分公司所属总公司（总所）进行信用记录查询，该分公司所属总公司（总所）存在不良信用记录的，视同响应供应商存在不良信用记录；③如相关失信记录已失效，响应供应商必须提供相关证明资料。）</w:t>
            </w:r>
          </w:p>
        </w:tc>
      </w:tr>
      <w:tr w14:paraId="0CDC68FE">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EE1C733">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1</w:t>
            </w:r>
          </w:p>
        </w:tc>
        <w:tc>
          <w:tcPr>
            <w:tcW w:w="9135" w:type="dxa"/>
            <w:tcBorders>
              <w:top w:val="single" w:color="auto" w:sz="4" w:space="0"/>
              <w:left w:val="single" w:color="auto" w:sz="4" w:space="0"/>
              <w:bottom w:val="single" w:color="auto" w:sz="4" w:space="0"/>
              <w:right w:val="single" w:color="000000" w:sz="4" w:space="0"/>
            </w:tcBorders>
            <w:vAlign w:val="center"/>
          </w:tcPr>
          <w:p w14:paraId="1D481DB8">
            <w:pPr>
              <w:spacing w:line="360" w:lineRule="auto"/>
              <w:rPr>
                <w:rFonts w:ascii="宋体" w:cs="Tahoma"/>
                <w:color w:val="auto"/>
                <w:szCs w:val="21"/>
              </w:rPr>
            </w:pPr>
            <w:r>
              <w:rPr>
                <w:rFonts w:hint="eastAsia" w:ascii="宋体" w:cs="Tahoma"/>
                <w:color w:val="auto"/>
                <w:szCs w:val="21"/>
              </w:rPr>
              <w:t>本项目不接受联合体投标。（提供响应供应商资格声明函，详见响应文件格式）</w:t>
            </w:r>
          </w:p>
        </w:tc>
      </w:tr>
      <w:tr w14:paraId="31D2CCFD">
        <w:tblPrEx>
          <w:tblCellMar>
            <w:top w:w="0" w:type="dxa"/>
            <w:left w:w="0" w:type="dxa"/>
            <w:bottom w:w="0" w:type="dxa"/>
            <w:right w:w="0" w:type="dxa"/>
          </w:tblCellMar>
        </w:tblPrEx>
        <w:trPr>
          <w:trHeight w:val="451" w:hRule="atLeast"/>
          <w:jc w:val="center"/>
        </w:trPr>
        <w:tc>
          <w:tcPr>
            <w:tcW w:w="54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134B0876">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9135" w:type="dxa"/>
            <w:tcBorders>
              <w:top w:val="single" w:color="auto" w:sz="4" w:space="0"/>
              <w:left w:val="single" w:color="auto" w:sz="4" w:space="0"/>
              <w:bottom w:val="single" w:color="auto" w:sz="4" w:space="0"/>
              <w:right w:val="single" w:color="000000" w:sz="4" w:space="0"/>
            </w:tcBorders>
          </w:tcPr>
          <w:p w14:paraId="58C42A92">
            <w:pPr>
              <w:pStyle w:val="10"/>
              <w:snapToGrid w:val="0"/>
              <w:spacing w:line="360" w:lineRule="auto"/>
              <w:ind w:left="0" w:leftChars="0"/>
              <w:rPr>
                <w:rFonts w:hint="eastAsia" w:ascii="宋体" w:eastAsia="宋体" w:cs="宋体"/>
                <w:color w:val="auto"/>
                <w:szCs w:val="21"/>
                <w:lang w:eastAsia="zh-CN"/>
              </w:rPr>
            </w:pPr>
            <w:r>
              <w:rPr>
                <w:rFonts w:hint="eastAsia" w:ascii="宋体" w:cs="宋体"/>
                <w:color w:val="auto"/>
                <w:szCs w:val="21"/>
              </w:rPr>
              <w:t>采购包整体专门面向中小企业，货物类采购项目供应商所投产品制造商须为符合本项目采购标的对应行业政策划分标准的中小微企业，工程类、服务类采购项目供应商须为符合本项目采购标的对应行业政策划分标准的中小微企业，残疾人福利性单位、监狱企业视同小型、微型企业。专门面向中小企业采购的项目不再执行价格评审优惠的扶持政策（提供中小企业声明函）。需落实政府采购政策为：促进中小企业发展政策、支持监狱企业发展政策、支持残疾人福利性单位发展政策、采购节能产品、环境标志产品、支持脱贫攻坚相关政策等。本项目采购标的根据《国家统计局关于印发&lt;统计上大中小微型企业划分办法(2017)&gt;的通知》（国统字〔2017〕213号）对应的大中小微型企业划分</w:t>
            </w:r>
            <w:r>
              <w:rPr>
                <w:rFonts w:hint="eastAsia" w:ascii="宋体" w:cs="宋体"/>
                <w:color w:val="auto"/>
                <w:szCs w:val="21"/>
                <w:lang w:eastAsia="zh-CN"/>
              </w:rPr>
              <w:t>标准，划分为租赁和商务服务业，请按该行业划分标准进行中小企业声明。</w:t>
            </w:r>
          </w:p>
        </w:tc>
      </w:tr>
    </w:tbl>
    <w:p w14:paraId="3FB376FF">
      <w:pPr>
        <w:rPr>
          <w:rFonts w:ascii="time of new roman" w:hAnsi="time of new roman"/>
          <w:color w:val="auto"/>
          <w:szCs w:val="21"/>
        </w:rPr>
      </w:pPr>
    </w:p>
    <w:p w14:paraId="1F6B004C">
      <w:pPr>
        <w:pStyle w:val="4"/>
        <w:rPr>
          <w:rFonts w:ascii="宋体" w:hAnsi="宋体" w:cs="宋体"/>
          <w:bCs w:val="0"/>
          <w:color w:val="auto"/>
          <w:sz w:val="21"/>
          <w:szCs w:val="21"/>
        </w:rPr>
      </w:pPr>
      <w:r>
        <w:rPr>
          <w:rFonts w:ascii="宋体" w:hAnsi="宋体" w:cs="宋体"/>
          <w:b w:val="0"/>
          <w:bCs w:val="0"/>
          <w:color w:val="auto"/>
          <w:sz w:val="21"/>
          <w:szCs w:val="21"/>
        </w:rPr>
        <w:br w:type="page"/>
      </w:r>
      <w:r>
        <w:rPr>
          <w:rFonts w:hint="eastAsia" w:ascii="宋体" w:hAnsi="宋体" w:cs="宋体"/>
          <w:bCs w:val="0"/>
          <w:color w:val="auto"/>
          <w:sz w:val="28"/>
        </w:rPr>
        <w:t>附表二：</w:t>
      </w:r>
      <w:r>
        <w:rPr>
          <w:rFonts w:ascii="宋体" w:hAnsi="宋体" w:cs="宋体"/>
          <w:bCs w:val="0"/>
          <w:color w:val="auto"/>
          <w:sz w:val="28"/>
        </w:rPr>
        <w:t>符合性评审表</w:t>
      </w:r>
    </w:p>
    <w:p w14:paraId="71E40334">
      <w:pPr>
        <w:spacing w:line="360" w:lineRule="auto"/>
        <w:rPr>
          <w:rFonts w:hint="eastAsia" w:ascii="宋体" w:hAnsi="宋体" w:eastAsia="宋体" w:cs="宋体"/>
          <w:color w:val="auto"/>
          <w:szCs w:val="21"/>
          <w:lang w:eastAsia="zh-CN"/>
        </w:rPr>
      </w:pPr>
      <w:r>
        <w:rPr>
          <w:rFonts w:ascii="宋体" w:hAnsi="宋体" w:cs="宋体"/>
          <w:color w:val="auto"/>
          <w:szCs w:val="21"/>
        </w:rPr>
        <w:t>项目名称：</w:t>
      </w:r>
      <w:r>
        <w:rPr>
          <w:rFonts w:hint="eastAsia" w:ascii="宋体" w:hAnsi="宋体" w:cs="宋体"/>
          <w:color w:val="auto"/>
          <w:kern w:val="28"/>
          <w:szCs w:val="21"/>
          <w:lang w:eastAsia="zh-CN"/>
        </w:rPr>
        <w:t>2024年广州市南沙政务服务公众考核满意度调查项目</w:t>
      </w:r>
    </w:p>
    <w:p w14:paraId="24454548">
      <w:pPr>
        <w:spacing w:line="360" w:lineRule="auto"/>
        <w:rPr>
          <w:rFonts w:hint="eastAsia" w:ascii="宋体" w:hAnsi="宋体" w:eastAsia="宋体" w:cs="宋体"/>
          <w:color w:val="auto"/>
          <w:szCs w:val="21"/>
          <w:lang w:eastAsia="zh-CN"/>
        </w:rPr>
      </w:pPr>
      <w:r>
        <w:rPr>
          <w:rFonts w:ascii="宋体" w:hAnsi="宋体" w:cs="宋体"/>
          <w:color w:val="auto"/>
          <w:szCs w:val="21"/>
        </w:rPr>
        <w:t>项目编号：</w:t>
      </w:r>
      <w:r>
        <w:rPr>
          <w:rFonts w:hint="eastAsia" w:ascii="宋体" w:hAnsi="宋体" w:cs="宋体"/>
          <w:color w:val="auto"/>
          <w:szCs w:val="21"/>
          <w:lang w:eastAsia="zh-CN"/>
        </w:rPr>
        <w:t>GDWCFFC2312121</w:t>
      </w:r>
    </w:p>
    <w:tbl>
      <w:tblPr>
        <w:tblStyle w:val="27"/>
        <w:tblW w:w="9267"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33"/>
        <w:gridCol w:w="8034"/>
      </w:tblGrid>
      <w:tr w14:paraId="040DF57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233" w:type="dxa"/>
            <w:tcBorders>
              <w:right w:val="single" w:color="auto" w:sz="4" w:space="0"/>
            </w:tcBorders>
            <w:vAlign w:val="center"/>
          </w:tcPr>
          <w:p w14:paraId="6C8D12FD">
            <w:pPr>
              <w:spacing w:line="360" w:lineRule="auto"/>
              <w:jc w:val="center"/>
              <w:rPr>
                <w:rFonts w:ascii="宋体" w:hAnsi="宋体" w:cs="宋体"/>
                <w:b/>
                <w:color w:val="auto"/>
                <w:szCs w:val="21"/>
              </w:rPr>
            </w:pPr>
            <w:r>
              <w:rPr>
                <w:rFonts w:ascii="宋体" w:hAnsi="宋体" w:cs="宋体"/>
                <w:b/>
                <w:color w:val="auto"/>
                <w:szCs w:val="21"/>
              </w:rPr>
              <w:t>序号</w:t>
            </w:r>
          </w:p>
        </w:tc>
        <w:tc>
          <w:tcPr>
            <w:tcW w:w="8034" w:type="dxa"/>
            <w:tcBorders>
              <w:left w:val="single" w:color="auto" w:sz="4" w:space="0"/>
            </w:tcBorders>
            <w:vAlign w:val="center"/>
          </w:tcPr>
          <w:p w14:paraId="5FC84CD2">
            <w:pPr>
              <w:spacing w:line="360" w:lineRule="auto"/>
              <w:jc w:val="center"/>
              <w:rPr>
                <w:rFonts w:ascii="宋体" w:hAnsi="宋体" w:cs="宋体"/>
                <w:b/>
                <w:color w:val="auto"/>
                <w:szCs w:val="21"/>
              </w:rPr>
            </w:pPr>
            <w:r>
              <w:rPr>
                <w:rFonts w:ascii="宋体" w:hAnsi="宋体" w:cs="宋体"/>
                <w:b/>
                <w:color w:val="auto"/>
                <w:szCs w:val="21"/>
              </w:rPr>
              <w:t>评审内容</w:t>
            </w:r>
          </w:p>
        </w:tc>
      </w:tr>
      <w:tr w14:paraId="62FBDD5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33" w:type="dxa"/>
            <w:tcBorders>
              <w:bottom w:val="single" w:color="auto" w:sz="4" w:space="0"/>
            </w:tcBorders>
            <w:vAlign w:val="center"/>
          </w:tcPr>
          <w:p w14:paraId="48751B5C">
            <w:pPr>
              <w:spacing w:line="360" w:lineRule="auto"/>
              <w:jc w:val="center"/>
              <w:rPr>
                <w:rFonts w:ascii="宋体" w:hAnsi="宋体" w:cs="宋体"/>
                <w:color w:val="auto"/>
                <w:szCs w:val="21"/>
              </w:rPr>
            </w:pPr>
            <w:r>
              <w:rPr>
                <w:rFonts w:ascii="宋体" w:hAnsi="宋体" w:cs="宋体"/>
                <w:color w:val="auto"/>
                <w:szCs w:val="21"/>
              </w:rPr>
              <w:t>1</w:t>
            </w:r>
          </w:p>
        </w:tc>
        <w:tc>
          <w:tcPr>
            <w:tcW w:w="8034" w:type="dxa"/>
            <w:vAlign w:val="center"/>
          </w:tcPr>
          <w:p w14:paraId="1E3B9BDD">
            <w:pPr>
              <w:spacing w:line="360" w:lineRule="auto"/>
              <w:jc w:val="left"/>
              <w:rPr>
                <w:rFonts w:hint="eastAsia" w:ascii="宋体" w:hAnsi="宋体" w:eastAsia="宋体" w:cs="宋体"/>
                <w:bCs/>
                <w:color w:val="auto"/>
                <w:kern w:val="0"/>
                <w:szCs w:val="21"/>
                <w:lang w:eastAsia="zh-CN"/>
              </w:rPr>
            </w:pPr>
            <w:r>
              <w:rPr>
                <w:rFonts w:ascii="宋体" w:hAnsi="宋体" w:cs="宋体"/>
                <w:bCs/>
                <w:color w:val="auto"/>
                <w:kern w:val="0"/>
                <w:szCs w:val="21"/>
              </w:rPr>
              <w:t>是否满足磋商文件提出的</w:t>
            </w:r>
            <w:r>
              <w:rPr>
                <w:rFonts w:hint="eastAsia" w:ascii="宋体" w:hAnsi="宋体"/>
                <w:bCs/>
                <w:color w:val="auto"/>
                <w:szCs w:val="21"/>
                <w:lang w:eastAsia="zh-CN"/>
              </w:rPr>
              <w:t>合同履行期限</w:t>
            </w:r>
          </w:p>
        </w:tc>
      </w:tr>
      <w:tr w14:paraId="5266771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tcBorders>
            <w:vAlign w:val="center"/>
          </w:tcPr>
          <w:p w14:paraId="5882980E">
            <w:pPr>
              <w:spacing w:line="360" w:lineRule="auto"/>
              <w:jc w:val="center"/>
              <w:rPr>
                <w:rFonts w:ascii="宋体" w:hAnsi="宋体" w:cs="宋体"/>
                <w:color w:val="auto"/>
                <w:szCs w:val="21"/>
              </w:rPr>
            </w:pPr>
            <w:r>
              <w:rPr>
                <w:rFonts w:ascii="宋体" w:hAnsi="宋体" w:cs="宋体"/>
                <w:color w:val="auto"/>
                <w:szCs w:val="21"/>
              </w:rPr>
              <w:t>2</w:t>
            </w:r>
          </w:p>
        </w:tc>
        <w:tc>
          <w:tcPr>
            <w:tcW w:w="8034" w:type="dxa"/>
            <w:vAlign w:val="center"/>
          </w:tcPr>
          <w:p w14:paraId="3B378C11">
            <w:pPr>
              <w:spacing w:line="360" w:lineRule="auto"/>
              <w:rPr>
                <w:rFonts w:ascii="宋体" w:hAnsi="宋体" w:cs="宋体"/>
                <w:bCs/>
                <w:color w:val="auto"/>
                <w:kern w:val="0"/>
                <w:szCs w:val="21"/>
              </w:rPr>
            </w:pPr>
            <w:r>
              <w:rPr>
                <w:rFonts w:hint="eastAsia" w:ascii="宋体" w:cs="宋体"/>
                <w:color w:val="auto"/>
                <w:szCs w:val="21"/>
              </w:rPr>
              <w:t>是否符合竞争性磋商文件的关于响应文件的签署盖章要求</w:t>
            </w:r>
          </w:p>
        </w:tc>
      </w:tr>
      <w:tr w14:paraId="1D6BB4D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tcBorders>
            <w:vAlign w:val="center"/>
          </w:tcPr>
          <w:p w14:paraId="1F80B8CF">
            <w:pPr>
              <w:spacing w:line="360" w:lineRule="auto"/>
              <w:jc w:val="center"/>
              <w:rPr>
                <w:rFonts w:ascii="宋体" w:hAnsi="宋体" w:cs="宋体"/>
                <w:color w:val="auto"/>
                <w:szCs w:val="21"/>
              </w:rPr>
            </w:pPr>
            <w:r>
              <w:rPr>
                <w:rFonts w:ascii="宋体" w:hAnsi="宋体" w:cs="宋体"/>
                <w:color w:val="auto"/>
                <w:szCs w:val="21"/>
              </w:rPr>
              <w:t>3</w:t>
            </w:r>
          </w:p>
        </w:tc>
        <w:tc>
          <w:tcPr>
            <w:tcW w:w="8034" w:type="dxa"/>
            <w:vAlign w:val="center"/>
          </w:tcPr>
          <w:p w14:paraId="09501EE3">
            <w:pPr>
              <w:spacing w:line="360" w:lineRule="auto"/>
              <w:rPr>
                <w:rFonts w:ascii="宋体" w:hAnsi="宋体" w:cs="宋体"/>
                <w:color w:val="auto"/>
                <w:szCs w:val="21"/>
              </w:rPr>
            </w:pPr>
            <w:r>
              <w:rPr>
                <w:rFonts w:hint="eastAsia" w:ascii="宋体" w:cs="宋体"/>
                <w:color w:val="auto"/>
                <w:szCs w:val="21"/>
              </w:rPr>
              <w:t>投标有效期是否为90天</w:t>
            </w:r>
          </w:p>
        </w:tc>
      </w:tr>
      <w:tr w14:paraId="4723D43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3" w:type="dxa"/>
            <w:tcBorders>
              <w:bottom w:val="single" w:color="auto" w:sz="4" w:space="0"/>
            </w:tcBorders>
            <w:vAlign w:val="center"/>
          </w:tcPr>
          <w:p w14:paraId="3F96F034">
            <w:pPr>
              <w:spacing w:line="360" w:lineRule="auto"/>
              <w:jc w:val="center"/>
              <w:rPr>
                <w:rFonts w:ascii="宋体" w:hAnsi="宋体" w:cs="宋体"/>
                <w:color w:val="auto"/>
                <w:szCs w:val="21"/>
              </w:rPr>
            </w:pPr>
            <w:r>
              <w:rPr>
                <w:rFonts w:ascii="宋体" w:hAnsi="宋体" w:cs="宋体"/>
                <w:color w:val="auto"/>
                <w:szCs w:val="21"/>
              </w:rPr>
              <w:t>4</w:t>
            </w:r>
          </w:p>
        </w:tc>
        <w:tc>
          <w:tcPr>
            <w:tcW w:w="8034" w:type="dxa"/>
            <w:vAlign w:val="center"/>
          </w:tcPr>
          <w:p w14:paraId="402EDF31">
            <w:pPr>
              <w:spacing w:line="360" w:lineRule="auto"/>
              <w:rPr>
                <w:rFonts w:ascii="宋体" w:hAnsi="宋体" w:cs="宋体"/>
                <w:color w:val="auto"/>
                <w:szCs w:val="21"/>
              </w:rPr>
            </w:pPr>
            <w:r>
              <w:rPr>
                <w:rFonts w:hint="eastAsia" w:ascii="宋体" w:cs="宋体"/>
                <w:color w:val="auto"/>
                <w:szCs w:val="21"/>
              </w:rPr>
              <w:t>是否按规定提交法定代表人证明书/法人授权委托书</w:t>
            </w:r>
          </w:p>
        </w:tc>
      </w:tr>
      <w:tr w14:paraId="6D0D3EE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3" w:type="dxa"/>
            <w:tcBorders>
              <w:bottom w:val="single" w:color="auto" w:sz="4" w:space="0"/>
            </w:tcBorders>
            <w:vAlign w:val="center"/>
          </w:tcPr>
          <w:p w14:paraId="720EB53C">
            <w:pPr>
              <w:spacing w:line="360" w:lineRule="auto"/>
              <w:jc w:val="center"/>
              <w:rPr>
                <w:rFonts w:ascii="宋体" w:hAnsi="宋体" w:cs="宋体"/>
                <w:color w:val="auto"/>
                <w:szCs w:val="21"/>
              </w:rPr>
            </w:pPr>
            <w:r>
              <w:rPr>
                <w:rFonts w:ascii="宋体" w:hAnsi="宋体" w:cs="宋体"/>
                <w:color w:val="auto"/>
                <w:szCs w:val="21"/>
              </w:rPr>
              <w:t>5</w:t>
            </w:r>
          </w:p>
        </w:tc>
        <w:tc>
          <w:tcPr>
            <w:tcW w:w="8034" w:type="dxa"/>
            <w:vAlign w:val="center"/>
          </w:tcPr>
          <w:p w14:paraId="21DC94C4">
            <w:pPr>
              <w:spacing w:line="360" w:lineRule="auto"/>
              <w:rPr>
                <w:rFonts w:ascii="宋体" w:hAnsi="宋体" w:cs="宋体"/>
                <w:color w:val="auto"/>
                <w:szCs w:val="21"/>
              </w:rPr>
            </w:pPr>
            <w:r>
              <w:rPr>
                <w:rFonts w:hint="eastAsia" w:ascii="宋体" w:cs="宋体"/>
                <w:color w:val="auto"/>
                <w:szCs w:val="21"/>
              </w:rPr>
              <w:t>响应报价固定唯一，且响应报价没有超过最高限价</w:t>
            </w:r>
          </w:p>
        </w:tc>
      </w:tr>
      <w:tr w14:paraId="60E5955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bottom w:val="single" w:color="auto" w:sz="4" w:space="0"/>
            </w:tcBorders>
            <w:vAlign w:val="center"/>
          </w:tcPr>
          <w:p w14:paraId="56932B8D">
            <w:pPr>
              <w:spacing w:line="360" w:lineRule="auto"/>
              <w:jc w:val="center"/>
              <w:rPr>
                <w:rFonts w:ascii="宋体" w:hAnsi="宋体" w:cs="宋体"/>
                <w:color w:val="auto"/>
                <w:szCs w:val="21"/>
              </w:rPr>
            </w:pPr>
            <w:r>
              <w:rPr>
                <w:rFonts w:ascii="宋体" w:hAnsi="宋体" w:cs="宋体"/>
                <w:color w:val="auto"/>
                <w:szCs w:val="21"/>
              </w:rPr>
              <w:t>6</w:t>
            </w:r>
          </w:p>
        </w:tc>
        <w:tc>
          <w:tcPr>
            <w:tcW w:w="8034" w:type="dxa"/>
            <w:vAlign w:val="center"/>
          </w:tcPr>
          <w:p w14:paraId="41EF558B">
            <w:pPr>
              <w:spacing w:line="360" w:lineRule="auto"/>
              <w:rPr>
                <w:rFonts w:ascii="宋体" w:hAnsi="宋体" w:cs="宋体"/>
                <w:color w:val="auto"/>
                <w:szCs w:val="21"/>
              </w:rPr>
            </w:pPr>
            <w:r>
              <w:rPr>
                <w:rFonts w:hint="eastAsia" w:ascii="宋体" w:cs="宋体"/>
                <w:color w:val="auto"/>
                <w:szCs w:val="21"/>
              </w:rPr>
              <w:t>磋商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磋商小组应当将其作为无效报价处理</w:t>
            </w:r>
          </w:p>
        </w:tc>
      </w:tr>
      <w:tr w14:paraId="0A8F996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bottom w:val="single" w:color="auto" w:sz="4" w:space="0"/>
            </w:tcBorders>
            <w:vAlign w:val="center"/>
          </w:tcPr>
          <w:p w14:paraId="37F913FF">
            <w:pPr>
              <w:spacing w:line="360" w:lineRule="auto"/>
              <w:jc w:val="center"/>
              <w:rPr>
                <w:rFonts w:ascii="宋体" w:hAnsi="宋体" w:cs="宋体"/>
                <w:color w:val="auto"/>
                <w:szCs w:val="21"/>
              </w:rPr>
            </w:pPr>
            <w:r>
              <w:rPr>
                <w:rFonts w:hint="eastAsia" w:ascii="宋体" w:hAnsi="宋体" w:cs="宋体"/>
                <w:color w:val="auto"/>
                <w:szCs w:val="21"/>
              </w:rPr>
              <w:t>7</w:t>
            </w:r>
          </w:p>
        </w:tc>
        <w:tc>
          <w:tcPr>
            <w:tcW w:w="8034" w:type="dxa"/>
            <w:vAlign w:val="center"/>
          </w:tcPr>
          <w:p w14:paraId="4F550057">
            <w:pPr>
              <w:spacing w:line="360" w:lineRule="auto"/>
              <w:rPr>
                <w:rFonts w:ascii="宋体" w:hAnsi="宋体" w:cs="宋体"/>
                <w:color w:val="auto"/>
                <w:szCs w:val="21"/>
              </w:rPr>
            </w:pPr>
            <w:r>
              <w:rPr>
                <w:rFonts w:hint="eastAsia" w:ascii="宋体" w:cs="宋体"/>
                <w:color w:val="auto"/>
                <w:szCs w:val="21"/>
              </w:rPr>
              <w:t>未发现属无效报价的其他情形</w:t>
            </w:r>
          </w:p>
        </w:tc>
      </w:tr>
      <w:tr w14:paraId="7E43FD5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bottom w:val="single" w:color="auto" w:sz="4" w:space="0"/>
            </w:tcBorders>
            <w:vAlign w:val="center"/>
          </w:tcPr>
          <w:p w14:paraId="5A69FAB5">
            <w:pPr>
              <w:spacing w:line="360" w:lineRule="auto"/>
              <w:jc w:val="center"/>
              <w:rPr>
                <w:rFonts w:ascii="宋体" w:hAnsi="宋体" w:cs="宋体"/>
                <w:color w:val="auto"/>
                <w:szCs w:val="21"/>
              </w:rPr>
            </w:pPr>
            <w:r>
              <w:rPr>
                <w:rFonts w:hint="eastAsia" w:ascii="宋体" w:hAnsi="宋体" w:cs="宋体"/>
                <w:color w:val="auto"/>
                <w:szCs w:val="21"/>
              </w:rPr>
              <w:t>8</w:t>
            </w:r>
          </w:p>
        </w:tc>
        <w:tc>
          <w:tcPr>
            <w:tcW w:w="8034" w:type="dxa"/>
            <w:vAlign w:val="center"/>
          </w:tcPr>
          <w:p w14:paraId="07B56966">
            <w:pPr>
              <w:spacing w:line="360" w:lineRule="auto"/>
              <w:rPr>
                <w:rFonts w:ascii="宋体" w:hAnsi="宋体" w:cs="宋体"/>
                <w:color w:val="auto"/>
                <w:szCs w:val="21"/>
              </w:rPr>
            </w:pPr>
            <w:r>
              <w:rPr>
                <w:rFonts w:hint="eastAsia" w:ascii="宋体" w:cs="宋体"/>
                <w:color w:val="auto"/>
                <w:szCs w:val="21"/>
              </w:rPr>
              <w:t>有关法律、法规、规章是否不属于报价无效的</w:t>
            </w:r>
          </w:p>
        </w:tc>
      </w:tr>
    </w:tbl>
    <w:p w14:paraId="0ABF80C1">
      <w:pPr>
        <w:spacing w:line="360" w:lineRule="auto"/>
        <w:rPr>
          <w:rFonts w:ascii="宋体" w:hAnsi="宋体" w:cs="宋体"/>
          <w:color w:val="auto"/>
          <w:szCs w:val="21"/>
        </w:rPr>
      </w:pPr>
    </w:p>
    <w:p w14:paraId="4F8948D6">
      <w:pPr>
        <w:pStyle w:val="4"/>
        <w:rPr>
          <w:rFonts w:ascii="宋体" w:hAnsi="宋体" w:cs="宋体"/>
          <w:bCs w:val="0"/>
          <w:color w:val="auto"/>
          <w:sz w:val="21"/>
          <w:szCs w:val="21"/>
        </w:rPr>
      </w:pPr>
      <w:r>
        <w:rPr>
          <w:rFonts w:ascii="宋体" w:hAnsi="宋体" w:cs="宋体"/>
          <w:color w:val="auto"/>
          <w:sz w:val="21"/>
          <w:szCs w:val="21"/>
        </w:rPr>
        <w:br w:type="page"/>
      </w:r>
      <w:r>
        <w:rPr>
          <w:rFonts w:hint="eastAsia" w:ascii="宋体" w:hAnsi="宋体" w:cs="宋体"/>
          <w:bCs w:val="0"/>
          <w:color w:val="auto"/>
          <w:sz w:val="28"/>
        </w:rPr>
        <w:t>附表三：</w:t>
      </w:r>
      <w:r>
        <w:rPr>
          <w:rFonts w:ascii="宋体" w:hAnsi="宋体" w:cs="宋体"/>
          <w:bCs w:val="0"/>
          <w:color w:val="auto"/>
          <w:sz w:val="28"/>
        </w:rPr>
        <w:t>技术评审表</w:t>
      </w:r>
    </w:p>
    <w:p w14:paraId="344B9FE1">
      <w:pPr>
        <w:spacing w:line="276" w:lineRule="auto"/>
        <w:rPr>
          <w:rFonts w:hint="eastAsia" w:ascii="宋体" w:hAnsi="宋体" w:eastAsia="宋体" w:cs="宋体"/>
          <w:color w:val="auto"/>
          <w:kern w:val="28"/>
          <w:szCs w:val="21"/>
          <w:lang w:eastAsia="zh-CN"/>
        </w:rPr>
      </w:pPr>
      <w:r>
        <w:rPr>
          <w:rFonts w:ascii="宋体" w:hAnsi="宋体" w:cs="宋体"/>
          <w:color w:val="auto"/>
          <w:kern w:val="28"/>
          <w:szCs w:val="21"/>
        </w:rPr>
        <w:t>项目名称：</w:t>
      </w:r>
      <w:r>
        <w:rPr>
          <w:rFonts w:hint="eastAsia" w:ascii="宋体" w:hAnsi="宋体" w:cs="宋体"/>
          <w:color w:val="auto"/>
          <w:kern w:val="28"/>
          <w:szCs w:val="21"/>
          <w:lang w:eastAsia="zh-CN"/>
        </w:rPr>
        <w:t>2024年广州市南沙政务服务公众考核满意度调查项目</w:t>
      </w:r>
    </w:p>
    <w:p w14:paraId="592460C7">
      <w:pPr>
        <w:spacing w:line="276" w:lineRule="auto"/>
        <w:rPr>
          <w:rFonts w:hint="eastAsia" w:eastAsia="宋体"/>
          <w:color w:val="auto"/>
          <w:lang w:eastAsia="zh-CN"/>
        </w:rPr>
      </w:pPr>
      <w:r>
        <w:rPr>
          <w:rFonts w:ascii="宋体" w:hAnsi="宋体" w:cs="宋体"/>
          <w:color w:val="auto"/>
          <w:kern w:val="28"/>
          <w:szCs w:val="21"/>
        </w:rPr>
        <w:t>项目编号：</w:t>
      </w:r>
      <w:r>
        <w:rPr>
          <w:rFonts w:hint="eastAsia" w:ascii="宋体" w:hAnsi="宋体" w:cs="宋体"/>
          <w:color w:val="auto"/>
          <w:kern w:val="28"/>
          <w:szCs w:val="21"/>
          <w:lang w:eastAsia="zh-CN"/>
        </w:rPr>
        <w:t>GDWCFFC2312121</w:t>
      </w:r>
    </w:p>
    <w:tbl>
      <w:tblPr>
        <w:tblStyle w:val="27"/>
        <w:tblpPr w:leftFromText="180" w:rightFromText="180" w:vertAnchor="text" w:horzAnchor="page" w:tblpX="1335" w:tblpY="355"/>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737"/>
        <w:gridCol w:w="1276"/>
        <w:gridCol w:w="850"/>
        <w:gridCol w:w="6632"/>
      </w:tblGrid>
      <w:tr w14:paraId="43DE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7" w:type="dxa"/>
            <w:vAlign w:val="center"/>
          </w:tcPr>
          <w:p w14:paraId="0D10396E">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6" w:type="dxa"/>
            <w:vAlign w:val="center"/>
          </w:tcPr>
          <w:p w14:paraId="787D983B">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评审分项</w:t>
            </w:r>
          </w:p>
        </w:tc>
        <w:tc>
          <w:tcPr>
            <w:tcW w:w="850" w:type="dxa"/>
            <w:vAlign w:val="center"/>
          </w:tcPr>
          <w:p w14:paraId="28405373">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6632" w:type="dxa"/>
            <w:vAlign w:val="center"/>
          </w:tcPr>
          <w:p w14:paraId="4A89FE97">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7AB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83" w:hRule="atLeast"/>
        </w:trPr>
        <w:tc>
          <w:tcPr>
            <w:tcW w:w="737" w:type="dxa"/>
            <w:vAlign w:val="center"/>
          </w:tcPr>
          <w:p w14:paraId="02FE1C7F">
            <w:pPr>
              <w:spacing w:line="360" w:lineRule="auto"/>
              <w:jc w:val="center"/>
              <w:rPr>
                <w:rFonts w:hint="eastAsia" w:ascii="宋体" w:hAnsi="宋体" w:eastAsia="宋体" w:cs="宋体"/>
                <w:bCs/>
                <w:color w:val="auto"/>
                <w:sz w:val="21"/>
                <w:szCs w:val="21"/>
              </w:rPr>
            </w:pPr>
            <w:r>
              <w:rPr>
                <w:rFonts w:hint="eastAsia" w:ascii="宋体" w:hAnsi="宋体" w:eastAsia="宋体" w:cs="宋体"/>
                <w:color w:val="auto"/>
                <w:sz w:val="21"/>
                <w:szCs w:val="21"/>
              </w:rPr>
              <w:t>1</w:t>
            </w:r>
          </w:p>
        </w:tc>
        <w:tc>
          <w:tcPr>
            <w:tcW w:w="1276" w:type="dxa"/>
            <w:vAlign w:val="center"/>
          </w:tcPr>
          <w:p w14:paraId="066E7270">
            <w:pPr>
              <w:snapToGrid w:val="0"/>
              <w:spacing w:line="360" w:lineRule="auto"/>
              <w:jc w:val="center"/>
              <w:rPr>
                <w:rFonts w:hint="eastAsia" w:ascii="宋体" w:hAnsi="宋体" w:eastAsia="宋体" w:cs="宋体"/>
                <w:bCs/>
                <w:color w:val="auto"/>
                <w:sz w:val="21"/>
                <w:szCs w:val="21"/>
              </w:rPr>
            </w:pPr>
            <w:r>
              <w:t>项目理解程度</w:t>
            </w:r>
          </w:p>
        </w:tc>
        <w:tc>
          <w:tcPr>
            <w:tcW w:w="850" w:type="dxa"/>
            <w:vAlign w:val="center"/>
          </w:tcPr>
          <w:p w14:paraId="242787C0">
            <w:pPr>
              <w:snapToGrid w:val="0"/>
              <w:spacing w:line="360" w:lineRule="auto"/>
              <w:jc w:val="center"/>
              <w:rPr>
                <w:rFonts w:hint="eastAsia" w:ascii="宋体" w:hAnsi="宋体" w:eastAsia="宋体" w:cs="宋体"/>
                <w:bCs/>
                <w:color w:val="auto"/>
                <w:sz w:val="21"/>
                <w:szCs w:val="21"/>
                <w:lang w:val="en-US" w:eastAsia="zh-CN"/>
              </w:rPr>
            </w:pPr>
            <w:r>
              <w:rPr>
                <w:rFonts w:hint="eastAsia" w:ascii="宋体" w:hAnsi="宋体" w:cs="宋体"/>
                <w:color w:val="auto"/>
                <w:sz w:val="21"/>
                <w:szCs w:val="21"/>
                <w:lang w:val="en-US" w:eastAsia="zh-CN"/>
              </w:rPr>
              <w:t>10分</w:t>
            </w:r>
          </w:p>
        </w:tc>
        <w:tc>
          <w:tcPr>
            <w:tcW w:w="6632" w:type="dxa"/>
            <w:vAlign w:val="center"/>
          </w:tcPr>
          <w:p w14:paraId="4B7CD47F">
            <w:pPr>
              <w:spacing w:line="360" w:lineRule="auto"/>
              <w:jc w:val="left"/>
              <w:rPr>
                <w:rFonts w:hint="eastAsia" w:ascii="宋体" w:hAnsi="宋体" w:eastAsia="宋体" w:cs="宋体"/>
                <w:color w:val="auto"/>
                <w:sz w:val="21"/>
                <w:szCs w:val="21"/>
                <w:lang w:val="zh-CN"/>
              </w:rPr>
            </w:pPr>
            <w:r>
              <w:t>针对响应供应商提供本项目的项目理解程度（包括但不限于对本项目的理解、项目背景、目标、内容的把握等内容）进行评审：  1.能够针对本项目的具体服务内容提供对本项目的理解、项目背景、目标、内容的把握等内容，项目背景了解全面且项目对接、处理经验丰富，内容描述清晰，有针对性，实施目标明确，能够充分贴合项目的实施要求：10分； 2.能够针对本项目的具体服务内容提供对本项目的理解、项目背景、目标、内容的把握等内容，项目背景了解全面，内容描述清晰，实施目标明确，基本贴合项目的实施要求：7分； 3.能够针对本项目的具体服务内容提供对本项目的理解、项目背景、目标、内容的把握等内容，项目背景了解部分全面，内容描述部分清晰，实施目标部分明确，部分贴合项目的实施要求：4分； 4.能够针对本项目的具体服务内容提供对本项目的理解、项目背景、目标、内容的把握等内容，项目背景了解不全面，内容描述部分不清晰，实施目标不明确，无法充分贴合项目的实施要求：1分； 5.无提供不得分。</w:t>
            </w:r>
          </w:p>
        </w:tc>
      </w:tr>
      <w:tr w14:paraId="7C47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0" w:hRule="atLeast"/>
        </w:trPr>
        <w:tc>
          <w:tcPr>
            <w:tcW w:w="737" w:type="dxa"/>
            <w:vAlign w:val="center"/>
          </w:tcPr>
          <w:p w14:paraId="4DCBADE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6" w:type="dxa"/>
            <w:vAlign w:val="center"/>
          </w:tcPr>
          <w:p w14:paraId="40E20B78">
            <w:pPr>
              <w:spacing w:line="360" w:lineRule="auto"/>
              <w:jc w:val="center"/>
              <w:rPr>
                <w:rFonts w:hint="eastAsia" w:ascii="宋体" w:hAnsi="宋体" w:eastAsia="宋体" w:cs="宋体"/>
                <w:bCs/>
                <w:snapToGrid w:val="0"/>
                <w:color w:val="auto"/>
                <w:kern w:val="0"/>
                <w:sz w:val="21"/>
                <w:szCs w:val="21"/>
              </w:rPr>
            </w:pPr>
            <w:r>
              <w:t>对重点难点分析及对策</w:t>
            </w:r>
          </w:p>
        </w:tc>
        <w:tc>
          <w:tcPr>
            <w:tcW w:w="850" w:type="dxa"/>
            <w:vAlign w:val="center"/>
          </w:tcPr>
          <w:p w14:paraId="69E0ED62">
            <w:pPr>
              <w:spacing w:line="360" w:lineRule="auto"/>
              <w:jc w:val="center"/>
              <w:rPr>
                <w:rFonts w:hint="eastAsia" w:ascii="宋体" w:hAnsi="宋体" w:eastAsia="宋体" w:cs="宋体"/>
                <w:bCs/>
                <w:snapToGrid w:val="0"/>
                <w:color w:val="auto"/>
                <w:kern w:val="0"/>
                <w:sz w:val="21"/>
                <w:szCs w:val="21"/>
              </w:rPr>
            </w:pPr>
            <w:r>
              <w:rPr>
                <w:rFonts w:hint="eastAsia" w:ascii="宋体" w:hAnsi="宋体" w:eastAsia="宋体" w:cs="宋体"/>
                <w:color w:val="auto"/>
                <w:sz w:val="21"/>
                <w:szCs w:val="21"/>
              </w:rPr>
              <w:t>10</w:t>
            </w:r>
            <w:r>
              <w:rPr>
                <w:rFonts w:hint="eastAsia" w:ascii="宋体" w:hAnsi="宋体" w:cs="宋体"/>
                <w:color w:val="auto"/>
                <w:sz w:val="21"/>
                <w:szCs w:val="21"/>
                <w:lang w:val="en-US" w:eastAsia="zh-CN"/>
              </w:rPr>
              <w:t>分</w:t>
            </w:r>
          </w:p>
        </w:tc>
        <w:tc>
          <w:tcPr>
            <w:tcW w:w="6632" w:type="dxa"/>
            <w:vAlign w:val="center"/>
          </w:tcPr>
          <w:p w14:paraId="1BAB6BEE">
            <w:pPr>
              <w:spacing w:line="360" w:lineRule="auto"/>
              <w:rPr>
                <w:rFonts w:hint="eastAsia" w:ascii="宋体" w:hAnsi="宋体" w:eastAsia="宋体" w:cs="宋体"/>
                <w:color w:val="auto"/>
                <w:sz w:val="21"/>
                <w:szCs w:val="21"/>
                <w:lang w:val="zh-CN"/>
              </w:rPr>
            </w:pPr>
            <w:r>
              <w:t>针对响应供应商提供对本项目重点难点分析及对策（包括但不限于对本项目重点、难点的分析及应对措施建议等内容）进行评审：  1.能够针对本项目的具体服务内容提供对本项目重点、难点的分析及应对措施建议等内容，分析全面，应对措施建议有针对性，能够充分贴合项目的实施要求：10分； 2.能够针对本项目的具体服务内容提供对本项目重点、难点的分析及应对措施建议等内容，分析基本全面，应对措施建议基本贴合项目的实施要求：7分； 3.能够针对本项目的具体服务内容提供对本项目重点、难点的分析及应对措施建议等内容，分析不全面，应对措施建议仅部分贴合项目的实施要求：4分； 4.能够针对本项目的具体服务内容提供对本项目重点、难点的分析及应对措施建议等内容，无分析且不全面，应对措施不贴合项目的实施要求：1分； 5.无提供不得分。</w:t>
            </w:r>
          </w:p>
        </w:tc>
      </w:tr>
      <w:tr w14:paraId="156B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 w:hRule="atLeast"/>
        </w:trPr>
        <w:tc>
          <w:tcPr>
            <w:tcW w:w="737" w:type="dxa"/>
            <w:vAlign w:val="center"/>
          </w:tcPr>
          <w:p w14:paraId="2F6CA9E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6" w:type="dxa"/>
            <w:vAlign w:val="center"/>
          </w:tcPr>
          <w:p w14:paraId="3BA58F18">
            <w:pPr>
              <w:widowControl/>
              <w:snapToGrid w:val="0"/>
              <w:spacing w:line="360" w:lineRule="auto"/>
              <w:jc w:val="center"/>
              <w:rPr>
                <w:rFonts w:hint="eastAsia" w:ascii="宋体" w:hAnsi="宋体" w:eastAsia="宋体" w:cs="宋体"/>
                <w:bCs/>
                <w:snapToGrid w:val="0"/>
                <w:color w:val="auto"/>
                <w:kern w:val="0"/>
                <w:sz w:val="21"/>
                <w:szCs w:val="21"/>
              </w:rPr>
            </w:pPr>
            <w:r>
              <w:t>组织方案</w:t>
            </w:r>
          </w:p>
        </w:tc>
        <w:tc>
          <w:tcPr>
            <w:tcW w:w="850" w:type="dxa"/>
            <w:vAlign w:val="center"/>
          </w:tcPr>
          <w:p w14:paraId="586CF90A">
            <w:pPr>
              <w:spacing w:line="360" w:lineRule="auto"/>
              <w:jc w:val="center"/>
              <w:rPr>
                <w:rFonts w:hint="eastAsia" w:ascii="宋体" w:hAnsi="宋体" w:eastAsia="宋体" w:cs="宋体"/>
                <w:bCs/>
                <w:snapToGrid w:val="0"/>
                <w:color w:val="auto"/>
                <w:kern w:val="0"/>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5分</w:t>
            </w:r>
          </w:p>
        </w:tc>
        <w:tc>
          <w:tcPr>
            <w:tcW w:w="6632" w:type="dxa"/>
            <w:vAlign w:val="center"/>
          </w:tcPr>
          <w:p w14:paraId="47F3CBCD">
            <w:pPr>
              <w:spacing w:line="360" w:lineRule="auto"/>
              <w:rPr>
                <w:rFonts w:hint="eastAsia" w:ascii="宋体" w:hAnsi="宋体" w:eastAsia="宋体" w:cs="宋体"/>
                <w:color w:val="auto"/>
                <w:sz w:val="21"/>
                <w:szCs w:val="21"/>
                <w:lang w:val="zh-CN"/>
              </w:rPr>
            </w:pPr>
            <w:r>
              <w:t>根据响应供应商针对本项目的组织方案（包括但不限于组织架构、管理模式、实施组织方案等内容）进行评审： 1.实施组织方案内容符合采购人需求要求，组织架构、管理模式能够充分考虑到本项目实际的操作情况，研究能力符合项目实际需要，总体组织流程清晰，内容详尽有针对性，完全能有效保障项目顺利实施：15分； 2.实施组织方案内容贴合采购人需求，组织架构、管理模式基本能够考虑到本项目实际的操作情况，研究能力基本符合项目实际需要，但总体组织流程部分内容不够清晰，总体能够保障项目实施：10分； 3.实施组织方案内容不太贴合采购人需求，组织架构、管理模式对本项目实际的操作情况考虑不全，研究能力部分符合项目实际需要，总体组织流程模糊，仅有部分内容能保障项目实施：5分； 4.实施组织方案内容不贴合采购人需求，组织架构、管理模式未能考虑到本项目实际的操作情况，研究能力不符合项目实际需要，总体组织流程模糊且有欠缺，内容无有针对性，无法有效保障项目实施：1分； 5.其他或无提供不得分。</w:t>
            </w:r>
          </w:p>
        </w:tc>
      </w:tr>
      <w:tr w14:paraId="728C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 w:hRule="atLeast"/>
        </w:trPr>
        <w:tc>
          <w:tcPr>
            <w:tcW w:w="737" w:type="dxa"/>
            <w:vAlign w:val="center"/>
          </w:tcPr>
          <w:p w14:paraId="0A077D7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6" w:type="dxa"/>
            <w:vAlign w:val="center"/>
          </w:tcPr>
          <w:p w14:paraId="28DAA38D">
            <w:pPr>
              <w:widowControl/>
              <w:spacing w:line="360" w:lineRule="auto"/>
              <w:jc w:val="center"/>
              <w:textAlignment w:val="center"/>
              <w:rPr>
                <w:rFonts w:hint="eastAsia" w:ascii="宋体" w:hAnsi="宋体" w:eastAsia="宋体" w:cs="宋体"/>
                <w:bCs/>
                <w:color w:val="auto"/>
                <w:sz w:val="21"/>
                <w:szCs w:val="21"/>
              </w:rPr>
            </w:pPr>
            <w:r>
              <w:t>服务方案</w:t>
            </w:r>
          </w:p>
        </w:tc>
        <w:tc>
          <w:tcPr>
            <w:tcW w:w="850" w:type="dxa"/>
            <w:vAlign w:val="center"/>
          </w:tcPr>
          <w:p w14:paraId="28EE23D5">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10分</w:t>
            </w:r>
          </w:p>
        </w:tc>
        <w:tc>
          <w:tcPr>
            <w:tcW w:w="6632" w:type="dxa"/>
            <w:vAlign w:val="center"/>
          </w:tcPr>
          <w:p w14:paraId="516913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hint="eastAsia" w:ascii="宋体" w:hAnsi="宋体" w:eastAsia="宋体" w:cs="宋体"/>
                <w:color w:val="auto"/>
                <w:sz w:val="21"/>
                <w:szCs w:val="21"/>
              </w:rPr>
            </w:pPr>
            <w:r>
              <w:t>针对响应供应商提供本项目的服务方案【包括但不限于（评估及数据采集方法的多样化，每种方法应设置指标的情况）、工作时间计划表、各环节时间安排等内容】进行评审: 1.能够针对本项目的具体服务内容提供对评估及数据采集方法，方法多样化且每种方法都具有详细的指标，指标具体，内容明晰，且能结合采购需求内容出具工作时间计划表及各环节时间安排，具有针对性，符合本项目实际需求，能有效确保项目的顺利实施：10分； 2.能够针对本项目的具体服务内容提供对评估及数据采集方法，方法种类基本齐全，每种方法都有适应的指标，指标内容基本齐全，且能结合采购需求内容出具工作时间计划表及各环节时间安排，基本符合本项目实际需求，基本能确保项目的顺利实施：7分； 3.能够针对本项目的具体服务内容提供对评估及数据采集方法，方法种类基本齐全，每种方法都有适应的指标，指标内容基本齐全，根据采购需求内容出具的工作时间计划表及各环节时间安排部分不符合本项目实际需求，不能有效确保项目的顺利实施：4分； 4.能够针对本项目的具体服务内容提供对评估及数据采集方法，方法种类不完整，根据采购需求内容出具的工作时间计划表及各环节时间安排部分不符合本项目实际需求，不能有效确保项目的顺利实施：1分； 5.其他或无提供不得分。</w:t>
            </w:r>
          </w:p>
        </w:tc>
      </w:tr>
      <w:tr w14:paraId="22DE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22" w:hRule="atLeast"/>
        </w:trPr>
        <w:tc>
          <w:tcPr>
            <w:tcW w:w="737" w:type="dxa"/>
            <w:vAlign w:val="center"/>
          </w:tcPr>
          <w:p w14:paraId="6DD1B21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6" w:type="dxa"/>
            <w:vAlign w:val="center"/>
          </w:tcPr>
          <w:p w14:paraId="4159CAE2">
            <w:pPr>
              <w:spacing w:line="360" w:lineRule="auto"/>
              <w:jc w:val="center"/>
              <w:rPr>
                <w:rFonts w:hint="eastAsia" w:ascii="宋体" w:hAnsi="宋体" w:eastAsia="宋体" w:cs="宋体"/>
                <w:color w:val="auto"/>
                <w:sz w:val="21"/>
                <w:szCs w:val="21"/>
              </w:rPr>
            </w:pPr>
            <w:r>
              <w:t>保障措施</w:t>
            </w:r>
          </w:p>
        </w:tc>
        <w:tc>
          <w:tcPr>
            <w:tcW w:w="850" w:type="dxa"/>
            <w:vAlign w:val="center"/>
          </w:tcPr>
          <w:p w14:paraId="7DE2F5A6">
            <w:pPr>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5分</w:t>
            </w:r>
          </w:p>
        </w:tc>
        <w:tc>
          <w:tcPr>
            <w:tcW w:w="6632" w:type="dxa"/>
            <w:vAlign w:val="center"/>
          </w:tcPr>
          <w:p w14:paraId="08FA58F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hint="eastAsia" w:ascii="宋体" w:hAnsi="宋体" w:eastAsia="宋体" w:cs="宋体"/>
                <w:color w:val="auto"/>
                <w:sz w:val="21"/>
                <w:szCs w:val="21"/>
              </w:rPr>
            </w:pPr>
            <w:r>
              <w:t>针对响应供应商提供对本项目的保障措施（包括但不限于对本项目质量保证体系及措施、后续服务等内容）进行评审： 1.能提供详细的质量保证体系及措施，确保项目的顺利实施，后续服务流程完善，符合本项目的实际需求：5分； 2.能提供质量保证体系及措施，部分能确保项目的顺利实施，后续服务流程基本完善，基本符合本项目的实际需求：3分； 3.能提供质量保证体系及措施，内容不能确保项目的顺利实施，后续服务流程不完善，不符合本项目的实际需求：1分； 4.无提供不得分。</w:t>
            </w:r>
          </w:p>
        </w:tc>
      </w:tr>
      <w:tr w14:paraId="1B7B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37" w:hRule="atLeast"/>
        </w:trPr>
        <w:tc>
          <w:tcPr>
            <w:tcW w:w="2013" w:type="dxa"/>
            <w:gridSpan w:val="2"/>
            <w:vAlign w:val="center"/>
          </w:tcPr>
          <w:p w14:paraId="52E235DC">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小计</w:t>
            </w:r>
          </w:p>
        </w:tc>
        <w:tc>
          <w:tcPr>
            <w:tcW w:w="850" w:type="dxa"/>
            <w:vAlign w:val="center"/>
          </w:tcPr>
          <w:p w14:paraId="33213926">
            <w:pPr>
              <w:spacing w:line="360" w:lineRule="auto"/>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50</w:t>
            </w:r>
            <w:r>
              <w:rPr>
                <w:rFonts w:hint="eastAsia" w:ascii="宋体" w:hAnsi="宋体" w:eastAsia="宋体" w:cs="宋体"/>
                <w:color w:val="auto"/>
                <w:sz w:val="21"/>
                <w:szCs w:val="21"/>
              </w:rPr>
              <w:t>分</w:t>
            </w:r>
          </w:p>
        </w:tc>
        <w:tc>
          <w:tcPr>
            <w:tcW w:w="6632" w:type="dxa"/>
            <w:vAlign w:val="center"/>
          </w:tcPr>
          <w:p w14:paraId="195FAB79">
            <w:pPr>
              <w:spacing w:line="360" w:lineRule="auto"/>
              <w:jc w:val="center"/>
              <w:rPr>
                <w:rFonts w:hint="eastAsia" w:ascii="宋体" w:hAnsi="宋体" w:eastAsia="宋体" w:cs="宋体"/>
                <w:bCs/>
                <w:color w:val="auto"/>
                <w:sz w:val="21"/>
                <w:szCs w:val="21"/>
              </w:rPr>
            </w:pPr>
          </w:p>
        </w:tc>
      </w:tr>
    </w:tbl>
    <w:p w14:paraId="02A57B54">
      <w:pPr>
        <w:pStyle w:val="4"/>
        <w:spacing w:before="0" w:after="0" w:line="276" w:lineRule="auto"/>
        <w:rPr>
          <w:rFonts w:ascii="宋体" w:hAnsi="宋体" w:cs="宋体"/>
          <w:bCs w:val="0"/>
          <w:color w:val="auto"/>
          <w:sz w:val="21"/>
          <w:szCs w:val="21"/>
        </w:rPr>
      </w:pPr>
      <w:r>
        <w:rPr>
          <w:rFonts w:ascii="宋体" w:hAnsi="宋体" w:cs="宋体"/>
          <w:color w:val="auto"/>
          <w:sz w:val="21"/>
          <w:szCs w:val="21"/>
        </w:rPr>
        <w:br w:type="page"/>
      </w:r>
      <w:r>
        <w:rPr>
          <w:rFonts w:hint="eastAsia" w:ascii="宋体" w:hAnsi="宋体" w:cs="宋体"/>
          <w:bCs w:val="0"/>
          <w:color w:val="auto"/>
          <w:sz w:val="28"/>
        </w:rPr>
        <w:t>附表四：</w:t>
      </w:r>
      <w:r>
        <w:rPr>
          <w:rFonts w:ascii="宋体" w:hAnsi="宋体" w:cs="宋体"/>
          <w:bCs w:val="0"/>
          <w:color w:val="auto"/>
          <w:sz w:val="28"/>
        </w:rPr>
        <w:t>商务评审表</w:t>
      </w:r>
    </w:p>
    <w:p w14:paraId="3366B364">
      <w:pPr>
        <w:spacing w:line="276" w:lineRule="auto"/>
        <w:rPr>
          <w:rFonts w:hint="eastAsia" w:ascii="宋体" w:hAnsi="宋体" w:eastAsia="宋体" w:cs="宋体"/>
          <w:color w:val="auto"/>
          <w:kern w:val="28"/>
          <w:szCs w:val="21"/>
          <w:lang w:eastAsia="zh-CN"/>
        </w:rPr>
      </w:pPr>
      <w:r>
        <w:rPr>
          <w:rFonts w:ascii="宋体" w:hAnsi="宋体" w:cs="宋体"/>
          <w:color w:val="auto"/>
          <w:szCs w:val="21"/>
        </w:rPr>
        <w:t>项目名称：</w:t>
      </w:r>
      <w:r>
        <w:rPr>
          <w:rFonts w:hint="eastAsia" w:ascii="宋体" w:hAnsi="宋体" w:cs="宋体"/>
          <w:color w:val="auto"/>
          <w:kern w:val="28"/>
          <w:szCs w:val="21"/>
          <w:lang w:eastAsia="zh-CN"/>
        </w:rPr>
        <w:t>2024年广州市南沙政务服务公众考核满意度调查项目</w:t>
      </w:r>
    </w:p>
    <w:p w14:paraId="17ACCB3C">
      <w:pPr>
        <w:spacing w:line="276" w:lineRule="auto"/>
        <w:rPr>
          <w:rFonts w:hint="eastAsia" w:ascii="宋体" w:hAnsi="宋体" w:eastAsia="宋体" w:cs="宋体"/>
          <w:color w:val="auto"/>
          <w:szCs w:val="21"/>
          <w:lang w:eastAsia="zh-CN"/>
        </w:rPr>
      </w:pPr>
      <w:r>
        <w:rPr>
          <w:rFonts w:ascii="宋体" w:hAnsi="宋体" w:cs="宋体"/>
          <w:color w:val="auto"/>
          <w:szCs w:val="21"/>
        </w:rPr>
        <w:t>项目编号：</w:t>
      </w:r>
      <w:r>
        <w:rPr>
          <w:rFonts w:hint="eastAsia" w:ascii="宋体" w:hAnsi="宋体" w:cs="宋体"/>
          <w:color w:val="auto"/>
          <w:szCs w:val="21"/>
          <w:lang w:eastAsia="zh-CN"/>
        </w:rPr>
        <w:t>GDWCFFC2312121</w:t>
      </w:r>
    </w:p>
    <w:tbl>
      <w:tblPr>
        <w:tblStyle w:val="27"/>
        <w:tblpPr w:leftFromText="180" w:rightFromText="180" w:vertAnchor="text" w:horzAnchor="margin" w:tblpY="99"/>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66"/>
        <w:gridCol w:w="1463"/>
        <w:gridCol w:w="843"/>
        <w:gridCol w:w="6512"/>
      </w:tblGrid>
      <w:tr w14:paraId="753D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0" w:hRule="atLeast"/>
        </w:trPr>
        <w:tc>
          <w:tcPr>
            <w:tcW w:w="566" w:type="dxa"/>
            <w:vAlign w:val="center"/>
          </w:tcPr>
          <w:p w14:paraId="0A47B17B">
            <w:pPr>
              <w:spacing w:line="360" w:lineRule="auto"/>
              <w:jc w:val="center"/>
              <w:rPr>
                <w:rFonts w:ascii="宋体" w:hAnsi="宋体"/>
                <w:b/>
                <w:bCs/>
                <w:color w:val="auto"/>
                <w:szCs w:val="21"/>
              </w:rPr>
            </w:pPr>
            <w:r>
              <w:rPr>
                <w:rFonts w:ascii="宋体" w:hAnsi="宋体"/>
                <w:b/>
                <w:bCs/>
                <w:color w:val="auto"/>
                <w:szCs w:val="21"/>
              </w:rPr>
              <w:t>序号</w:t>
            </w:r>
          </w:p>
        </w:tc>
        <w:tc>
          <w:tcPr>
            <w:tcW w:w="1463" w:type="dxa"/>
            <w:vAlign w:val="center"/>
          </w:tcPr>
          <w:p w14:paraId="37AB335F">
            <w:pPr>
              <w:spacing w:line="360" w:lineRule="auto"/>
              <w:jc w:val="center"/>
              <w:rPr>
                <w:rFonts w:ascii="宋体" w:hAnsi="宋体"/>
                <w:b/>
                <w:bCs/>
                <w:color w:val="auto"/>
                <w:szCs w:val="21"/>
              </w:rPr>
            </w:pPr>
            <w:r>
              <w:rPr>
                <w:rFonts w:ascii="宋体" w:hAnsi="宋体"/>
                <w:b/>
                <w:bCs/>
                <w:color w:val="auto"/>
                <w:szCs w:val="21"/>
              </w:rPr>
              <w:t>评审分项</w:t>
            </w:r>
          </w:p>
        </w:tc>
        <w:tc>
          <w:tcPr>
            <w:tcW w:w="843" w:type="dxa"/>
            <w:vAlign w:val="center"/>
          </w:tcPr>
          <w:p w14:paraId="0C8CC416">
            <w:pPr>
              <w:spacing w:line="360" w:lineRule="auto"/>
              <w:jc w:val="center"/>
              <w:rPr>
                <w:rFonts w:ascii="宋体" w:hAnsi="宋体"/>
                <w:b/>
                <w:bCs/>
                <w:color w:val="auto"/>
                <w:szCs w:val="21"/>
              </w:rPr>
            </w:pPr>
            <w:r>
              <w:rPr>
                <w:rFonts w:hint="eastAsia" w:ascii="宋体" w:hAnsi="宋体"/>
                <w:b/>
                <w:bCs/>
                <w:color w:val="auto"/>
                <w:szCs w:val="21"/>
              </w:rPr>
              <w:t>分值</w:t>
            </w:r>
          </w:p>
        </w:tc>
        <w:tc>
          <w:tcPr>
            <w:tcW w:w="6512" w:type="dxa"/>
            <w:vAlign w:val="center"/>
          </w:tcPr>
          <w:p w14:paraId="7E7980D9">
            <w:pPr>
              <w:spacing w:line="360" w:lineRule="auto"/>
              <w:jc w:val="center"/>
              <w:rPr>
                <w:rFonts w:ascii="宋体" w:hAnsi="宋体"/>
                <w:b/>
                <w:bCs/>
                <w:color w:val="auto"/>
                <w:szCs w:val="21"/>
              </w:rPr>
            </w:pPr>
            <w:r>
              <w:rPr>
                <w:rFonts w:ascii="宋体" w:hAnsi="宋体"/>
                <w:b/>
                <w:bCs/>
                <w:color w:val="auto"/>
                <w:szCs w:val="21"/>
              </w:rPr>
              <w:t>评审标准</w:t>
            </w:r>
          </w:p>
        </w:tc>
      </w:tr>
      <w:tr w14:paraId="63A5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8" w:hRule="atLeast"/>
        </w:trPr>
        <w:tc>
          <w:tcPr>
            <w:tcW w:w="566" w:type="dxa"/>
            <w:vAlign w:val="center"/>
          </w:tcPr>
          <w:p w14:paraId="3585678B">
            <w:pPr>
              <w:snapToGrid w:val="0"/>
              <w:spacing w:line="360" w:lineRule="auto"/>
              <w:jc w:val="center"/>
              <w:rPr>
                <w:rFonts w:ascii="宋体" w:hAnsi="宋体" w:cs="宋体"/>
                <w:color w:val="auto"/>
                <w:szCs w:val="21"/>
              </w:rPr>
            </w:pPr>
            <w:r>
              <w:rPr>
                <w:rFonts w:ascii="宋体" w:hAnsi="宋体" w:cs="宋体"/>
                <w:color w:val="auto"/>
                <w:szCs w:val="21"/>
              </w:rPr>
              <w:t>1</w:t>
            </w:r>
          </w:p>
        </w:tc>
        <w:tc>
          <w:tcPr>
            <w:tcW w:w="1463" w:type="dxa"/>
            <w:vAlign w:val="center"/>
          </w:tcPr>
          <w:p w14:paraId="3A67EF50">
            <w:pPr>
              <w:widowControl/>
              <w:snapToGrid w:val="0"/>
              <w:spacing w:line="276" w:lineRule="auto"/>
              <w:jc w:val="center"/>
              <w:rPr>
                <w:rFonts w:ascii="宋体"/>
                <w:color w:val="auto"/>
                <w:szCs w:val="21"/>
              </w:rPr>
            </w:pPr>
            <w:r>
              <w:t>同类项目业绩</w:t>
            </w:r>
          </w:p>
        </w:tc>
        <w:tc>
          <w:tcPr>
            <w:tcW w:w="843" w:type="dxa"/>
            <w:vAlign w:val="center"/>
          </w:tcPr>
          <w:p w14:paraId="599FD5DF">
            <w:pPr>
              <w:widowControl/>
              <w:spacing w:before="46" w:beforeLines="15" w:after="46" w:afterLines="15" w:line="360" w:lineRule="auto"/>
              <w:jc w:val="center"/>
              <w:rPr>
                <w:color w:val="auto"/>
              </w:rPr>
            </w:pPr>
            <w:r>
              <w:rPr>
                <w:rFonts w:hint="eastAsia"/>
                <w:color w:val="auto"/>
                <w:lang w:val="en-US" w:eastAsia="zh-CN"/>
              </w:rPr>
              <w:t>5分</w:t>
            </w:r>
          </w:p>
        </w:tc>
        <w:tc>
          <w:tcPr>
            <w:tcW w:w="6512" w:type="dxa"/>
            <w:vAlign w:val="center"/>
          </w:tcPr>
          <w:p w14:paraId="04F1003F">
            <w:pPr>
              <w:spacing w:line="360" w:lineRule="auto"/>
              <w:jc w:val="left"/>
              <w:rPr>
                <w:rFonts w:ascii="宋体" w:cs="宋体"/>
                <w:b/>
                <w:bCs/>
                <w:color w:val="auto"/>
                <w:szCs w:val="21"/>
              </w:rPr>
            </w:pPr>
            <w:r>
              <w:t>根据响应供应商成立至今承接的同类项目业绩，每提供一个得</w:t>
            </w:r>
            <w:r>
              <w:rPr>
                <w:rFonts w:hint="eastAsia"/>
                <w:lang w:val="en-US" w:eastAsia="zh-CN"/>
              </w:rPr>
              <w:t>1</w:t>
            </w:r>
            <w:r>
              <w:t>分，满分</w:t>
            </w:r>
            <w:r>
              <w:rPr>
                <w:rFonts w:hint="eastAsia"/>
                <w:lang w:val="en-US" w:eastAsia="zh-CN"/>
              </w:rPr>
              <w:t>5</w:t>
            </w:r>
            <w:r>
              <w:t>分。（注：提供服务合同复印件或相关课题成果的公开报道材料并加盖响应供应商公章,时间，无提供不得分。）</w:t>
            </w:r>
          </w:p>
        </w:tc>
      </w:tr>
      <w:tr w14:paraId="61F4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8" w:hRule="atLeast"/>
        </w:trPr>
        <w:tc>
          <w:tcPr>
            <w:tcW w:w="566" w:type="dxa"/>
            <w:vAlign w:val="center"/>
          </w:tcPr>
          <w:p w14:paraId="3A6D0937">
            <w:pPr>
              <w:snapToGrid w:val="0"/>
              <w:spacing w:line="360" w:lineRule="auto"/>
              <w:jc w:val="center"/>
              <w:rPr>
                <w:rFonts w:ascii="宋体" w:hAnsi="宋体"/>
                <w:bCs/>
                <w:color w:val="auto"/>
                <w:szCs w:val="21"/>
              </w:rPr>
            </w:pPr>
            <w:r>
              <w:rPr>
                <w:rFonts w:ascii="宋体" w:hAnsi="宋体" w:cs="宋体"/>
                <w:color w:val="auto"/>
                <w:szCs w:val="21"/>
              </w:rPr>
              <w:t>2</w:t>
            </w:r>
          </w:p>
        </w:tc>
        <w:tc>
          <w:tcPr>
            <w:tcW w:w="1463" w:type="dxa"/>
            <w:vAlign w:val="center"/>
          </w:tcPr>
          <w:p w14:paraId="768E6375">
            <w:pPr>
              <w:spacing w:line="360" w:lineRule="auto"/>
              <w:jc w:val="center"/>
              <w:rPr>
                <w:rFonts w:hint="default" w:ascii="宋体" w:hAnsi="宋体" w:eastAsia="宋体" w:cs="宋体"/>
                <w:color w:val="auto"/>
                <w:szCs w:val="21"/>
                <w:lang w:val="en-US" w:eastAsia="zh-CN"/>
              </w:rPr>
            </w:pPr>
            <w:r>
              <w:rPr>
                <w:rFonts w:hint="eastAsia"/>
                <w:color w:val="auto"/>
                <w:lang w:val="en-US" w:eastAsia="zh-CN"/>
              </w:rPr>
              <w:t>履约能力</w:t>
            </w:r>
          </w:p>
        </w:tc>
        <w:tc>
          <w:tcPr>
            <w:tcW w:w="843" w:type="dxa"/>
            <w:vAlign w:val="center"/>
          </w:tcPr>
          <w:p w14:paraId="39CDA3A2">
            <w:pPr>
              <w:widowControl/>
              <w:spacing w:before="46" w:beforeLines="15" w:after="46" w:afterLines="15" w:line="360" w:lineRule="auto"/>
              <w:jc w:val="center"/>
              <w:rPr>
                <w:rFonts w:hint="eastAsia"/>
                <w:color w:val="auto"/>
                <w:lang w:eastAsia="zh-CN"/>
              </w:rPr>
            </w:pPr>
            <w:r>
              <w:rPr>
                <w:rFonts w:hint="eastAsia"/>
                <w:color w:val="auto"/>
                <w:lang w:val="en-US" w:eastAsia="zh-CN"/>
              </w:rPr>
              <w:t>3分</w:t>
            </w:r>
          </w:p>
        </w:tc>
        <w:tc>
          <w:tcPr>
            <w:tcW w:w="6512" w:type="dxa"/>
            <w:vAlign w:val="center"/>
          </w:tcPr>
          <w:p w14:paraId="78CA117E">
            <w:pPr>
              <w:widowControl/>
              <w:spacing w:line="360" w:lineRule="auto"/>
              <w:jc w:val="left"/>
              <w:rPr>
                <w:rFonts w:ascii="宋体" w:hAnsi="宋体" w:cs="宋体"/>
                <w:b/>
                <w:color w:val="auto"/>
                <w:szCs w:val="21"/>
              </w:rPr>
            </w:pPr>
            <w:r>
              <w:t>响应供应商具有类似的评估或调查项目的研究成果被相关单位采纳或应用，每提供1个成果得</w:t>
            </w:r>
            <w:r>
              <w:rPr>
                <w:rFonts w:hint="eastAsia"/>
                <w:lang w:val="en-US" w:eastAsia="zh-CN"/>
              </w:rPr>
              <w:t>1</w:t>
            </w:r>
            <w:r>
              <w:t>分，本项满分</w:t>
            </w:r>
            <w:r>
              <w:rPr>
                <w:rFonts w:hint="eastAsia"/>
                <w:lang w:val="en-US" w:eastAsia="zh-CN"/>
              </w:rPr>
              <w:t>3</w:t>
            </w:r>
            <w:r>
              <w:t>分。（注：提供相应的证明材料加盖响应供应商公章，无提供不得分。）</w:t>
            </w:r>
          </w:p>
        </w:tc>
      </w:tr>
      <w:tr w14:paraId="4EF3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trPr>
        <w:tc>
          <w:tcPr>
            <w:tcW w:w="566" w:type="dxa"/>
            <w:vAlign w:val="center"/>
          </w:tcPr>
          <w:p w14:paraId="03C2A8A3">
            <w:pPr>
              <w:spacing w:line="360" w:lineRule="auto"/>
              <w:jc w:val="center"/>
              <w:rPr>
                <w:rFonts w:ascii="宋体" w:hAnsi="宋体" w:cs="宋体"/>
                <w:color w:val="auto"/>
                <w:szCs w:val="21"/>
              </w:rPr>
            </w:pPr>
            <w:r>
              <w:rPr>
                <w:rFonts w:ascii="宋体" w:hAnsi="宋体" w:cs="宋体"/>
                <w:color w:val="auto"/>
                <w:szCs w:val="21"/>
              </w:rPr>
              <w:t>3</w:t>
            </w:r>
          </w:p>
        </w:tc>
        <w:tc>
          <w:tcPr>
            <w:tcW w:w="1463" w:type="dxa"/>
            <w:vAlign w:val="center"/>
          </w:tcPr>
          <w:p w14:paraId="5B223BD7">
            <w:pPr>
              <w:widowControl/>
              <w:spacing w:before="46" w:beforeLines="15" w:after="46" w:afterLines="15" w:line="360" w:lineRule="auto"/>
              <w:jc w:val="center"/>
              <w:rPr>
                <w:rFonts w:ascii="宋体" w:hAnsi="宋体" w:cs="宋体"/>
                <w:color w:val="auto"/>
                <w:szCs w:val="21"/>
              </w:rPr>
            </w:pPr>
            <w:r>
              <w:t>拟投入本项目的项目负责人情况</w:t>
            </w:r>
          </w:p>
        </w:tc>
        <w:tc>
          <w:tcPr>
            <w:tcW w:w="843" w:type="dxa"/>
            <w:vAlign w:val="center"/>
          </w:tcPr>
          <w:p w14:paraId="0D0C5227">
            <w:pPr>
              <w:widowControl/>
              <w:spacing w:before="46" w:beforeLines="15" w:after="46" w:afterLines="15" w:line="360" w:lineRule="auto"/>
              <w:jc w:val="center"/>
              <w:rPr>
                <w:rFonts w:hint="eastAsia"/>
                <w:color w:val="auto"/>
                <w:lang w:eastAsia="zh-CN"/>
              </w:rPr>
            </w:pPr>
            <w:r>
              <w:rPr>
                <w:rFonts w:hint="eastAsia"/>
                <w:color w:val="auto"/>
                <w:lang w:val="en-US" w:eastAsia="zh-CN"/>
              </w:rPr>
              <w:t>6分</w:t>
            </w:r>
          </w:p>
        </w:tc>
        <w:tc>
          <w:tcPr>
            <w:tcW w:w="6512" w:type="dxa"/>
            <w:vAlign w:val="center"/>
          </w:tcPr>
          <w:p w14:paraId="43360ED1">
            <w:pPr>
              <w:spacing w:line="360" w:lineRule="auto"/>
              <w:rPr>
                <w:rFonts w:hint="eastAsia"/>
                <w:color w:val="auto"/>
              </w:rPr>
            </w:pPr>
            <w:r>
              <w:rPr>
                <w:rFonts w:hint="eastAsia"/>
                <w:color w:val="auto"/>
              </w:rPr>
              <w:t>拟投入本项目的项目负责人：①具有副高或以上职称的，得5分，中级职称的，得2分，初级职称或无职称不得分，满分5分。</w:t>
            </w:r>
          </w:p>
          <w:p w14:paraId="48721983">
            <w:pPr>
              <w:spacing w:line="360" w:lineRule="auto"/>
              <w:rPr>
                <w:rFonts w:hint="eastAsia"/>
                <w:color w:val="auto"/>
              </w:rPr>
            </w:pPr>
            <w:r>
              <w:rPr>
                <w:rFonts w:hint="eastAsia"/>
                <w:color w:val="auto"/>
              </w:rPr>
              <w:t>②具有主持开展或以项目负责人的身份参与过类似的调查或评估项目{包括不限于评估或调查项目【包括不限于政府绩效（行政效能）评估，或政府服务（包括不限于：公共服务、政务服务、营商环境、政务窗口服务等)满意度】等}，每提供1个项目得0.5分，满分1分。</w:t>
            </w:r>
          </w:p>
          <w:p w14:paraId="05453732">
            <w:pPr>
              <w:spacing w:line="360" w:lineRule="auto"/>
              <w:rPr>
                <w:rFonts w:hint="eastAsia"/>
                <w:color w:val="auto"/>
              </w:rPr>
            </w:pPr>
            <w:r>
              <w:rPr>
                <w:rFonts w:hint="eastAsia"/>
                <w:color w:val="auto"/>
              </w:rPr>
              <w:t xml:space="preserve"> 本项最高得6分。</w:t>
            </w:r>
          </w:p>
          <w:p w14:paraId="61956791">
            <w:pPr>
              <w:spacing w:line="360" w:lineRule="auto"/>
              <w:rPr>
                <w:rFonts w:hint="eastAsia" w:ascii="宋体" w:hAnsi="宋体" w:eastAsia="宋体"/>
                <w:color w:val="auto"/>
                <w:szCs w:val="21"/>
                <w:lang w:eastAsia="zh-CN"/>
              </w:rPr>
            </w:pPr>
            <w:r>
              <w:rPr>
                <w:rFonts w:hint="eastAsia"/>
                <w:color w:val="auto"/>
              </w:rPr>
              <w:t>【注：响应文件中须提供①评估或调查的委托或服务合同的复印件或相关课题成果的公开报道材料，并加盖响应供应商公章；②若合同内未显示主持人员（或项目负责人），须提供由业主单位出具的主持人员（或项目负责人）证明的复印件加盖响应供应商公章。】</w:t>
            </w:r>
          </w:p>
        </w:tc>
      </w:tr>
      <w:tr w14:paraId="00B3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trPr>
        <w:tc>
          <w:tcPr>
            <w:tcW w:w="566" w:type="dxa"/>
            <w:vAlign w:val="center"/>
          </w:tcPr>
          <w:p w14:paraId="2DD40EB5">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463" w:type="dxa"/>
            <w:vAlign w:val="center"/>
          </w:tcPr>
          <w:p w14:paraId="1FB12A24">
            <w:pPr>
              <w:widowControl/>
              <w:spacing w:before="46" w:beforeLines="15" w:after="46" w:afterLines="15" w:line="360" w:lineRule="auto"/>
              <w:jc w:val="center"/>
              <w:rPr>
                <w:color w:val="auto"/>
              </w:rPr>
            </w:pPr>
            <w:r>
              <w:t>拟投入本项目的项目团队情况</w:t>
            </w:r>
          </w:p>
        </w:tc>
        <w:tc>
          <w:tcPr>
            <w:tcW w:w="843" w:type="dxa"/>
            <w:vAlign w:val="center"/>
          </w:tcPr>
          <w:p w14:paraId="1A541AF7">
            <w:pPr>
              <w:widowControl/>
              <w:spacing w:before="46" w:beforeLines="15" w:after="46" w:afterLines="15" w:line="360" w:lineRule="auto"/>
              <w:jc w:val="center"/>
              <w:rPr>
                <w:rFonts w:hint="eastAsia"/>
                <w:color w:val="auto"/>
                <w:lang w:val="en-US" w:eastAsia="zh-CN"/>
              </w:rPr>
            </w:pPr>
            <w:r>
              <w:rPr>
                <w:rFonts w:hint="eastAsia"/>
                <w:color w:val="auto"/>
                <w:lang w:val="en-US" w:eastAsia="zh-CN"/>
              </w:rPr>
              <w:t>14分</w:t>
            </w:r>
          </w:p>
        </w:tc>
        <w:tc>
          <w:tcPr>
            <w:tcW w:w="6512" w:type="dxa"/>
            <w:vAlign w:val="center"/>
          </w:tcPr>
          <w:p w14:paraId="6B868E33">
            <w:pPr>
              <w:spacing w:line="360" w:lineRule="auto"/>
              <w:rPr>
                <w:rFonts w:hint="eastAsia"/>
                <w:color w:val="auto"/>
              </w:rPr>
            </w:pPr>
            <w:r>
              <w:rPr>
                <w:rFonts w:hint="eastAsia"/>
                <w:color w:val="auto"/>
              </w:rPr>
              <w:t>拟投入本项目的工作团队：①具有副高或以上职称的成员，每提供一人得4分，中级职称的，每提供一人得2分，初级职称，每提供一人得1分，满分12分。</w:t>
            </w:r>
          </w:p>
          <w:p w14:paraId="7647CD18">
            <w:pPr>
              <w:spacing w:line="360" w:lineRule="auto"/>
              <w:rPr>
                <w:rFonts w:hint="eastAsia"/>
                <w:color w:val="auto"/>
              </w:rPr>
            </w:pPr>
            <w:r>
              <w:rPr>
                <w:rFonts w:hint="eastAsia"/>
                <w:color w:val="auto"/>
              </w:rPr>
              <w:t>②参与过类似的评估或调查项目{包括不限于评估或调查项目【包括不限于政府绩效（行政效能）评估，或政府服务（包括不限于：公共服务、政务服务、营商环境、政务窗口服务等)满意度】等}的成员，每提供一人得0.5分，满分2分。</w:t>
            </w:r>
          </w:p>
          <w:p w14:paraId="7D147AB0">
            <w:pPr>
              <w:spacing w:line="360" w:lineRule="auto"/>
              <w:rPr>
                <w:rFonts w:hint="eastAsia"/>
                <w:color w:val="auto"/>
              </w:rPr>
            </w:pPr>
            <w:r>
              <w:rPr>
                <w:rFonts w:hint="eastAsia"/>
                <w:color w:val="auto"/>
              </w:rPr>
              <w:t>本项最高得14分。</w:t>
            </w:r>
          </w:p>
          <w:p w14:paraId="34312A03">
            <w:pPr>
              <w:spacing w:line="360" w:lineRule="auto"/>
              <w:rPr>
                <w:color w:val="auto"/>
              </w:rPr>
            </w:pPr>
            <w:r>
              <w:rPr>
                <w:rFonts w:hint="eastAsia"/>
                <w:color w:val="auto"/>
              </w:rPr>
              <w:t>（注：响应文件中须提供①评估或调查的委托或服务合同的复印件或相关课题成果的公开报道材料，并加盖响应供应商公章；②若合同内未显示参与人员，须提供由业主单位出具的参与人员证明的复印件加盖响应供应商公章；③团队人员配置清单、职称证书的复印件等证明资料加盖响应供应商公章。）</w:t>
            </w:r>
          </w:p>
        </w:tc>
      </w:tr>
      <w:tr w14:paraId="0065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0" w:hRule="atLeast"/>
        </w:trPr>
        <w:tc>
          <w:tcPr>
            <w:tcW w:w="566" w:type="dxa"/>
            <w:vAlign w:val="center"/>
          </w:tcPr>
          <w:p w14:paraId="0CE531EF">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1463" w:type="dxa"/>
            <w:vAlign w:val="center"/>
          </w:tcPr>
          <w:p w14:paraId="7869F31A">
            <w:pPr>
              <w:widowControl/>
              <w:spacing w:before="46" w:beforeLines="15" w:after="46" w:afterLines="15" w:line="360" w:lineRule="auto"/>
              <w:jc w:val="center"/>
              <w:rPr>
                <w:rFonts w:hint="default" w:eastAsia="宋体"/>
                <w:lang w:val="en-US" w:eastAsia="zh-CN"/>
              </w:rPr>
            </w:pPr>
            <w:r>
              <w:rPr>
                <w:rFonts w:hint="eastAsia"/>
                <w:color w:val="auto"/>
                <w:lang w:val="en-US" w:eastAsia="zh-CN"/>
              </w:rPr>
              <w:t>采购需求响应程度</w:t>
            </w:r>
          </w:p>
        </w:tc>
        <w:tc>
          <w:tcPr>
            <w:tcW w:w="843" w:type="dxa"/>
            <w:vAlign w:val="center"/>
          </w:tcPr>
          <w:p w14:paraId="408822DC">
            <w:pPr>
              <w:spacing w:line="360" w:lineRule="auto"/>
              <w:jc w:val="center"/>
              <w:rPr>
                <w:rFonts w:hint="eastAsia"/>
                <w:color w:val="auto"/>
                <w:lang w:val="en-US" w:eastAsia="zh-CN"/>
              </w:rPr>
            </w:pPr>
            <w:r>
              <w:rPr>
                <w:rFonts w:hint="eastAsia"/>
                <w:color w:val="auto"/>
                <w:lang w:val="en-US" w:eastAsia="zh-CN"/>
              </w:rPr>
              <w:t>7</w:t>
            </w:r>
            <w:r>
              <w:rPr>
                <w:color w:val="auto"/>
              </w:rPr>
              <w:t>分</w:t>
            </w:r>
          </w:p>
        </w:tc>
        <w:tc>
          <w:tcPr>
            <w:tcW w:w="6512" w:type="dxa"/>
            <w:vAlign w:val="top"/>
          </w:tcPr>
          <w:p w14:paraId="0BDA40A4">
            <w:pPr>
              <w:spacing w:line="360" w:lineRule="auto"/>
              <w:jc w:val="left"/>
            </w:pPr>
            <w:r>
              <w:rPr>
                <w:rFonts w:hint="eastAsia"/>
                <w:color w:val="auto"/>
              </w:rPr>
              <w:t>针对响应供应商用户需求书响应程度进行评审，完全响应磋商文件要求且部分条款优于磋商文件要求得7分，完全响应磋商文件要求得4分，负偏离不得分。</w:t>
            </w:r>
          </w:p>
        </w:tc>
      </w:tr>
      <w:tr w14:paraId="221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trPr>
        <w:tc>
          <w:tcPr>
            <w:tcW w:w="2029" w:type="dxa"/>
            <w:gridSpan w:val="2"/>
            <w:vAlign w:val="center"/>
          </w:tcPr>
          <w:p w14:paraId="3924AFFE">
            <w:pPr>
              <w:spacing w:line="360" w:lineRule="auto"/>
              <w:jc w:val="center"/>
              <w:rPr>
                <w:rFonts w:ascii="宋体" w:hAnsi="宋体"/>
                <w:bCs/>
                <w:color w:val="auto"/>
                <w:szCs w:val="21"/>
              </w:rPr>
            </w:pPr>
            <w:r>
              <w:rPr>
                <w:rFonts w:ascii="宋体" w:hAnsi="宋体"/>
                <w:bCs/>
                <w:color w:val="auto"/>
                <w:szCs w:val="21"/>
              </w:rPr>
              <w:t>小计</w:t>
            </w:r>
          </w:p>
        </w:tc>
        <w:tc>
          <w:tcPr>
            <w:tcW w:w="843" w:type="dxa"/>
            <w:vAlign w:val="center"/>
          </w:tcPr>
          <w:p w14:paraId="10834E94">
            <w:pPr>
              <w:spacing w:line="360" w:lineRule="auto"/>
              <w:jc w:val="center"/>
              <w:rPr>
                <w:rFonts w:ascii="宋体" w:hAnsi="宋体"/>
                <w:bCs/>
                <w:color w:val="auto"/>
                <w:szCs w:val="21"/>
              </w:rPr>
            </w:pPr>
            <w:r>
              <w:rPr>
                <w:rFonts w:hint="eastAsia" w:ascii="宋体" w:hAnsi="宋体"/>
                <w:bCs/>
                <w:color w:val="auto"/>
                <w:szCs w:val="21"/>
                <w:lang w:val="en-US" w:eastAsia="zh-CN"/>
              </w:rPr>
              <w:t>35</w:t>
            </w:r>
            <w:r>
              <w:rPr>
                <w:rFonts w:hint="eastAsia" w:ascii="宋体" w:hAnsi="宋体"/>
                <w:color w:val="auto"/>
                <w:szCs w:val="21"/>
              </w:rPr>
              <w:t>分</w:t>
            </w:r>
          </w:p>
        </w:tc>
        <w:tc>
          <w:tcPr>
            <w:tcW w:w="6512" w:type="dxa"/>
            <w:vAlign w:val="center"/>
          </w:tcPr>
          <w:p w14:paraId="7F379262">
            <w:pPr>
              <w:spacing w:line="360" w:lineRule="auto"/>
              <w:jc w:val="center"/>
              <w:rPr>
                <w:rFonts w:ascii="宋体" w:hAnsi="宋体"/>
                <w:bCs/>
                <w:color w:val="auto"/>
                <w:szCs w:val="21"/>
              </w:rPr>
            </w:pPr>
          </w:p>
        </w:tc>
      </w:tr>
    </w:tbl>
    <w:p w14:paraId="0A4ECCDE">
      <w:pPr>
        <w:pStyle w:val="4"/>
        <w:rPr>
          <w:rFonts w:ascii="宋体" w:hAnsi="宋体" w:eastAsia="宋体" w:cs="宋体"/>
          <w:bCs w:val="0"/>
          <w:color w:val="auto"/>
          <w:sz w:val="28"/>
        </w:rPr>
      </w:pPr>
      <w:r>
        <w:rPr>
          <w:rFonts w:hint="eastAsia" w:ascii="宋体" w:hAnsi="宋体" w:eastAsia="宋体" w:cs="宋体"/>
          <w:bCs w:val="0"/>
          <w:color w:val="auto"/>
          <w:sz w:val="28"/>
        </w:rPr>
        <w:t>附表</w:t>
      </w:r>
      <w:r>
        <w:rPr>
          <w:rFonts w:hint="eastAsia" w:ascii="宋体" w:hAnsi="宋体" w:eastAsia="宋体" w:cs="宋体"/>
          <w:bCs w:val="0"/>
          <w:color w:val="auto"/>
          <w:sz w:val="28"/>
          <w:lang w:val="en-US" w:eastAsia="zh-CN"/>
        </w:rPr>
        <w:t>五</w:t>
      </w:r>
      <w:r>
        <w:rPr>
          <w:rFonts w:hint="eastAsia" w:ascii="宋体" w:hAnsi="宋体" w:eastAsia="宋体" w:cs="宋体"/>
          <w:bCs w:val="0"/>
          <w:color w:val="auto"/>
          <w:sz w:val="28"/>
        </w:rPr>
        <w:t>：综合信用评价</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3"/>
        <w:gridCol w:w="1467"/>
        <w:gridCol w:w="833"/>
        <w:gridCol w:w="6517"/>
      </w:tblGrid>
      <w:tr w14:paraId="11DFB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3" w:type="dxa"/>
            <w:noWrap w:val="0"/>
            <w:vAlign w:val="center"/>
          </w:tcPr>
          <w:p w14:paraId="5AB21619">
            <w:pPr>
              <w:spacing w:line="360" w:lineRule="auto"/>
              <w:jc w:val="center"/>
              <w:rPr>
                <w:rFonts w:hint="eastAsia" w:ascii="宋体" w:hAnsi="宋体" w:cs="宋体"/>
                <w:color w:val="auto"/>
                <w:szCs w:val="21"/>
              </w:rPr>
            </w:pPr>
            <w:r>
              <w:rPr>
                <w:rFonts w:ascii="宋体" w:hAnsi="宋体"/>
                <w:b/>
                <w:bCs/>
                <w:color w:val="auto"/>
                <w:szCs w:val="21"/>
              </w:rPr>
              <w:t>序号</w:t>
            </w:r>
          </w:p>
        </w:tc>
        <w:tc>
          <w:tcPr>
            <w:tcW w:w="1467" w:type="dxa"/>
            <w:noWrap w:val="0"/>
            <w:vAlign w:val="center"/>
          </w:tcPr>
          <w:p w14:paraId="0C5D245B">
            <w:pPr>
              <w:spacing w:line="360" w:lineRule="auto"/>
              <w:jc w:val="center"/>
              <w:rPr>
                <w:rFonts w:hint="eastAsia" w:ascii="宋体" w:hAnsi="宋体" w:cs="宋体"/>
                <w:color w:val="auto"/>
                <w:szCs w:val="21"/>
              </w:rPr>
            </w:pPr>
            <w:r>
              <w:rPr>
                <w:rFonts w:ascii="宋体" w:hAnsi="宋体"/>
                <w:b/>
                <w:bCs/>
                <w:color w:val="auto"/>
                <w:szCs w:val="21"/>
              </w:rPr>
              <w:t>评审分项</w:t>
            </w:r>
          </w:p>
        </w:tc>
        <w:tc>
          <w:tcPr>
            <w:tcW w:w="833" w:type="dxa"/>
            <w:noWrap w:val="0"/>
            <w:vAlign w:val="center"/>
          </w:tcPr>
          <w:p w14:paraId="3083DD36">
            <w:pPr>
              <w:spacing w:line="360" w:lineRule="auto"/>
              <w:jc w:val="center"/>
              <w:rPr>
                <w:rFonts w:hint="eastAsia" w:ascii="宋体" w:hAnsi="宋体" w:cs="宋体"/>
                <w:color w:val="auto"/>
                <w:szCs w:val="21"/>
              </w:rPr>
            </w:pPr>
            <w:r>
              <w:rPr>
                <w:rFonts w:hint="eastAsia" w:ascii="宋体" w:hAnsi="宋体"/>
                <w:b/>
                <w:bCs/>
                <w:color w:val="auto"/>
                <w:szCs w:val="21"/>
              </w:rPr>
              <w:t>分值</w:t>
            </w:r>
          </w:p>
        </w:tc>
        <w:tc>
          <w:tcPr>
            <w:tcW w:w="6517" w:type="dxa"/>
            <w:noWrap w:val="0"/>
            <w:vAlign w:val="center"/>
          </w:tcPr>
          <w:p w14:paraId="21FC0222">
            <w:pPr>
              <w:spacing w:line="360" w:lineRule="auto"/>
              <w:jc w:val="center"/>
              <w:rPr>
                <w:rFonts w:hint="eastAsia"/>
                <w:color w:val="auto"/>
              </w:rPr>
            </w:pPr>
            <w:r>
              <w:rPr>
                <w:rFonts w:ascii="宋体" w:hAnsi="宋体"/>
                <w:b/>
                <w:bCs/>
                <w:color w:val="auto"/>
                <w:szCs w:val="21"/>
              </w:rPr>
              <w:t>评审标准</w:t>
            </w:r>
          </w:p>
        </w:tc>
      </w:tr>
      <w:tr w14:paraId="1D141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3" w:type="dxa"/>
            <w:noWrap w:val="0"/>
            <w:vAlign w:val="center"/>
          </w:tcPr>
          <w:p w14:paraId="35814512">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467" w:type="dxa"/>
            <w:noWrap w:val="0"/>
            <w:vAlign w:val="center"/>
          </w:tcPr>
          <w:p w14:paraId="225D64A4">
            <w:pPr>
              <w:spacing w:line="360" w:lineRule="auto"/>
              <w:jc w:val="center"/>
              <w:rPr>
                <w:rFonts w:hint="eastAsia" w:ascii="宋体" w:hAnsi="宋体" w:cs="宋体"/>
                <w:color w:val="auto"/>
                <w:szCs w:val="21"/>
              </w:rPr>
            </w:pPr>
            <w:r>
              <w:rPr>
                <w:rFonts w:hint="eastAsia" w:ascii="宋体" w:hAnsi="宋体" w:cs="宋体"/>
                <w:color w:val="auto"/>
                <w:szCs w:val="21"/>
              </w:rPr>
              <w:t>综合信用</w:t>
            </w:r>
            <w:r>
              <w:rPr>
                <w:rFonts w:hint="eastAsia" w:ascii="Times New Roman" w:hAnsi="Times New Roman" w:eastAsia="宋体" w:cs="Times New Roman"/>
              </w:rPr>
              <w:t>评价</w:t>
            </w:r>
          </w:p>
        </w:tc>
        <w:tc>
          <w:tcPr>
            <w:tcW w:w="833" w:type="dxa"/>
            <w:noWrap w:val="0"/>
            <w:vAlign w:val="center"/>
          </w:tcPr>
          <w:p w14:paraId="21F13C5A">
            <w:pPr>
              <w:spacing w:line="360" w:lineRule="auto"/>
              <w:jc w:val="center"/>
              <w:rPr>
                <w:color w:val="auto"/>
              </w:rPr>
            </w:pPr>
            <w:r>
              <w:rPr>
                <w:rFonts w:hint="eastAsia" w:ascii="宋体" w:hAnsi="宋体" w:cs="宋体"/>
                <w:color w:val="auto"/>
                <w:szCs w:val="21"/>
              </w:rPr>
              <w:t>5分</w:t>
            </w:r>
          </w:p>
        </w:tc>
        <w:tc>
          <w:tcPr>
            <w:tcW w:w="6517" w:type="dxa"/>
            <w:noWrap w:val="0"/>
            <w:vAlign w:val="top"/>
          </w:tcPr>
          <w:p w14:paraId="32460C1F">
            <w:pPr>
              <w:spacing w:line="360" w:lineRule="auto"/>
              <w:rPr>
                <w:color w:val="auto"/>
              </w:rPr>
            </w:pPr>
            <w:r>
              <w:rPr>
                <w:rFonts w:hint="eastAsia"/>
                <w:color w:val="auto"/>
              </w:rPr>
              <w:t>综合信用评价得分(属于商务部分的一部分)=</w:t>
            </w:r>
            <w:r>
              <w:rPr>
                <w:rFonts w:hint="eastAsia"/>
                <w:color w:val="auto"/>
                <w:lang w:eastAsia="zh-CN"/>
              </w:rPr>
              <w:t>响应供应商</w:t>
            </w:r>
            <w:r>
              <w:rPr>
                <w:rFonts w:hint="eastAsia"/>
                <w:color w:val="auto"/>
              </w:rPr>
              <w:t xml:space="preserve">的广州公共资源交易信用评价（政府采购供应商信用评价分）×5%。 </w:t>
            </w:r>
            <w:r>
              <w:rPr>
                <w:rFonts w:hint="eastAsia"/>
                <w:color w:val="auto"/>
                <w:lang w:eastAsia="zh-CN"/>
              </w:rPr>
              <w:t>响应供应商</w:t>
            </w:r>
            <w:r>
              <w:rPr>
                <w:rFonts w:hint="eastAsia"/>
                <w:color w:val="auto"/>
              </w:rPr>
              <w:t>的信用评价分以开标当天广州交易集团有限公司网站公布的分值为准（通过“广州交易集团有限公司网站-信用信息-广州公共资源交易信用平台2.0” 进行核实，未能在网站查询到供应商信用评价分的，以信用评价基准分（93.4分）计算）</w:t>
            </w:r>
          </w:p>
        </w:tc>
      </w:tr>
      <w:tr w14:paraId="441D9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0" w:type="dxa"/>
            <w:gridSpan w:val="2"/>
            <w:noWrap w:val="0"/>
            <w:vAlign w:val="center"/>
          </w:tcPr>
          <w:p w14:paraId="7C700524">
            <w:pPr>
              <w:spacing w:line="360" w:lineRule="auto"/>
              <w:jc w:val="center"/>
              <w:rPr>
                <w:rFonts w:hint="eastAsia" w:ascii="宋体" w:hAnsi="宋体" w:cs="宋体"/>
                <w:color w:val="auto"/>
                <w:szCs w:val="21"/>
              </w:rPr>
            </w:pPr>
            <w:r>
              <w:rPr>
                <w:rFonts w:ascii="宋体" w:hAnsi="宋体"/>
                <w:bCs/>
                <w:color w:val="auto"/>
                <w:szCs w:val="21"/>
              </w:rPr>
              <w:t>小计</w:t>
            </w:r>
          </w:p>
        </w:tc>
        <w:tc>
          <w:tcPr>
            <w:tcW w:w="833" w:type="dxa"/>
            <w:noWrap w:val="0"/>
            <w:vAlign w:val="center"/>
          </w:tcPr>
          <w:p w14:paraId="374AC572">
            <w:pPr>
              <w:spacing w:line="360" w:lineRule="auto"/>
              <w:jc w:val="center"/>
              <w:rPr>
                <w:rFonts w:hint="eastAsia" w:ascii="宋体" w:hAnsi="宋体" w:cs="宋体"/>
                <w:color w:val="auto"/>
                <w:szCs w:val="21"/>
              </w:rPr>
            </w:pPr>
            <w:r>
              <w:rPr>
                <w:rFonts w:hint="eastAsia" w:ascii="宋体" w:hAnsi="宋体"/>
                <w:bCs/>
                <w:color w:val="auto"/>
                <w:szCs w:val="21"/>
                <w:lang w:val="en-US" w:eastAsia="zh-CN"/>
              </w:rPr>
              <w:t>5</w:t>
            </w:r>
            <w:r>
              <w:rPr>
                <w:rFonts w:hint="eastAsia" w:ascii="宋体" w:hAnsi="宋体"/>
                <w:color w:val="auto"/>
                <w:szCs w:val="21"/>
              </w:rPr>
              <w:t>分</w:t>
            </w:r>
          </w:p>
        </w:tc>
        <w:tc>
          <w:tcPr>
            <w:tcW w:w="6517" w:type="dxa"/>
            <w:noWrap w:val="0"/>
            <w:vAlign w:val="center"/>
          </w:tcPr>
          <w:p w14:paraId="65EFFCB8">
            <w:pPr>
              <w:spacing w:line="360" w:lineRule="auto"/>
              <w:jc w:val="center"/>
              <w:rPr>
                <w:rFonts w:hint="eastAsia"/>
                <w:color w:val="auto"/>
              </w:rPr>
            </w:pPr>
          </w:p>
        </w:tc>
      </w:tr>
    </w:tbl>
    <w:p w14:paraId="3A53D84C">
      <w:pPr>
        <w:pStyle w:val="51"/>
        <w:ind w:firstLine="0" w:firstLineChars="0"/>
        <w:rPr>
          <w:b/>
          <w:color w:val="auto"/>
          <w:sz w:val="28"/>
          <w:szCs w:val="28"/>
        </w:rPr>
      </w:pPr>
      <w:r>
        <w:rPr>
          <w:b/>
          <w:color w:val="auto"/>
          <w:sz w:val="28"/>
          <w:szCs w:val="28"/>
        </w:rPr>
        <w:br w:type="page"/>
      </w:r>
    </w:p>
    <w:p w14:paraId="46804E76">
      <w:pPr>
        <w:pStyle w:val="19"/>
      </w:pPr>
    </w:p>
    <w:p w14:paraId="71695991">
      <w:pPr>
        <w:spacing w:line="360" w:lineRule="auto"/>
        <w:rPr>
          <w:rFonts w:ascii="宋体" w:hAnsi="宋体" w:cs="宋体"/>
          <w:color w:val="auto"/>
          <w:szCs w:val="21"/>
        </w:rPr>
      </w:pPr>
    </w:p>
    <w:bookmarkEnd w:id="19"/>
    <w:bookmarkEnd w:id="227"/>
    <w:bookmarkEnd w:id="228"/>
    <w:bookmarkEnd w:id="229"/>
    <w:bookmarkEnd w:id="230"/>
    <w:bookmarkEnd w:id="231"/>
    <w:bookmarkEnd w:id="234"/>
    <w:bookmarkEnd w:id="235"/>
    <w:bookmarkEnd w:id="236"/>
    <w:bookmarkEnd w:id="237"/>
    <w:bookmarkEnd w:id="238"/>
    <w:bookmarkEnd w:id="239"/>
    <w:p w14:paraId="6684039C">
      <w:pPr>
        <w:spacing w:line="360" w:lineRule="auto"/>
        <w:rPr>
          <w:rFonts w:ascii="宋体" w:hAnsi="宋体" w:cs="宋体"/>
          <w:color w:val="auto"/>
          <w:szCs w:val="21"/>
        </w:rPr>
      </w:pPr>
    </w:p>
    <w:p w14:paraId="5477DF87">
      <w:pPr>
        <w:pStyle w:val="2"/>
        <w:spacing w:before="0" w:after="0" w:line="360" w:lineRule="auto"/>
        <w:rPr>
          <w:rFonts w:ascii="宋体" w:hAnsi="宋体" w:cs="宋体"/>
          <w:color w:val="auto"/>
          <w:sz w:val="48"/>
          <w:szCs w:val="48"/>
        </w:rPr>
      </w:pPr>
      <w:bookmarkStart w:id="241" w:name="_Hlt87773481"/>
      <w:bookmarkEnd w:id="241"/>
      <w:bookmarkStart w:id="242" w:name="_Toc24095"/>
      <w:bookmarkStart w:id="243" w:name="_Toc5014"/>
      <w:bookmarkStart w:id="244" w:name="_Toc307826053"/>
      <w:bookmarkStart w:id="245" w:name="_Toc108597123"/>
      <w:bookmarkStart w:id="246" w:name="_Toc307826682"/>
      <w:r>
        <w:rPr>
          <w:rFonts w:hint="eastAsia" w:ascii="宋体" w:hAnsi="宋体" w:cs="宋体"/>
          <w:color w:val="auto"/>
          <w:sz w:val="48"/>
          <w:szCs w:val="48"/>
        </w:rPr>
        <w:t>第五部分</w:t>
      </w:r>
      <w:r>
        <w:rPr>
          <w:rFonts w:ascii="宋体" w:hAnsi="宋体" w:cs="宋体"/>
          <w:color w:val="auto"/>
          <w:sz w:val="48"/>
          <w:szCs w:val="48"/>
        </w:rPr>
        <w:t xml:space="preserve">  </w:t>
      </w:r>
      <w:r>
        <w:rPr>
          <w:rFonts w:hint="eastAsia" w:ascii="宋体" w:hAnsi="宋体" w:cs="宋体"/>
          <w:color w:val="auto"/>
          <w:sz w:val="48"/>
          <w:szCs w:val="48"/>
        </w:rPr>
        <w:t>合同草案</w:t>
      </w:r>
      <w:bookmarkEnd w:id="242"/>
      <w:bookmarkEnd w:id="243"/>
    </w:p>
    <w:p w14:paraId="5EBF48AD">
      <w:pPr>
        <w:adjustRightInd w:val="0"/>
        <w:snapToGrid w:val="0"/>
        <w:spacing w:line="360" w:lineRule="auto"/>
        <w:jc w:val="center"/>
        <w:rPr>
          <w:rFonts w:ascii="宋体" w:hAnsi="宋体" w:cs="宋体"/>
          <w:b/>
          <w:color w:val="auto"/>
          <w:spacing w:val="200"/>
          <w:szCs w:val="21"/>
        </w:rPr>
      </w:pPr>
      <w:bookmarkStart w:id="247" w:name="_Hlt109815959"/>
      <w:bookmarkEnd w:id="247"/>
    </w:p>
    <w:p w14:paraId="7779B5A3">
      <w:pPr>
        <w:pStyle w:val="51"/>
        <w:rPr>
          <w:color w:val="auto"/>
        </w:rPr>
      </w:pPr>
    </w:p>
    <w:p w14:paraId="230B86A2">
      <w:pPr>
        <w:adjustRightInd w:val="0"/>
        <w:snapToGrid w:val="0"/>
        <w:spacing w:line="360" w:lineRule="auto"/>
        <w:jc w:val="center"/>
        <w:rPr>
          <w:rFonts w:ascii="宋体" w:hAnsi="宋体" w:cs="宋体"/>
          <w:b/>
          <w:color w:val="auto"/>
          <w:spacing w:val="200"/>
          <w:sz w:val="72"/>
          <w:szCs w:val="72"/>
        </w:rPr>
      </w:pPr>
      <w:r>
        <w:rPr>
          <w:rFonts w:ascii="宋体" w:hAnsi="宋体" w:cs="宋体"/>
          <w:b/>
          <w:color w:val="auto"/>
          <w:spacing w:val="200"/>
          <w:sz w:val="72"/>
          <w:szCs w:val="72"/>
        </w:rPr>
        <w:t>合同书</w:t>
      </w:r>
    </w:p>
    <w:p w14:paraId="3ABC7C12">
      <w:pPr>
        <w:adjustRightInd w:val="0"/>
        <w:snapToGrid w:val="0"/>
        <w:spacing w:line="360" w:lineRule="auto"/>
        <w:jc w:val="center"/>
        <w:rPr>
          <w:rFonts w:ascii="宋体" w:hAnsi="宋体" w:cs="宋体"/>
          <w:b/>
          <w:color w:val="auto"/>
          <w:szCs w:val="21"/>
        </w:rPr>
      </w:pPr>
    </w:p>
    <w:p w14:paraId="19C8A851">
      <w:pPr>
        <w:adjustRightInd w:val="0"/>
        <w:snapToGrid w:val="0"/>
        <w:spacing w:line="360" w:lineRule="auto"/>
        <w:jc w:val="center"/>
        <w:rPr>
          <w:rFonts w:ascii="宋体" w:hAnsi="宋体" w:cs="宋体"/>
          <w:b/>
          <w:color w:val="auto"/>
          <w:szCs w:val="21"/>
        </w:rPr>
      </w:pPr>
    </w:p>
    <w:p w14:paraId="7220A1C7">
      <w:pPr>
        <w:adjustRightInd w:val="0"/>
        <w:snapToGrid w:val="0"/>
        <w:spacing w:line="360" w:lineRule="auto"/>
        <w:jc w:val="center"/>
        <w:rPr>
          <w:rFonts w:ascii="宋体" w:hAnsi="宋体" w:cs="宋体"/>
          <w:b/>
          <w:color w:val="auto"/>
          <w:szCs w:val="21"/>
        </w:rPr>
      </w:pPr>
    </w:p>
    <w:p w14:paraId="767DCDF0">
      <w:pPr>
        <w:adjustRightInd w:val="0"/>
        <w:snapToGrid w:val="0"/>
        <w:spacing w:line="360" w:lineRule="auto"/>
        <w:jc w:val="center"/>
        <w:rPr>
          <w:rFonts w:ascii="宋体" w:hAnsi="宋体" w:cs="宋体"/>
          <w:b/>
          <w:color w:val="auto"/>
          <w:szCs w:val="21"/>
        </w:rPr>
      </w:pPr>
    </w:p>
    <w:p w14:paraId="0C68DB26">
      <w:pPr>
        <w:adjustRightInd w:val="0"/>
        <w:snapToGrid w:val="0"/>
        <w:spacing w:line="360" w:lineRule="auto"/>
        <w:ind w:left="1680"/>
        <w:rPr>
          <w:rFonts w:ascii="宋体" w:hAnsi="宋体" w:cs="宋体"/>
          <w:b/>
          <w:color w:val="auto"/>
          <w:sz w:val="28"/>
        </w:rPr>
      </w:pPr>
    </w:p>
    <w:p w14:paraId="1A042D17">
      <w:pPr>
        <w:adjustRightInd w:val="0"/>
        <w:snapToGrid w:val="0"/>
        <w:spacing w:line="360" w:lineRule="auto"/>
        <w:ind w:left="1680"/>
        <w:rPr>
          <w:rFonts w:ascii="宋体" w:hAnsi="宋体" w:cs="宋体"/>
          <w:b/>
          <w:color w:val="auto"/>
          <w:sz w:val="28"/>
        </w:rPr>
      </w:pPr>
      <w:r>
        <w:rPr>
          <w:rFonts w:hint="eastAsia" w:ascii="宋体" w:hAnsi="宋体" w:cs="宋体"/>
          <w:b/>
          <w:color w:val="auto"/>
          <w:sz w:val="28"/>
        </w:rPr>
        <w:t>甲</w:t>
      </w:r>
      <w:r>
        <w:rPr>
          <w:rFonts w:ascii="宋体" w:hAnsi="宋体" w:cs="宋体"/>
          <w:b/>
          <w:color w:val="auto"/>
          <w:sz w:val="28"/>
        </w:rPr>
        <w:t xml:space="preserve">    </w:t>
      </w:r>
      <w:r>
        <w:rPr>
          <w:rFonts w:hint="eastAsia" w:ascii="宋体" w:hAnsi="宋体" w:cs="宋体"/>
          <w:b/>
          <w:color w:val="auto"/>
          <w:sz w:val="28"/>
        </w:rPr>
        <w:t>方：</w:t>
      </w:r>
    </w:p>
    <w:p w14:paraId="18107C8C">
      <w:pPr>
        <w:adjustRightInd w:val="0"/>
        <w:snapToGrid w:val="0"/>
        <w:spacing w:line="360" w:lineRule="auto"/>
        <w:ind w:left="1680"/>
        <w:rPr>
          <w:rFonts w:ascii="宋体" w:hAnsi="宋体" w:cs="宋体"/>
          <w:b/>
          <w:color w:val="auto"/>
          <w:sz w:val="28"/>
        </w:rPr>
      </w:pPr>
      <w:r>
        <w:rPr>
          <w:rFonts w:hint="eastAsia" w:ascii="宋体" w:hAnsi="宋体" w:cs="宋体"/>
          <w:b/>
          <w:color w:val="auto"/>
          <w:sz w:val="28"/>
        </w:rPr>
        <w:t>乙</w:t>
      </w:r>
      <w:r>
        <w:rPr>
          <w:rFonts w:ascii="宋体" w:hAnsi="宋体" w:cs="宋体"/>
          <w:b/>
          <w:color w:val="auto"/>
          <w:sz w:val="28"/>
        </w:rPr>
        <w:t xml:space="preserve">    </w:t>
      </w:r>
      <w:r>
        <w:rPr>
          <w:rFonts w:hint="eastAsia" w:ascii="宋体" w:hAnsi="宋体" w:cs="宋体"/>
          <w:b/>
          <w:color w:val="auto"/>
          <w:sz w:val="28"/>
        </w:rPr>
        <w:t>方：</w:t>
      </w:r>
    </w:p>
    <w:p w14:paraId="75282774">
      <w:pPr>
        <w:adjustRightInd w:val="0"/>
        <w:snapToGrid w:val="0"/>
        <w:spacing w:line="360" w:lineRule="auto"/>
        <w:ind w:left="1680"/>
        <w:rPr>
          <w:rFonts w:ascii="宋体" w:hAnsi="宋体" w:cs="宋体"/>
          <w:b/>
          <w:color w:val="auto"/>
          <w:sz w:val="28"/>
        </w:rPr>
      </w:pPr>
      <w:r>
        <w:rPr>
          <w:rFonts w:ascii="宋体" w:hAnsi="宋体" w:cs="宋体"/>
          <w:b/>
          <w:color w:val="auto"/>
          <w:sz w:val="28"/>
        </w:rPr>
        <w:t>签约地点：</w:t>
      </w:r>
    </w:p>
    <w:p w14:paraId="52805B3A">
      <w:pPr>
        <w:adjustRightInd w:val="0"/>
        <w:snapToGrid w:val="0"/>
        <w:spacing w:line="360" w:lineRule="auto"/>
        <w:ind w:left="1680"/>
        <w:rPr>
          <w:rFonts w:ascii="宋体" w:hAnsi="宋体" w:cs="宋体"/>
          <w:b/>
          <w:color w:val="auto"/>
          <w:sz w:val="28"/>
        </w:rPr>
      </w:pPr>
      <w:r>
        <w:rPr>
          <w:rFonts w:ascii="宋体" w:hAnsi="宋体" w:cs="宋体"/>
          <w:b/>
          <w:color w:val="auto"/>
          <w:sz w:val="28"/>
        </w:rPr>
        <w:t xml:space="preserve">签订日期：       </w:t>
      </w:r>
      <w:r>
        <w:rPr>
          <w:rFonts w:hint="eastAsia" w:ascii="宋体" w:hAnsi="宋体" w:cs="宋体"/>
          <w:b/>
          <w:color w:val="auto"/>
          <w:sz w:val="28"/>
        </w:rPr>
        <w:t>年</w:t>
      </w:r>
      <w:r>
        <w:rPr>
          <w:rFonts w:ascii="宋体" w:hAnsi="宋体" w:cs="宋体"/>
          <w:b/>
          <w:color w:val="auto"/>
          <w:sz w:val="28"/>
        </w:rPr>
        <w:t xml:space="preserve">    </w:t>
      </w:r>
      <w:r>
        <w:rPr>
          <w:rFonts w:hint="eastAsia" w:ascii="宋体" w:hAnsi="宋体" w:cs="宋体"/>
          <w:b/>
          <w:color w:val="auto"/>
          <w:sz w:val="28"/>
        </w:rPr>
        <w:t>月</w:t>
      </w:r>
      <w:r>
        <w:rPr>
          <w:rFonts w:ascii="宋体" w:hAnsi="宋体" w:cs="宋体"/>
          <w:b/>
          <w:color w:val="auto"/>
          <w:sz w:val="28"/>
        </w:rPr>
        <w:t xml:space="preserve">     </w:t>
      </w:r>
      <w:r>
        <w:rPr>
          <w:rFonts w:hint="eastAsia" w:ascii="宋体" w:hAnsi="宋体" w:cs="宋体"/>
          <w:b/>
          <w:color w:val="auto"/>
          <w:sz w:val="28"/>
        </w:rPr>
        <w:t>日</w:t>
      </w:r>
    </w:p>
    <w:p w14:paraId="23EABF1C">
      <w:pPr>
        <w:spacing w:line="360" w:lineRule="auto"/>
        <w:rPr>
          <w:rFonts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注：</w:t>
      </w:r>
      <w:r>
        <w:rPr>
          <w:rFonts w:ascii="宋体" w:hAnsi="宋体" w:cs="宋体"/>
          <w:b/>
          <w:color w:val="auto"/>
          <w:szCs w:val="21"/>
        </w:rPr>
        <w:t>本合同条款仅供参考，最终以甲方提供的样本并经甲乙双方协商一致的合同为准。</w:t>
      </w:r>
    </w:p>
    <w:p w14:paraId="1CFECF79">
      <w:pPr>
        <w:spacing w:line="360" w:lineRule="auto"/>
        <w:rPr>
          <w:rFonts w:hint="eastAsia" w:ascii="宋体" w:hAnsi="宋体" w:eastAsia="宋体"/>
          <w:color w:val="auto"/>
          <w:szCs w:val="21"/>
          <w:lang w:eastAsia="zh-CN"/>
        </w:rPr>
      </w:pPr>
      <w:r>
        <w:rPr>
          <w:rFonts w:ascii="宋体" w:hAnsi="宋体"/>
          <w:color w:val="auto"/>
          <w:szCs w:val="21"/>
        </w:rPr>
        <w:t>甲方（采购人）：</w:t>
      </w:r>
      <w:r>
        <w:rPr>
          <w:rFonts w:hint="eastAsia" w:ascii="宋体" w:hAnsi="宋体"/>
          <w:color w:val="auto"/>
          <w:szCs w:val="21"/>
          <w:u w:val="single"/>
          <w:lang w:eastAsia="zh-CN"/>
        </w:rPr>
        <w:t>广州市南沙区政务服务数据管理局</w:t>
      </w:r>
    </w:p>
    <w:p w14:paraId="7BE620AC">
      <w:pPr>
        <w:spacing w:line="360" w:lineRule="auto"/>
        <w:rPr>
          <w:rFonts w:ascii="宋体" w:hAnsi="宋体"/>
          <w:color w:val="auto"/>
          <w:szCs w:val="21"/>
        </w:rPr>
      </w:pPr>
      <w:r>
        <w:rPr>
          <w:rFonts w:hint="eastAsia" w:ascii="宋体" w:hAnsi="宋体"/>
          <w:color w:val="auto"/>
          <w:szCs w:val="21"/>
        </w:rPr>
        <w:t>地址：</w:t>
      </w:r>
    </w:p>
    <w:p w14:paraId="592E32CF">
      <w:pPr>
        <w:spacing w:line="360" w:lineRule="auto"/>
        <w:rPr>
          <w:rFonts w:ascii="宋体" w:hAnsi="宋体"/>
          <w:color w:val="auto"/>
          <w:szCs w:val="21"/>
        </w:rPr>
      </w:pPr>
      <w:r>
        <w:rPr>
          <w:rFonts w:ascii="宋体" w:hAnsi="宋体"/>
          <w:color w:val="auto"/>
          <w:szCs w:val="21"/>
        </w:rPr>
        <w:t>联系电话：</w:t>
      </w:r>
    </w:p>
    <w:p w14:paraId="4B72BEDF">
      <w:pPr>
        <w:spacing w:line="360" w:lineRule="auto"/>
        <w:rPr>
          <w:rFonts w:ascii="宋体" w:hAnsi="宋体"/>
          <w:color w:val="auto"/>
          <w:szCs w:val="21"/>
        </w:rPr>
      </w:pPr>
      <w:r>
        <w:rPr>
          <w:rFonts w:hint="eastAsia" w:ascii="宋体" w:hAnsi="宋体"/>
          <w:color w:val="auto"/>
          <w:szCs w:val="21"/>
        </w:rPr>
        <w:t>法定代表人：</w:t>
      </w:r>
    </w:p>
    <w:p w14:paraId="3BFDFEB4">
      <w:pPr>
        <w:spacing w:line="360" w:lineRule="auto"/>
        <w:rPr>
          <w:rFonts w:ascii="宋体" w:hAnsi="宋体"/>
          <w:color w:val="auto"/>
          <w:szCs w:val="21"/>
        </w:rPr>
      </w:pPr>
    </w:p>
    <w:p w14:paraId="5A0B0A5A">
      <w:pPr>
        <w:spacing w:line="360" w:lineRule="auto"/>
        <w:rPr>
          <w:rFonts w:ascii="宋体" w:hAnsi="宋体"/>
          <w:color w:val="auto"/>
          <w:szCs w:val="21"/>
        </w:rPr>
      </w:pPr>
      <w:r>
        <w:rPr>
          <w:rFonts w:hint="eastAsia" w:ascii="宋体" w:hAnsi="宋体"/>
          <w:color w:val="auto"/>
          <w:szCs w:val="21"/>
        </w:rPr>
        <w:t>乙方（成交供应商）：</w:t>
      </w:r>
    </w:p>
    <w:p w14:paraId="60B107D3">
      <w:pPr>
        <w:spacing w:line="360" w:lineRule="auto"/>
        <w:rPr>
          <w:rFonts w:ascii="宋体" w:hAnsi="宋体"/>
          <w:color w:val="auto"/>
          <w:szCs w:val="21"/>
        </w:rPr>
      </w:pPr>
      <w:r>
        <w:rPr>
          <w:rFonts w:hint="eastAsia" w:ascii="宋体" w:hAnsi="宋体"/>
          <w:color w:val="auto"/>
          <w:szCs w:val="21"/>
        </w:rPr>
        <w:t>地址：</w:t>
      </w:r>
    </w:p>
    <w:p w14:paraId="245A72C6">
      <w:pPr>
        <w:spacing w:line="360" w:lineRule="auto"/>
        <w:rPr>
          <w:rFonts w:ascii="宋体" w:hAnsi="宋体"/>
          <w:color w:val="auto"/>
          <w:szCs w:val="21"/>
        </w:rPr>
      </w:pPr>
      <w:r>
        <w:rPr>
          <w:rFonts w:ascii="宋体" w:hAnsi="宋体"/>
          <w:color w:val="auto"/>
          <w:szCs w:val="21"/>
        </w:rPr>
        <w:t>联系电话：</w:t>
      </w:r>
    </w:p>
    <w:p w14:paraId="35E9923A">
      <w:pPr>
        <w:spacing w:line="360" w:lineRule="auto"/>
        <w:rPr>
          <w:rFonts w:ascii="宋体" w:hAnsi="宋体"/>
          <w:color w:val="auto"/>
          <w:szCs w:val="21"/>
        </w:rPr>
      </w:pPr>
      <w:r>
        <w:rPr>
          <w:rFonts w:hint="eastAsia" w:ascii="宋体" w:hAnsi="宋体"/>
          <w:color w:val="auto"/>
          <w:szCs w:val="21"/>
        </w:rPr>
        <w:t>法定代表人：</w:t>
      </w:r>
    </w:p>
    <w:p w14:paraId="173776D4">
      <w:pPr>
        <w:spacing w:line="360" w:lineRule="auto"/>
        <w:ind w:firstLine="480"/>
        <w:rPr>
          <w:rFonts w:ascii="宋体" w:hAnsi="宋体"/>
          <w:color w:val="auto"/>
          <w:szCs w:val="21"/>
        </w:rPr>
      </w:pPr>
      <w:r>
        <w:rPr>
          <w:rFonts w:ascii="宋体" w:hAnsi="宋体"/>
          <w:color w:val="auto"/>
          <w:szCs w:val="21"/>
        </w:rPr>
        <w:t>根据《中华人民共和国民法典》及</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hint="eastAsia" w:ascii="宋体" w:hAnsi="宋体" w:cs="Tahoma"/>
          <w:color w:val="auto"/>
          <w:szCs w:val="21"/>
          <w:lang w:eastAsia="zh-CN"/>
        </w:rPr>
        <w:t>2024年广州市南沙政务服务公众考核满意度调查项目</w:t>
      </w:r>
      <w:r>
        <w:rPr>
          <w:rFonts w:ascii="宋体" w:hAnsi="宋体"/>
          <w:color w:val="auto"/>
          <w:szCs w:val="21"/>
        </w:rPr>
        <w:t>磋商文件和</w:t>
      </w:r>
      <w:r>
        <w:rPr>
          <w:rFonts w:hint="eastAsia" w:ascii="宋体" w:hAnsi="宋体"/>
          <w:color w:val="auto"/>
          <w:szCs w:val="21"/>
        </w:rPr>
        <w:t>响应文件</w:t>
      </w:r>
      <w:r>
        <w:rPr>
          <w:rFonts w:ascii="宋体" w:hAnsi="宋体"/>
          <w:color w:val="auto"/>
          <w:szCs w:val="21"/>
        </w:rPr>
        <w:t>（</w:t>
      </w:r>
      <w:r>
        <w:rPr>
          <w:rFonts w:ascii="宋体" w:hAnsi="宋体" w:cs="宋体"/>
          <w:color w:val="auto"/>
          <w:szCs w:val="21"/>
        </w:rPr>
        <w:t>项目编号</w:t>
      </w:r>
      <w:r>
        <w:rPr>
          <w:rFonts w:hint="eastAsia" w:ascii="宋体" w:hAnsi="宋体"/>
          <w:color w:val="auto"/>
          <w:szCs w:val="21"/>
        </w:rPr>
        <w:t>：</w:t>
      </w:r>
      <w:r>
        <w:rPr>
          <w:rFonts w:hint="eastAsia" w:ascii="宋体" w:hAnsi="宋体"/>
          <w:color w:val="auto"/>
          <w:szCs w:val="21"/>
          <w:lang w:eastAsia="zh-CN"/>
        </w:rPr>
        <w:t>GDWCFFC2312121</w:t>
      </w:r>
      <w:r>
        <w:rPr>
          <w:rFonts w:hint="eastAsia" w:ascii="宋体" w:hAnsi="宋体"/>
          <w:color w:val="auto"/>
          <w:szCs w:val="21"/>
        </w:rPr>
        <w:t>）的要求，</w:t>
      </w:r>
      <w:r>
        <w:rPr>
          <w:rFonts w:hint="eastAsia" w:ascii="宋体" w:hAnsi="宋体" w:cs="Tahoma"/>
          <w:color w:val="auto"/>
          <w:szCs w:val="21"/>
          <w:lang w:eastAsia="zh-CN"/>
        </w:rPr>
        <w:t>广州市南沙区政务服务数据管理局</w:t>
      </w:r>
      <w:r>
        <w:rPr>
          <w:rFonts w:ascii="宋体" w:hAnsi="宋体"/>
          <w:color w:val="auto"/>
          <w:szCs w:val="21"/>
        </w:rPr>
        <w:t>作为</w:t>
      </w:r>
      <w:r>
        <w:rPr>
          <w:rFonts w:hint="eastAsia" w:ascii="宋体" w:hAnsi="宋体" w:cs="Tahoma"/>
          <w:color w:val="auto"/>
          <w:szCs w:val="21"/>
          <w:lang w:eastAsia="zh-CN"/>
        </w:rPr>
        <w:t>2024年广州市南沙政务服务公众考核满意度调查项目</w:t>
      </w:r>
      <w:r>
        <w:rPr>
          <w:rFonts w:hint="eastAsia" w:ascii="宋体" w:hAnsi="宋体"/>
          <w:color w:val="auto"/>
          <w:szCs w:val="21"/>
        </w:rPr>
        <w:t>的甲方，委托</w:t>
      </w:r>
      <w:r>
        <w:rPr>
          <w:rFonts w:hint="eastAsia" w:ascii="宋体" w:hAnsi="宋体"/>
          <w:color w:val="auto"/>
          <w:szCs w:val="21"/>
          <w:u w:val="single"/>
        </w:rPr>
        <w:t>（乙方）</w:t>
      </w:r>
      <w:r>
        <w:rPr>
          <w:rFonts w:ascii="宋体" w:hAnsi="宋体"/>
          <w:color w:val="auto"/>
          <w:szCs w:val="21"/>
        </w:rPr>
        <w:t>按磋商文件、经甲方确认的方案和</w:t>
      </w:r>
      <w:r>
        <w:rPr>
          <w:rFonts w:hint="eastAsia" w:ascii="宋体" w:hAnsi="宋体"/>
          <w:color w:val="auto"/>
          <w:szCs w:val="21"/>
        </w:rPr>
        <w:t>响应文件</w:t>
      </w:r>
      <w:r>
        <w:rPr>
          <w:rFonts w:ascii="宋体" w:hAnsi="宋体"/>
          <w:color w:val="auto"/>
          <w:szCs w:val="21"/>
        </w:rPr>
        <w:t>要求开展工作，经双方协商一致，签订本合同。</w:t>
      </w:r>
    </w:p>
    <w:p w14:paraId="39E15BFF">
      <w:pPr>
        <w:spacing w:line="360" w:lineRule="auto"/>
        <w:rPr>
          <w:rFonts w:ascii="宋体" w:hAnsi="宋体"/>
          <w:b/>
          <w:color w:val="auto"/>
          <w:szCs w:val="21"/>
        </w:rPr>
      </w:pPr>
      <w:r>
        <w:rPr>
          <w:rFonts w:ascii="宋体" w:hAnsi="宋体"/>
          <w:b/>
          <w:bCs/>
          <w:color w:val="auto"/>
          <w:szCs w:val="21"/>
        </w:rPr>
        <w:t>第一条</w:t>
      </w:r>
      <w:r>
        <w:rPr>
          <w:rFonts w:hint="eastAsia" w:ascii="宋体" w:hAnsi="宋体"/>
          <w:b/>
          <w:bCs/>
          <w:color w:val="auto"/>
          <w:szCs w:val="21"/>
        </w:rPr>
        <w:t xml:space="preserve">  </w:t>
      </w:r>
      <w:r>
        <w:rPr>
          <w:rFonts w:ascii="宋体" w:hAnsi="宋体"/>
          <w:b/>
          <w:color w:val="auto"/>
          <w:szCs w:val="21"/>
        </w:rPr>
        <w:t>合同的组成</w:t>
      </w:r>
    </w:p>
    <w:p w14:paraId="32BE8A3B">
      <w:pPr>
        <w:spacing w:line="360" w:lineRule="auto"/>
        <w:ind w:firstLine="420" w:firstLineChars="200"/>
        <w:rPr>
          <w:rFonts w:ascii="宋体" w:hAnsi="宋体"/>
          <w:color w:val="auto"/>
          <w:szCs w:val="21"/>
        </w:rPr>
      </w:pPr>
      <w:r>
        <w:rPr>
          <w:rFonts w:ascii="宋体" w:hAnsi="宋体"/>
          <w:color w:val="auto"/>
          <w:szCs w:val="21"/>
        </w:rPr>
        <w:t>详细价格、服务说明及其它有关合同的特定信息由合同附件说明。所有附件及本项目的磋商文件、</w:t>
      </w:r>
      <w:r>
        <w:rPr>
          <w:rFonts w:hint="eastAsia" w:ascii="宋体" w:hAnsi="宋体"/>
          <w:color w:val="auto"/>
          <w:szCs w:val="21"/>
        </w:rPr>
        <w:t>响应文件</w:t>
      </w:r>
      <w:r>
        <w:rPr>
          <w:rFonts w:ascii="宋体" w:hAnsi="宋体"/>
          <w:color w:val="auto"/>
          <w:szCs w:val="21"/>
        </w:rPr>
        <w:t>、会议纪要、协议等均为本合同不可分割之一部分</w:t>
      </w:r>
      <w:r>
        <w:rPr>
          <w:rFonts w:hint="eastAsia" w:ascii="宋体" w:hAnsi="宋体"/>
          <w:color w:val="auto"/>
          <w:szCs w:val="21"/>
        </w:rPr>
        <w:t>。</w:t>
      </w:r>
    </w:p>
    <w:p w14:paraId="1F020DF7">
      <w:pPr>
        <w:tabs>
          <w:tab w:val="left" w:pos="0"/>
          <w:tab w:val="left" w:pos="7920"/>
        </w:tabs>
        <w:spacing w:line="360" w:lineRule="auto"/>
        <w:rPr>
          <w:rFonts w:ascii="宋体" w:hAnsi="宋体"/>
          <w:b/>
          <w:bCs/>
          <w:color w:val="auto"/>
          <w:szCs w:val="21"/>
        </w:rPr>
      </w:pPr>
      <w:bookmarkStart w:id="248" w:name="_Toc488422677"/>
      <w:bookmarkStart w:id="249" w:name="_Toc488933554"/>
      <w:bookmarkStart w:id="250" w:name="_Toc489256298"/>
      <w:bookmarkStart w:id="251" w:name="_Toc488955852"/>
      <w:r>
        <w:rPr>
          <w:rFonts w:ascii="宋体" w:hAnsi="宋体"/>
          <w:b/>
          <w:bCs/>
          <w:color w:val="auto"/>
          <w:szCs w:val="21"/>
        </w:rPr>
        <w:t>第二条</w:t>
      </w:r>
      <w:r>
        <w:rPr>
          <w:rFonts w:hint="eastAsia" w:ascii="宋体" w:hAnsi="宋体"/>
          <w:b/>
          <w:bCs/>
          <w:color w:val="auto"/>
          <w:szCs w:val="21"/>
        </w:rPr>
        <w:t xml:space="preserve">  </w:t>
      </w:r>
      <w:r>
        <w:rPr>
          <w:rFonts w:ascii="宋体" w:hAnsi="宋体"/>
          <w:b/>
          <w:bCs/>
          <w:color w:val="auto"/>
          <w:szCs w:val="21"/>
        </w:rPr>
        <w:t>合同</w:t>
      </w:r>
      <w:r>
        <w:rPr>
          <w:rFonts w:hint="eastAsia" w:ascii="宋体" w:hAnsi="宋体"/>
          <w:b/>
          <w:bCs/>
          <w:color w:val="auto"/>
          <w:szCs w:val="21"/>
        </w:rPr>
        <w:t>金额</w:t>
      </w:r>
    </w:p>
    <w:p w14:paraId="169F0ED1">
      <w:pPr>
        <w:tabs>
          <w:tab w:val="left" w:pos="0"/>
          <w:tab w:val="left" w:pos="7920"/>
        </w:tabs>
        <w:spacing w:line="360" w:lineRule="auto"/>
        <w:ind w:firstLine="435"/>
        <w:rPr>
          <w:rFonts w:ascii="宋体" w:hAnsi="宋体" w:cs="宋体"/>
          <w:color w:val="auto"/>
          <w:szCs w:val="21"/>
        </w:rPr>
      </w:pPr>
      <w:r>
        <w:rPr>
          <w:rFonts w:ascii="宋体" w:hAnsi="宋体" w:cs="宋体"/>
          <w:color w:val="auto"/>
          <w:szCs w:val="21"/>
        </w:rPr>
        <w:t>合同</w:t>
      </w:r>
      <w:r>
        <w:rPr>
          <w:rFonts w:hint="eastAsia" w:ascii="宋体" w:hAnsi="宋体" w:cs="宋体"/>
          <w:color w:val="auto"/>
          <w:szCs w:val="21"/>
        </w:rPr>
        <w:t>总价</w:t>
      </w:r>
      <w:r>
        <w:rPr>
          <w:rFonts w:ascii="宋体" w:hAnsi="宋体" w:cs="宋体"/>
          <w:color w:val="auto"/>
          <w:szCs w:val="21"/>
        </w:rPr>
        <w:t>为（大写）：人民币_________________</w:t>
      </w:r>
      <w:r>
        <w:rPr>
          <w:rFonts w:hint="eastAsia" w:ascii="宋体" w:hAnsi="宋体" w:cs="宋体"/>
          <w:color w:val="auto"/>
          <w:szCs w:val="21"/>
        </w:rPr>
        <w:t>元（</w:t>
      </w:r>
      <w:r>
        <w:rPr>
          <w:rFonts w:ascii="宋体" w:hAnsi="宋体" w:cs="宋体"/>
          <w:color w:val="auto"/>
          <w:szCs w:val="21"/>
        </w:rPr>
        <w:t>¥_______________</w:t>
      </w:r>
      <w:r>
        <w:rPr>
          <w:rFonts w:hint="eastAsia" w:ascii="宋体" w:hAnsi="宋体" w:cs="宋体"/>
          <w:color w:val="auto"/>
          <w:szCs w:val="21"/>
        </w:rPr>
        <w:t>元）。</w:t>
      </w:r>
    </w:p>
    <w:p w14:paraId="282B77C1">
      <w:pPr>
        <w:tabs>
          <w:tab w:val="left" w:pos="0"/>
          <w:tab w:val="left" w:pos="7920"/>
        </w:tabs>
        <w:spacing w:line="360" w:lineRule="auto"/>
        <w:rPr>
          <w:rFonts w:ascii="宋体" w:hAnsi="宋体"/>
          <w:b/>
          <w:bCs/>
          <w:color w:val="auto"/>
          <w:szCs w:val="21"/>
        </w:rPr>
      </w:pPr>
      <w:r>
        <w:rPr>
          <w:rFonts w:ascii="宋体" w:hAnsi="宋体"/>
          <w:b/>
          <w:bCs/>
          <w:color w:val="auto"/>
          <w:szCs w:val="21"/>
        </w:rPr>
        <w:t>第三条</w:t>
      </w:r>
      <w:r>
        <w:rPr>
          <w:rFonts w:hint="eastAsia" w:ascii="宋体" w:hAnsi="宋体"/>
          <w:b/>
          <w:bCs/>
          <w:color w:val="auto"/>
          <w:szCs w:val="21"/>
        </w:rPr>
        <w:t xml:space="preserve">  </w:t>
      </w:r>
      <w:r>
        <w:rPr>
          <w:rFonts w:hint="eastAsia" w:ascii="宋体" w:hAnsi="宋体"/>
          <w:b/>
          <w:bCs/>
          <w:color w:val="auto"/>
          <w:szCs w:val="21"/>
          <w:lang w:eastAsia="zh-CN"/>
        </w:rPr>
        <w:t>合同履行期限</w:t>
      </w:r>
      <w:r>
        <w:rPr>
          <w:rFonts w:ascii="宋体" w:hAnsi="宋体"/>
          <w:b/>
          <w:bCs/>
          <w:color w:val="auto"/>
          <w:szCs w:val="21"/>
        </w:rPr>
        <w:t>及交货地点</w:t>
      </w:r>
    </w:p>
    <w:p w14:paraId="470EFBD3">
      <w:pPr>
        <w:spacing w:line="360" w:lineRule="auto"/>
        <w:ind w:firstLine="420" w:firstLineChars="200"/>
        <w:rPr>
          <w:rFonts w:ascii="宋体" w:hAnsi="宋体" w:cs="宋体"/>
          <w:color w:val="auto"/>
          <w:szCs w:val="21"/>
        </w:rPr>
      </w:pPr>
      <w:r>
        <w:rPr>
          <w:rFonts w:hint="eastAsia" w:ascii="宋体" w:hAnsi="宋体" w:cs="Tahoma"/>
          <w:color w:val="auto"/>
          <w:szCs w:val="21"/>
          <w:lang w:eastAsia="zh-CN"/>
        </w:rPr>
        <w:t>合同履行期限</w:t>
      </w:r>
      <w:r>
        <w:rPr>
          <w:rFonts w:hint="eastAsia" w:ascii="宋体" w:hAnsi="宋体" w:cs="Tahoma"/>
          <w:color w:val="auto"/>
          <w:szCs w:val="21"/>
        </w:rPr>
        <w:t>：</w:t>
      </w:r>
      <w:r>
        <w:rPr>
          <w:rFonts w:hint="eastAsia" w:ascii="宋体" w:hAnsi="宋体" w:cs="Tahoma"/>
          <w:color w:val="auto"/>
          <w:szCs w:val="21"/>
          <w:lang w:eastAsia="zh-CN"/>
        </w:rPr>
        <w:t>2024年1月1日至2024年12月31日</w:t>
      </w:r>
      <w:r>
        <w:rPr>
          <w:rFonts w:hint="eastAsia" w:ascii="宋体" w:hAnsi="宋体" w:cs="Tahoma"/>
          <w:color w:val="auto"/>
          <w:szCs w:val="21"/>
        </w:rPr>
        <w:t>。</w:t>
      </w:r>
    </w:p>
    <w:p w14:paraId="17CB9DD7">
      <w:pPr>
        <w:spacing w:line="360" w:lineRule="auto"/>
        <w:ind w:firstLine="420" w:firstLineChars="200"/>
        <w:rPr>
          <w:rFonts w:ascii="宋体" w:hAnsi="宋体" w:cs="宋体"/>
          <w:color w:val="auto"/>
          <w:szCs w:val="21"/>
        </w:rPr>
      </w:pPr>
      <w:r>
        <w:rPr>
          <w:rFonts w:hint="eastAsia" w:ascii="宋体" w:hAnsi="宋体" w:cs="宋体"/>
          <w:color w:val="auto"/>
          <w:szCs w:val="21"/>
        </w:rPr>
        <w:t>交货</w:t>
      </w:r>
      <w:r>
        <w:rPr>
          <w:rFonts w:ascii="宋体" w:hAnsi="宋体" w:cs="宋体"/>
          <w:color w:val="auto"/>
          <w:szCs w:val="21"/>
        </w:rPr>
        <w:t>地点：</w:t>
      </w:r>
      <w:r>
        <w:rPr>
          <w:rFonts w:hint="eastAsia" w:ascii="宋体" w:hAnsi="宋体" w:cs="宋体"/>
          <w:color w:val="auto"/>
          <w:szCs w:val="21"/>
        </w:rPr>
        <w:t>甲方指定</w:t>
      </w:r>
      <w:r>
        <w:rPr>
          <w:rFonts w:ascii="宋体" w:hAnsi="宋体" w:cs="宋体"/>
          <w:color w:val="auto"/>
          <w:szCs w:val="21"/>
        </w:rPr>
        <w:t>地点</w:t>
      </w:r>
    </w:p>
    <w:p w14:paraId="35FA2FD7">
      <w:pPr>
        <w:tabs>
          <w:tab w:val="left" w:pos="0"/>
          <w:tab w:val="left" w:pos="7920"/>
        </w:tabs>
        <w:spacing w:line="360" w:lineRule="auto"/>
        <w:rPr>
          <w:rFonts w:ascii="宋体" w:hAnsi="宋体"/>
          <w:b/>
          <w:bCs/>
          <w:color w:val="auto"/>
          <w:szCs w:val="21"/>
        </w:rPr>
      </w:pPr>
      <w:r>
        <w:rPr>
          <w:rFonts w:hint="eastAsia" w:ascii="宋体" w:hAnsi="宋体"/>
          <w:b/>
          <w:bCs/>
          <w:color w:val="auto"/>
          <w:szCs w:val="21"/>
        </w:rPr>
        <w:t>第四条 服务内容</w:t>
      </w:r>
    </w:p>
    <w:p w14:paraId="41E142F5">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项目目的</w:t>
      </w:r>
    </w:p>
    <w:p w14:paraId="5F9526D6">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为</w:t>
      </w:r>
      <w:r>
        <w:rPr>
          <w:rFonts w:hint="eastAsia" w:ascii="宋体" w:hAnsi="宋体" w:eastAsia="宋体" w:cs="宋体"/>
          <w:color w:val="auto"/>
          <w:kern w:val="0"/>
          <w:sz w:val="21"/>
          <w:szCs w:val="21"/>
        </w:rPr>
        <w:t>全面贯彻</w:t>
      </w:r>
      <w:r>
        <w:rPr>
          <w:rFonts w:hint="eastAsia" w:ascii="宋体" w:hAnsi="宋体" w:eastAsia="宋体" w:cs="宋体"/>
          <w:color w:val="auto"/>
          <w:sz w:val="21"/>
          <w:szCs w:val="21"/>
        </w:rPr>
        <w:t>落实</w:t>
      </w:r>
      <w:r>
        <w:rPr>
          <w:rFonts w:hint="eastAsia" w:ascii="宋体" w:hAnsi="宋体" w:eastAsia="宋体" w:cs="宋体"/>
          <w:color w:val="auto"/>
          <w:kern w:val="0"/>
          <w:sz w:val="21"/>
          <w:szCs w:val="21"/>
        </w:rPr>
        <w:t>党的二十大精神，</w:t>
      </w:r>
      <w:r>
        <w:rPr>
          <w:rFonts w:hint="eastAsia" w:ascii="宋体" w:hAnsi="宋体" w:eastAsia="宋体" w:cs="宋体"/>
          <w:color w:val="auto"/>
          <w:kern w:val="0"/>
          <w:sz w:val="21"/>
          <w:szCs w:val="21"/>
          <w:lang w:val="en-US" w:eastAsia="zh-CN"/>
        </w:rPr>
        <w:t>根据</w:t>
      </w:r>
      <w:r>
        <w:rPr>
          <w:rFonts w:hint="eastAsia" w:ascii="宋体" w:hAnsi="宋体" w:eastAsia="宋体" w:cs="宋体"/>
          <w:color w:val="auto"/>
          <w:kern w:val="0"/>
          <w:sz w:val="21"/>
          <w:szCs w:val="21"/>
          <w:lang w:eastAsia="zh-Hans"/>
        </w:rPr>
        <w:t>《国务院关于加快推进政务服务标准化规范化便利化的指导意见》《广东省加快推进政务服务标准化规范化便利化工作实施方案》《广州市加快推进政务服务标准化规范化便利化实施方案》</w:t>
      </w:r>
      <w:r>
        <w:rPr>
          <w:rFonts w:hint="eastAsia" w:ascii="宋体" w:hAnsi="宋体" w:eastAsia="宋体" w:cs="宋体"/>
          <w:color w:val="auto"/>
          <w:kern w:val="0"/>
          <w:sz w:val="21"/>
          <w:szCs w:val="21"/>
        </w:rPr>
        <w:t>等文件精神</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rPr>
        <w:t>结合我区工作实际</w:t>
      </w:r>
      <w:r>
        <w:rPr>
          <w:rFonts w:hint="eastAsia" w:ascii="宋体" w:hAnsi="宋体" w:eastAsia="宋体" w:cs="宋体"/>
          <w:color w:val="auto"/>
          <w:kern w:val="0"/>
          <w:sz w:val="21"/>
          <w:szCs w:val="21"/>
          <w:lang w:val="en-US" w:eastAsia="zh-CN"/>
        </w:rPr>
        <w:t>及我局</w:t>
      </w:r>
      <w:r>
        <w:rPr>
          <w:rFonts w:hint="eastAsia" w:ascii="宋体" w:hAnsi="宋体" w:eastAsia="宋体" w:cs="宋体"/>
          <w:color w:val="auto"/>
          <w:kern w:val="0"/>
          <w:sz w:val="21"/>
          <w:szCs w:val="21"/>
        </w:rPr>
        <w:t>《广州市南沙区政务服务三年发展规划（2023年-2025年）》</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以下简称《规划》</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，将立足新发展阶段，顺应数字化发展趋势，</w:t>
      </w:r>
      <w:r>
        <w:rPr>
          <w:rFonts w:hint="eastAsia" w:ascii="宋体" w:hAnsi="宋体" w:eastAsia="宋体" w:cs="宋体"/>
          <w:color w:val="auto"/>
          <w:kern w:val="0"/>
          <w:sz w:val="21"/>
          <w:szCs w:val="21"/>
          <w:lang w:val="en-US" w:eastAsia="zh-CN"/>
        </w:rPr>
        <w:t>力争</w:t>
      </w:r>
      <w:r>
        <w:rPr>
          <w:rFonts w:hint="eastAsia" w:ascii="宋体" w:hAnsi="宋体" w:eastAsia="宋体" w:cs="宋体"/>
          <w:color w:val="auto"/>
          <w:kern w:val="0"/>
          <w:sz w:val="21"/>
          <w:szCs w:val="21"/>
        </w:rPr>
        <w:t>政务服务标准化、规范化、便利化水平大幅提升，集约化办事、智慧化服务实现新的突破，建成方便、快捷、公平普惠、优质高效的政务服务体系。</w:t>
      </w:r>
    </w:p>
    <w:p w14:paraId="5F0350EE">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通过</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调查</w:t>
      </w:r>
      <w:r>
        <w:rPr>
          <w:rFonts w:hint="eastAsia" w:ascii="宋体" w:hAnsi="宋体" w:eastAsia="宋体" w:cs="宋体"/>
          <w:color w:val="auto"/>
          <w:kern w:val="0"/>
          <w:sz w:val="21"/>
          <w:szCs w:val="21"/>
        </w:rPr>
        <w:t>为主，科学、客观对南沙区政务服务中心进驻窗口单位及各镇（街）（包括但不限于镇（街）政务服务中心、村（居）公共服务站、专业大厅）（以下简称镇（街））的政务服务效能状况进行调查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充分听取企业和群众对南沙政务工作的意见建议，研究分析政务工作亮点和服务短板，并查找、挖掘服务短板的深层次原因，提出具体有效的对策建议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推动全区政务服务水平突破提升，持续增强企业和群众的获得感和满意度，助力南沙打造成为立足湾区、协同港澳、面向世界的重大战略性平台，打造政务服务高质量发展“南沙样本”。</w:t>
      </w:r>
    </w:p>
    <w:p w14:paraId="7BD04C1A">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项目目标</w:t>
      </w:r>
    </w:p>
    <w:p w14:paraId="0BB5682B">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1.深挖</w:t>
      </w:r>
      <w:r>
        <w:rPr>
          <w:rFonts w:hint="eastAsia" w:ascii="宋体" w:hAnsi="宋体" w:eastAsia="宋体" w:cs="宋体"/>
          <w:b/>
          <w:color w:val="auto"/>
          <w:kern w:val="0"/>
          <w:sz w:val="21"/>
          <w:szCs w:val="21"/>
          <w:lang w:val="en-US" w:eastAsia="zh-CN"/>
        </w:rPr>
        <w:t>政务</w:t>
      </w:r>
      <w:r>
        <w:rPr>
          <w:rFonts w:hint="eastAsia" w:ascii="宋体" w:hAnsi="宋体" w:eastAsia="宋体" w:cs="宋体"/>
          <w:b/>
          <w:color w:val="auto"/>
          <w:kern w:val="0"/>
          <w:sz w:val="21"/>
          <w:szCs w:val="21"/>
        </w:rPr>
        <w:t>服务窗口单位</w:t>
      </w:r>
      <w:r>
        <w:rPr>
          <w:rFonts w:hint="eastAsia" w:ascii="宋体" w:hAnsi="宋体" w:eastAsia="宋体" w:cs="宋体"/>
          <w:b/>
          <w:color w:val="auto"/>
          <w:kern w:val="0"/>
          <w:sz w:val="21"/>
          <w:szCs w:val="21"/>
          <w:lang w:val="en-US" w:eastAsia="zh-CN"/>
        </w:rPr>
        <w:t>工作</w:t>
      </w:r>
      <w:r>
        <w:rPr>
          <w:rFonts w:hint="eastAsia" w:ascii="宋体" w:hAnsi="宋体" w:eastAsia="宋体" w:cs="宋体"/>
          <w:b/>
          <w:color w:val="auto"/>
          <w:kern w:val="0"/>
          <w:sz w:val="21"/>
          <w:szCs w:val="21"/>
        </w:rPr>
        <w:t>短板。</w:t>
      </w:r>
      <w:r>
        <w:rPr>
          <w:rFonts w:hint="eastAsia" w:ascii="宋体" w:hAnsi="宋体" w:eastAsia="宋体" w:cs="宋体"/>
          <w:color w:val="auto"/>
          <w:kern w:val="0"/>
          <w:sz w:val="21"/>
          <w:szCs w:val="21"/>
        </w:rPr>
        <w:t>从</w:t>
      </w:r>
      <w:r>
        <w:rPr>
          <w:rFonts w:hint="eastAsia" w:ascii="宋体" w:hAnsi="宋体" w:cs="宋体"/>
          <w:color w:val="auto"/>
          <w:sz w:val="21"/>
          <w:szCs w:val="21"/>
          <w:lang w:val="en-US" w:eastAsia="zh-CN"/>
        </w:rPr>
        <w:t>乙方</w:t>
      </w:r>
      <w:r>
        <w:rPr>
          <w:rFonts w:hint="eastAsia" w:ascii="宋体" w:hAnsi="宋体" w:eastAsia="宋体" w:cs="宋体"/>
          <w:color w:val="auto"/>
          <w:kern w:val="0"/>
          <w:sz w:val="21"/>
          <w:szCs w:val="21"/>
        </w:rPr>
        <w:t>视角，深度查找、挖掘窗口服务单位在各业务领域全流程政务服务的短板问题，研究分析深层次原因，并针对所发现问题提出具体有效的对策建议，聚焦政务服务优化、效能提升的薄弱环节精准发力，倒逼各窗口服务单位积极推进自身政务管理和服务创新。</w:t>
      </w:r>
    </w:p>
    <w:p w14:paraId="49E2ACD5">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2.</w:t>
      </w:r>
      <w:r>
        <w:rPr>
          <w:rFonts w:hint="eastAsia" w:ascii="宋体" w:hAnsi="宋体" w:eastAsia="宋体" w:cs="宋体"/>
          <w:b/>
          <w:color w:val="auto"/>
          <w:kern w:val="0"/>
          <w:sz w:val="21"/>
          <w:szCs w:val="21"/>
          <w:lang w:val="en-US" w:eastAsia="zh-CN"/>
        </w:rPr>
        <w:t>优化</w:t>
      </w:r>
      <w:r>
        <w:rPr>
          <w:rFonts w:hint="eastAsia" w:ascii="宋体" w:hAnsi="宋体" w:eastAsia="宋体" w:cs="宋体"/>
          <w:b/>
          <w:color w:val="auto"/>
          <w:kern w:val="0"/>
          <w:sz w:val="21"/>
          <w:szCs w:val="21"/>
        </w:rPr>
        <w:t>提升镇（街）政务服务水平。</w:t>
      </w:r>
      <w:r>
        <w:rPr>
          <w:rFonts w:hint="eastAsia" w:ascii="宋体" w:hAnsi="宋体" w:eastAsia="宋体" w:cs="宋体"/>
          <w:color w:val="auto"/>
          <w:kern w:val="0"/>
          <w:sz w:val="21"/>
          <w:szCs w:val="21"/>
        </w:rPr>
        <w:t>2024年继续优化镇（街）政务服务效能常态化监测与考评体系，</w:t>
      </w:r>
      <w:r>
        <w:rPr>
          <w:rFonts w:hint="eastAsia" w:ascii="宋体" w:hAnsi="宋体" w:eastAsia="宋体" w:cs="宋体"/>
          <w:color w:val="auto"/>
          <w:kern w:val="0"/>
          <w:sz w:val="21"/>
          <w:szCs w:val="21"/>
          <w:lang w:val="en-US" w:eastAsia="zh-CN"/>
        </w:rPr>
        <w:t>针对</w:t>
      </w:r>
      <w:r>
        <w:rPr>
          <w:rFonts w:hint="eastAsia" w:ascii="宋体" w:hAnsi="宋体" w:eastAsia="宋体" w:cs="宋体"/>
          <w:color w:val="auto"/>
          <w:kern w:val="0"/>
          <w:sz w:val="21"/>
          <w:szCs w:val="21"/>
        </w:rPr>
        <w:t>目前镇（街）政务服务标准化规范化便利化推进现状，聚焦办事企业和群众需求，深挖各镇（街）政务服务成效和存在问题，</w:t>
      </w:r>
      <w:r>
        <w:rPr>
          <w:rFonts w:hint="eastAsia" w:ascii="宋体" w:hAnsi="宋体" w:eastAsia="宋体" w:cs="宋体"/>
          <w:color w:val="auto"/>
          <w:kern w:val="0"/>
          <w:sz w:val="21"/>
          <w:szCs w:val="21"/>
          <w:lang w:val="en-US" w:eastAsia="zh-CN"/>
        </w:rPr>
        <w:t>提出可行性的建议或意见，</w:t>
      </w:r>
      <w:r>
        <w:rPr>
          <w:rFonts w:hint="eastAsia" w:ascii="宋体" w:hAnsi="宋体" w:eastAsia="宋体" w:cs="宋体"/>
          <w:color w:val="auto"/>
          <w:kern w:val="0"/>
          <w:sz w:val="21"/>
          <w:szCs w:val="21"/>
        </w:rPr>
        <w:t>突破提升镇（街）的整体政务服务水平与服务能力。</w:t>
      </w:r>
    </w:p>
    <w:p w14:paraId="0EF5800B">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rPr>
        <w:t>原则</w:t>
      </w:r>
    </w:p>
    <w:p w14:paraId="358CE0C4">
      <w:pPr>
        <w:spacing w:line="360" w:lineRule="auto"/>
        <w:ind w:firstLine="480"/>
        <w:jc w:val="both"/>
        <w:rPr>
          <w:rFonts w:hint="eastAsia" w:ascii="宋体" w:hAnsi="宋体" w:eastAsia="宋体" w:cs="宋体"/>
          <w:b/>
          <w:color w:val="auto"/>
          <w:sz w:val="21"/>
          <w:szCs w:val="21"/>
        </w:rPr>
      </w:pPr>
      <w:r>
        <w:rPr>
          <w:rFonts w:hint="eastAsia" w:ascii="宋体" w:hAnsi="宋体" w:eastAsia="宋体" w:cs="宋体"/>
          <w:b/>
          <w:color w:val="auto"/>
          <w:sz w:val="21"/>
          <w:szCs w:val="21"/>
        </w:rPr>
        <w:t>1.结果导向性</w:t>
      </w:r>
    </w:p>
    <w:p w14:paraId="318AFB1F">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以</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rPr>
        <w:t>独立、客观视角为主，坚持问题导向、需求导向、目标导向、结果导向，以办事企业和群众“获得感”为第一评估标准，重点评估各进驻部门、各镇（街）的政务服务实效，挖掘工作中存在的问题和服务短板，深入研究分析原因，针对问题提出具体有效的改进措施和优化建议，引导南沙政务服务向高质量发展。</w:t>
      </w:r>
    </w:p>
    <w:p w14:paraId="42E6078D">
      <w:pPr>
        <w:spacing w:line="360" w:lineRule="auto"/>
        <w:ind w:firstLine="480"/>
        <w:jc w:val="both"/>
        <w:rPr>
          <w:rFonts w:hint="eastAsia" w:ascii="宋体" w:hAnsi="宋体" w:eastAsia="宋体" w:cs="宋体"/>
          <w:b/>
          <w:color w:val="auto"/>
          <w:sz w:val="21"/>
          <w:szCs w:val="21"/>
        </w:rPr>
      </w:pPr>
      <w:r>
        <w:rPr>
          <w:rFonts w:hint="eastAsia" w:ascii="宋体" w:hAnsi="宋体" w:eastAsia="宋体" w:cs="宋体"/>
          <w:b/>
          <w:color w:val="auto"/>
          <w:sz w:val="21"/>
          <w:szCs w:val="21"/>
        </w:rPr>
        <w:t>2.量化可比性</w:t>
      </w:r>
    </w:p>
    <w:p w14:paraId="3F409DF0">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坚持指标可量化、结果可比较原则，以定量数据作为反映指标的核心依据，以信息化平台作为获取数据的关键支撑，采用座谈会、深度访问、深度模拟体验、实地调研、暗访调查、网上抽查、拦截访问、电话调查等多元化数据采集方式，确保调查结果真实、准确。</w:t>
      </w:r>
    </w:p>
    <w:p w14:paraId="76771AB5">
      <w:pPr>
        <w:pStyle w:val="20"/>
        <w:spacing w:line="360" w:lineRule="auto"/>
        <w:ind w:left="0"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3.客观公正性</w:t>
      </w:r>
    </w:p>
    <w:p w14:paraId="67F2F900">
      <w:pPr>
        <w:pStyle w:val="2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rPr>
        <w:t>开展调查研究，避免传统“内评估”的不足，增强调查工作的透明度和公信力，客观、科学评估南沙区政务服务建设情况。</w:t>
      </w:r>
    </w:p>
    <w:p w14:paraId="260B10F2">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评估</w:t>
      </w:r>
      <w:r>
        <w:rPr>
          <w:rFonts w:hint="eastAsia" w:ascii="宋体" w:hAnsi="宋体" w:eastAsia="宋体" w:cs="宋体"/>
          <w:color w:val="auto"/>
          <w:sz w:val="21"/>
          <w:szCs w:val="21"/>
        </w:rPr>
        <w:t>方法</w:t>
      </w:r>
    </w:p>
    <w:p w14:paraId="6DC00EAC">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对标政务服务三年规划的重点工作任务，调查</w:t>
      </w:r>
      <w:r>
        <w:rPr>
          <w:rFonts w:hint="eastAsia" w:ascii="宋体" w:hAnsi="宋体" w:eastAsia="宋体" w:cs="宋体"/>
          <w:color w:val="auto"/>
          <w:sz w:val="21"/>
          <w:szCs w:val="21"/>
        </w:rPr>
        <w:t>采用定性和定量相结合的</w:t>
      </w:r>
      <w:r>
        <w:rPr>
          <w:rFonts w:hint="eastAsia" w:ascii="宋体" w:hAnsi="宋体" w:eastAsia="宋体" w:cs="宋体"/>
          <w:color w:val="auto"/>
          <w:sz w:val="21"/>
          <w:szCs w:val="21"/>
          <w:lang w:val="en-US" w:eastAsia="zh-CN"/>
        </w:rPr>
        <w:t>评估</w:t>
      </w:r>
      <w:r>
        <w:rPr>
          <w:rFonts w:hint="eastAsia" w:ascii="宋体" w:hAnsi="宋体" w:eastAsia="宋体" w:cs="宋体"/>
          <w:color w:val="auto"/>
          <w:sz w:val="21"/>
          <w:szCs w:val="21"/>
        </w:rPr>
        <w:t>方法。</w:t>
      </w:r>
      <w:r>
        <w:rPr>
          <w:rFonts w:hint="eastAsia" w:ascii="宋体" w:hAnsi="宋体" w:eastAsia="宋体" w:cs="宋体"/>
          <w:color w:val="auto"/>
          <w:kern w:val="0"/>
          <w:sz w:val="21"/>
          <w:szCs w:val="21"/>
        </w:rPr>
        <w:t>创新</w:t>
      </w:r>
      <w:r>
        <w:rPr>
          <w:rFonts w:hint="eastAsia" w:ascii="宋体" w:hAnsi="宋体" w:eastAsia="宋体" w:cs="宋体"/>
          <w:color w:val="auto"/>
          <w:kern w:val="0"/>
          <w:sz w:val="21"/>
          <w:szCs w:val="21"/>
          <w:lang w:val="en-US" w:eastAsia="zh-CN"/>
        </w:rPr>
        <w:t>评估</w:t>
      </w:r>
      <w:r>
        <w:rPr>
          <w:rFonts w:hint="eastAsia" w:ascii="宋体" w:hAnsi="宋体" w:eastAsia="宋体" w:cs="宋体"/>
          <w:color w:val="auto"/>
          <w:kern w:val="0"/>
          <w:sz w:val="21"/>
          <w:szCs w:val="21"/>
        </w:rPr>
        <w:t>方式，</w:t>
      </w:r>
      <w:r>
        <w:rPr>
          <w:rFonts w:hint="eastAsia" w:ascii="宋体" w:hAnsi="宋体" w:eastAsia="宋体" w:cs="宋体"/>
          <w:color w:val="auto"/>
          <w:kern w:val="0"/>
          <w:sz w:val="21"/>
          <w:szCs w:val="21"/>
          <w:lang w:val="en-US" w:eastAsia="zh-CN"/>
        </w:rPr>
        <w:t>挖掘</w:t>
      </w:r>
      <w:r>
        <w:rPr>
          <w:rFonts w:hint="eastAsia" w:ascii="宋体" w:hAnsi="宋体" w:eastAsia="宋体" w:cs="宋体"/>
          <w:color w:val="auto"/>
          <w:kern w:val="0"/>
          <w:sz w:val="21"/>
          <w:szCs w:val="21"/>
          <w:lang w:eastAsia="zh-CN"/>
        </w:rPr>
        <w:t>考评</w:t>
      </w:r>
      <w:r>
        <w:rPr>
          <w:rFonts w:hint="eastAsia" w:ascii="宋体" w:hAnsi="宋体" w:eastAsia="宋体" w:cs="宋体"/>
          <w:color w:val="auto"/>
          <w:kern w:val="0"/>
          <w:sz w:val="21"/>
          <w:szCs w:val="21"/>
        </w:rPr>
        <w:t>内容，</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rPr>
        <w:t>主要通过座谈会、深度访问、深度模拟体验、实地调研、暗访调查、实地走访、网上抽查、办事大厅拦截访问、电话调查、电话回访、文献分析法、内部系统采集等多种调查方式和手段，采集政务服务考评数据，</w:t>
      </w:r>
      <w:r>
        <w:rPr>
          <w:rFonts w:hint="eastAsia" w:ascii="宋体" w:hAnsi="宋体" w:eastAsia="宋体" w:cs="宋体"/>
          <w:color w:val="auto"/>
          <w:sz w:val="21"/>
          <w:szCs w:val="21"/>
          <w:lang w:val="en-US" w:eastAsia="zh-CN"/>
        </w:rPr>
        <w:t>使用国家通用的统计法及结合</w:t>
      </w:r>
      <w:r>
        <w:rPr>
          <w:rFonts w:hint="eastAsia" w:ascii="宋体" w:hAnsi="宋体" w:eastAsia="宋体" w:cs="宋体"/>
          <w:color w:val="auto"/>
          <w:sz w:val="21"/>
          <w:szCs w:val="21"/>
        </w:rPr>
        <w:t>专家评估法进行评分。</w:t>
      </w:r>
      <w:r>
        <w:rPr>
          <w:rFonts w:hint="eastAsia" w:ascii="宋体" w:hAnsi="宋体" w:eastAsia="宋体" w:cs="宋体"/>
          <w:color w:val="auto"/>
          <w:kern w:val="0"/>
          <w:sz w:val="21"/>
          <w:szCs w:val="21"/>
        </w:rPr>
        <w:t>重点突出以下</w:t>
      </w:r>
      <w:r>
        <w:rPr>
          <w:rFonts w:hint="eastAsia" w:ascii="宋体" w:hAnsi="宋体" w:eastAsia="宋体" w:cs="宋体"/>
          <w:color w:val="auto"/>
          <w:kern w:val="0"/>
          <w:sz w:val="21"/>
          <w:szCs w:val="21"/>
          <w:lang w:eastAsia="zh-CN"/>
        </w:rPr>
        <w:t>考评</w:t>
      </w:r>
      <w:r>
        <w:rPr>
          <w:rFonts w:hint="eastAsia" w:ascii="宋体" w:hAnsi="宋体" w:eastAsia="宋体" w:cs="宋体"/>
          <w:color w:val="auto"/>
          <w:kern w:val="0"/>
          <w:sz w:val="21"/>
          <w:szCs w:val="21"/>
        </w:rPr>
        <w:t>内容：</w:t>
      </w:r>
    </w:p>
    <w:p w14:paraId="1029309A">
      <w:pPr>
        <w:spacing w:line="360" w:lineRule="auto"/>
        <w:ind w:firstLine="422" w:firstLineChars="200"/>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lang w:val="en-US" w:eastAsia="zh-CN"/>
        </w:rPr>
        <w:t>1.</w:t>
      </w:r>
      <w:r>
        <w:rPr>
          <w:rFonts w:hint="eastAsia" w:ascii="宋体" w:hAnsi="宋体" w:eastAsia="宋体" w:cs="宋体"/>
          <w:b/>
          <w:color w:val="auto"/>
          <w:kern w:val="0"/>
          <w:sz w:val="21"/>
          <w:szCs w:val="21"/>
        </w:rPr>
        <w:t>窗口服务单位考</w:t>
      </w:r>
      <w:r>
        <w:rPr>
          <w:rFonts w:hint="eastAsia" w:ascii="宋体" w:hAnsi="宋体" w:eastAsia="宋体" w:cs="宋体"/>
          <w:b/>
          <w:color w:val="auto"/>
          <w:kern w:val="0"/>
          <w:sz w:val="21"/>
          <w:szCs w:val="21"/>
          <w:lang w:val="en-US" w:eastAsia="zh-CN"/>
        </w:rPr>
        <w:t>评</w:t>
      </w:r>
      <w:r>
        <w:rPr>
          <w:rFonts w:hint="eastAsia" w:ascii="宋体" w:hAnsi="宋体" w:eastAsia="宋体" w:cs="宋体"/>
          <w:color w:val="auto"/>
          <w:kern w:val="0"/>
          <w:sz w:val="21"/>
          <w:szCs w:val="21"/>
        </w:rPr>
        <w:t>。</w:t>
      </w:r>
    </w:p>
    <w:p w14:paraId="310C8766">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1</w:t>
      </w:r>
      <w:r>
        <w:rPr>
          <w:rFonts w:hint="eastAsia" w:ascii="宋体" w:hAnsi="宋体" w:eastAsia="宋体" w:cs="宋体"/>
          <w:b/>
          <w:bCs/>
          <w:color w:val="auto"/>
          <w:kern w:val="0"/>
          <w:sz w:val="21"/>
          <w:szCs w:val="21"/>
          <w:lang w:eastAsia="zh-CN"/>
        </w:rPr>
        <w:t>）</w:t>
      </w:r>
      <w:r>
        <w:rPr>
          <w:rFonts w:hint="eastAsia" w:ascii="宋体" w:hAnsi="宋体" w:eastAsia="宋体" w:cs="宋体"/>
          <w:b/>
          <w:bCs w:val="0"/>
          <w:color w:val="auto"/>
          <w:sz w:val="21"/>
          <w:szCs w:val="21"/>
        </w:rPr>
        <w:t>以用户视角为主</w:t>
      </w:r>
      <w:r>
        <w:rPr>
          <w:rFonts w:hint="eastAsia" w:ascii="宋体" w:hAnsi="宋体" w:eastAsia="宋体" w:cs="宋体"/>
          <w:b/>
          <w:bCs/>
          <w:color w:val="auto"/>
          <w:kern w:val="0"/>
          <w:sz w:val="21"/>
          <w:szCs w:val="21"/>
        </w:rPr>
        <w:t>查找短板弱项，</w:t>
      </w:r>
      <w:r>
        <w:rPr>
          <w:rFonts w:hint="eastAsia" w:ascii="宋体" w:hAnsi="宋体" w:eastAsia="宋体" w:cs="宋体"/>
          <w:b/>
          <w:bCs w:val="0"/>
          <w:color w:val="auto"/>
          <w:sz w:val="21"/>
          <w:szCs w:val="21"/>
        </w:rPr>
        <w:t>“政务服务体验官”深度模拟体验</w:t>
      </w:r>
      <w:r>
        <w:rPr>
          <w:rFonts w:hint="eastAsia" w:ascii="宋体" w:hAnsi="宋体" w:eastAsia="宋体" w:cs="宋体"/>
          <w:b/>
          <w:bCs w:val="0"/>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季度</w:t>
      </w:r>
      <w:r>
        <w:rPr>
          <w:rFonts w:hint="eastAsia" w:ascii="宋体" w:hAnsi="宋体" w:eastAsia="宋体" w:cs="宋体"/>
          <w:color w:val="auto"/>
          <w:sz w:val="21"/>
          <w:szCs w:val="21"/>
        </w:rPr>
        <w:t>对业务量大的部门单位选取高频服务事项来进行全流程深度模拟体验（原则上按照该期业务总受理量的一定比例来判定该部门单位业务量的大小）。具体选取的全流程模拟体验服务事项的样本量根据后续确定比例而定。</w:t>
      </w:r>
    </w:p>
    <w:p w14:paraId="5FAE70F2">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color w:val="auto"/>
          <w:sz w:val="21"/>
          <w:szCs w:val="21"/>
        </w:rPr>
        <w:t>通过“我陪群众走流程”“政务服务体验官”等方式，</w:t>
      </w:r>
      <w:r>
        <w:rPr>
          <w:rFonts w:hint="eastAsia" w:ascii="宋体" w:hAnsi="宋体" w:eastAsia="宋体" w:cs="宋体"/>
          <w:b w:val="0"/>
          <w:bCs/>
          <w:color w:val="auto"/>
          <w:sz w:val="21"/>
          <w:szCs w:val="21"/>
        </w:rPr>
        <w:t>聚焦与企业和群众生产生活密切相关的高频政务</w:t>
      </w:r>
      <w:r>
        <w:rPr>
          <w:rFonts w:hint="eastAsia" w:ascii="宋体" w:hAnsi="宋体" w:eastAsia="宋体" w:cs="宋体"/>
          <w:color w:val="auto"/>
          <w:sz w:val="21"/>
          <w:szCs w:val="21"/>
        </w:rPr>
        <w:t>服务事项，深度模拟体验各业务领域全流程办事服务，走进政务大厅、登录办事平台，看政策“懂不懂”、流程“通不通”、服务“优不优”、体验“好不好”等，</w:t>
      </w:r>
      <w:r>
        <w:rPr>
          <w:rFonts w:hint="eastAsia" w:ascii="宋体" w:hAnsi="宋体" w:eastAsia="宋体" w:cs="宋体"/>
          <w:color w:val="auto"/>
          <w:kern w:val="0"/>
          <w:sz w:val="21"/>
          <w:szCs w:val="21"/>
        </w:rPr>
        <w:t>深入体验监督南沙政务</w:t>
      </w:r>
      <w:r>
        <w:rPr>
          <w:rFonts w:hint="eastAsia" w:ascii="宋体" w:hAnsi="宋体" w:eastAsia="宋体" w:cs="宋体"/>
          <w:color w:val="auto"/>
          <w:sz w:val="21"/>
          <w:szCs w:val="21"/>
        </w:rPr>
        <w:t>服务</w:t>
      </w:r>
      <w:r>
        <w:rPr>
          <w:rFonts w:hint="eastAsia" w:ascii="宋体" w:hAnsi="宋体" w:eastAsia="宋体" w:cs="宋体"/>
          <w:color w:val="auto"/>
          <w:kern w:val="0"/>
          <w:sz w:val="21"/>
          <w:szCs w:val="21"/>
        </w:rPr>
        <w:t>工作，全流程感受办事流程，及时查找、发现前端、中端、后端存在问题和服务短板，以用户“小切口”撬动政务服务能力“大提升”</w:t>
      </w:r>
      <w:r>
        <w:rPr>
          <w:rFonts w:hint="eastAsia" w:ascii="宋体" w:hAnsi="宋体" w:eastAsia="宋体" w:cs="宋体"/>
          <w:color w:val="auto"/>
          <w:sz w:val="21"/>
          <w:szCs w:val="21"/>
        </w:rPr>
        <w:t>充分发挥“政务服务体验官”“问计把脉”的作用，推动各职能部门服务流程优化、体验提升及政务工作创新，加快推进南沙政务服务工作开创新局面。</w:t>
      </w:r>
    </w:p>
    <w:p w14:paraId="3C9614BE">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lang w:eastAsia="zh-CN"/>
        </w:rPr>
        <w:t>）</w:t>
      </w:r>
      <w:r>
        <w:rPr>
          <w:rFonts w:hint="eastAsia" w:ascii="宋体" w:hAnsi="宋体" w:eastAsia="宋体" w:cs="宋体"/>
          <w:b/>
          <w:color w:val="auto"/>
          <w:sz w:val="21"/>
          <w:szCs w:val="21"/>
        </w:rPr>
        <w:t>分类组织政府端（职能部门）、公众端（办事企业和群众）召开座谈会</w:t>
      </w:r>
      <w:r>
        <w:rPr>
          <w:rFonts w:hint="eastAsia" w:ascii="宋体" w:hAnsi="宋体" w:eastAsia="宋体" w:cs="宋体"/>
          <w:b/>
          <w:color w:val="auto"/>
          <w:sz w:val="21"/>
          <w:szCs w:val="21"/>
          <w:lang w:eastAsia="zh-CN"/>
        </w:rPr>
        <w:t>。</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季度</w:t>
      </w:r>
      <w:r>
        <w:rPr>
          <w:rFonts w:hint="eastAsia" w:ascii="宋体" w:hAnsi="宋体" w:eastAsia="宋体" w:cs="宋体"/>
          <w:color w:val="auto"/>
          <w:sz w:val="21"/>
          <w:szCs w:val="21"/>
        </w:rPr>
        <w:t>分类对公众端（办事企业和群众）、政府端（职能部门）召开1次座谈会，全年共4次座谈会</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kern w:val="2"/>
          <w:sz w:val="21"/>
          <w:szCs w:val="21"/>
        </w:rPr>
        <w:t>剖析深层次问题原因</w:t>
      </w:r>
      <w:r>
        <w:rPr>
          <w:rFonts w:hint="eastAsia" w:ascii="宋体" w:hAnsi="宋体" w:eastAsia="宋体" w:cs="宋体"/>
          <w:b w:val="0"/>
          <w:color w:val="auto"/>
          <w:sz w:val="21"/>
          <w:szCs w:val="21"/>
        </w:rPr>
        <w:t>。</w:t>
      </w:r>
    </w:p>
    <w:p w14:paraId="497CE3DA">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根据座谈提纲，</w:t>
      </w:r>
      <w:r>
        <w:rPr>
          <w:rFonts w:hint="eastAsia" w:ascii="宋体" w:hAnsi="宋体" w:eastAsia="宋体" w:cs="宋体"/>
          <w:color w:val="auto"/>
          <w:kern w:val="0"/>
          <w:sz w:val="21"/>
          <w:szCs w:val="21"/>
        </w:rPr>
        <w:t>紧扣南沙政务工作中存在的短板弱项，深入交流讨论问题根源，挖掘深层次形成原因，着力破解痛点难点堵点。</w:t>
      </w:r>
      <w:r>
        <w:rPr>
          <w:rFonts w:hint="eastAsia" w:ascii="宋体" w:hAnsi="宋体" w:eastAsia="宋体" w:cs="宋体"/>
          <w:b w:val="0"/>
          <w:bCs w:val="0"/>
          <w:color w:val="auto"/>
          <w:sz w:val="21"/>
          <w:szCs w:val="21"/>
        </w:rPr>
        <w:t>政府端座谈会：</w:t>
      </w:r>
      <w:r>
        <w:rPr>
          <w:rFonts w:hint="eastAsia" w:ascii="宋体" w:hAnsi="宋体" w:eastAsia="宋体" w:cs="宋体"/>
          <w:color w:val="auto"/>
          <w:sz w:val="21"/>
          <w:szCs w:val="21"/>
        </w:rPr>
        <w:t>结合拟定座谈提纲和各职能部门工作实际，与各职能部门具体业务经办人员进行面对面座谈交流，对各业务领域高频服务事项的办理全流程进行深度了解，对各职能部门政务服务标准化规范化便利化的推进情况、存在困难和不足及实施效果、创新经验做法等进行详细交流</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rPr>
        <w:t>公众端座谈会：</w:t>
      </w:r>
      <w:r>
        <w:rPr>
          <w:rFonts w:hint="eastAsia" w:ascii="宋体" w:hAnsi="宋体" w:eastAsia="宋体" w:cs="宋体"/>
          <w:color w:val="auto"/>
          <w:sz w:val="21"/>
          <w:szCs w:val="21"/>
        </w:rPr>
        <w:t>根据拟定座谈提纲与办事企业和群众零距离座谈交流政务办事前端、中端、后端等全过程的痛点堵点难点，听取群众对政务工作的意见和建议。</w:t>
      </w:r>
    </w:p>
    <w:p w14:paraId="22D2C841">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kern w:val="0"/>
          <w:sz w:val="21"/>
          <w:szCs w:val="21"/>
          <w:lang w:val="en-US" w:eastAsia="zh-CN"/>
        </w:rPr>
        <w:t>2.</w:t>
      </w:r>
      <w:r>
        <w:rPr>
          <w:rFonts w:hint="eastAsia" w:ascii="宋体" w:hAnsi="宋体" w:eastAsia="宋体" w:cs="宋体"/>
          <w:b/>
          <w:color w:val="auto"/>
          <w:kern w:val="0"/>
          <w:sz w:val="21"/>
          <w:szCs w:val="21"/>
        </w:rPr>
        <w:t>镇（街）考</w:t>
      </w:r>
      <w:r>
        <w:rPr>
          <w:rFonts w:hint="eastAsia" w:ascii="宋体" w:hAnsi="宋体" w:eastAsia="宋体" w:cs="宋体"/>
          <w:b/>
          <w:color w:val="auto"/>
          <w:kern w:val="0"/>
          <w:sz w:val="21"/>
          <w:szCs w:val="21"/>
          <w:lang w:val="en-US" w:eastAsia="zh-CN"/>
        </w:rPr>
        <w:t>评</w:t>
      </w:r>
      <w:r>
        <w:rPr>
          <w:rFonts w:hint="eastAsia" w:ascii="宋体" w:hAnsi="宋体" w:eastAsia="宋体" w:cs="宋体"/>
          <w:color w:val="auto"/>
          <w:sz w:val="21"/>
          <w:szCs w:val="21"/>
        </w:rPr>
        <w:t>。</w:t>
      </w:r>
    </w:p>
    <w:p w14:paraId="44723042">
      <w:pPr>
        <w:spacing w:line="360" w:lineRule="auto"/>
        <w:ind w:firstLine="480"/>
        <w:jc w:val="both"/>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1</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优化镇（街）政务服务效能常态化监测与考评体系</w:t>
      </w:r>
      <w:r>
        <w:rPr>
          <w:rFonts w:hint="eastAsia" w:ascii="宋体" w:hAnsi="宋体" w:eastAsia="宋体" w:cs="宋体"/>
          <w:b/>
          <w:bCs/>
          <w:color w:val="auto"/>
          <w:kern w:val="0"/>
          <w:sz w:val="21"/>
          <w:szCs w:val="21"/>
          <w:lang w:eastAsia="zh-CN"/>
        </w:rPr>
        <w:t>，</w:t>
      </w:r>
      <w:r>
        <w:rPr>
          <w:rFonts w:hint="eastAsia" w:ascii="宋体" w:hAnsi="宋体" w:eastAsia="宋体" w:cs="宋体"/>
          <w:color w:val="auto"/>
          <w:kern w:val="0"/>
          <w:sz w:val="21"/>
          <w:szCs w:val="21"/>
        </w:rPr>
        <w:t>进一步深入村（社区）政务</w:t>
      </w:r>
      <w:r>
        <w:rPr>
          <w:rFonts w:hint="eastAsia" w:ascii="宋体" w:hAnsi="宋体" w:eastAsia="宋体" w:cs="宋体"/>
          <w:color w:val="auto"/>
          <w:kern w:val="0"/>
          <w:sz w:val="21"/>
          <w:szCs w:val="21"/>
          <w:lang w:eastAsia="zh-CN"/>
        </w:rPr>
        <w:t>大厅</w:t>
      </w:r>
      <w:r>
        <w:rPr>
          <w:rFonts w:hint="eastAsia" w:ascii="宋体" w:hAnsi="宋体" w:eastAsia="宋体" w:cs="宋体"/>
          <w:color w:val="auto"/>
          <w:kern w:val="0"/>
          <w:sz w:val="21"/>
          <w:szCs w:val="21"/>
        </w:rPr>
        <w:t>，充分听取基层企业和群众的意见建议，摸清</w:t>
      </w:r>
      <w:r>
        <w:rPr>
          <w:rFonts w:hint="eastAsia" w:ascii="宋体" w:hAnsi="宋体" w:eastAsia="宋体" w:cs="宋体"/>
          <w:color w:val="auto"/>
          <w:kern w:val="0"/>
          <w:sz w:val="21"/>
          <w:szCs w:val="21"/>
          <w:lang w:val="en-US" w:eastAsia="zh-CN"/>
        </w:rPr>
        <w:t>基层</w:t>
      </w:r>
      <w:r>
        <w:rPr>
          <w:rFonts w:hint="eastAsia" w:ascii="宋体" w:hAnsi="宋体" w:eastAsia="宋体" w:cs="宋体"/>
          <w:color w:val="auto"/>
          <w:kern w:val="0"/>
          <w:sz w:val="21"/>
          <w:szCs w:val="21"/>
        </w:rPr>
        <w:t>政务办事实际需求，查找办事全流程的痛点堵点难点，探究具体导致原因，并挖掘各村（居）公共服务站在创新政务工作的典型经验和亮点做法，形成可复制可推广的基层经验，以便推广到其他村（居）服务站甚至市、省及全国学习借鉴。</w:t>
      </w:r>
    </w:p>
    <w:p w14:paraId="4B06E620">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持续拓展</w:t>
      </w:r>
      <w:r>
        <w:rPr>
          <w:rFonts w:hint="eastAsia" w:ascii="宋体" w:hAnsi="宋体" w:eastAsia="宋体" w:cs="宋体"/>
          <w:b/>
          <w:bCs/>
          <w:color w:val="auto"/>
          <w:kern w:val="0"/>
          <w:sz w:val="21"/>
          <w:szCs w:val="21"/>
        </w:rPr>
        <w:t>村（居）公共服务站的考</w:t>
      </w:r>
      <w:r>
        <w:rPr>
          <w:rFonts w:hint="eastAsia" w:ascii="宋体" w:hAnsi="宋体" w:eastAsia="宋体" w:cs="宋体"/>
          <w:b/>
          <w:bCs/>
          <w:color w:val="auto"/>
          <w:kern w:val="0"/>
          <w:sz w:val="21"/>
          <w:szCs w:val="21"/>
          <w:lang w:val="en-US" w:eastAsia="zh-CN"/>
        </w:rPr>
        <w:t>评</w:t>
      </w:r>
      <w:r>
        <w:rPr>
          <w:rFonts w:hint="eastAsia" w:ascii="宋体" w:hAnsi="宋体" w:eastAsia="宋体" w:cs="宋体"/>
          <w:b/>
          <w:bCs/>
          <w:color w:val="auto"/>
          <w:kern w:val="0"/>
          <w:sz w:val="21"/>
          <w:szCs w:val="21"/>
        </w:rPr>
        <w:t>覆盖度和深度。</w:t>
      </w:r>
      <w:r>
        <w:rPr>
          <w:rFonts w:hint="eastAsia" w:ascii="宋体" w:hAnsi="宋体" w:eastAsia="宋体" w:cs="宋体"/>
          <w:color w:val="auto"/>
          <w:kern w:val="0"/>
          <w:sz w:val="21"/>
          <w:szCs w:val="21"/>
        </w:rPr>
        <w:t>通过以暗访调查、实地核查、拦截访问调查方式为主，以电话调查、电话回访、网上抽查</w:t>
      </w:r>
      <w:r>
        <w:rPr>
          <w:rFonts w:hint="eastAsia" w:ascii="宋体" w:hAnsi="宋体" w:eastAsia="宋体" w:cs="宋体"/>
          <w:color w:val="auto"/>
          <w:kern w:val="0"/>
          <w:sz w:val="21"/>
          <w:szCs w:val="21"/>
          <w:lang w:val="en-US" w:eastAsia="zh-CN"/>
        </w:rPr>
        <w:t>为辅，</w:t>
      </w:r>
      <w:r>
        <w:rPr>
          <w:rFonts w:hint="eastAsia" w:ascii="宋体" w:hAnsi="宋体" w:eastAsia="宋体" w:cs="宋体"/>
          <w:color w:val="auto"/>
          <w:sz w:val="21"/>
          <w:szCs w:val="21"/>
        </w:rPr>
        <w:t>每期</w:t>
      </w:r>
      <w:r>
        <w:rPr>
          <w:rFonts w:hint="eastAsia" w:ascii="宋体" w:hAnsi="宋体" w:eastAsia="宋体" w:cs="宋体"/>
          <w:color w:val="auto"/>
          <w:sz w:val="21"/>
          <w:szCs w:val="21"/>
          <w:lang w:val="en-US" w:eastAsia="zh-CN"/>
        </w:rPr>
        <w:t>对</w:t>
      </w:r>
      <w:r>
        <w:rPr>
          <w:rFonts w:hint="eastAsia" w:ascii="宋体" w:hAnsi="宋体" w:eastAsia="宋体" w:cs="宋体"/>
          <w:color w:val="auto"/>
          <w:sz w:val="21"/>
          <w:szCs w:val="21"/>
        </w:rPr>
        <w:t>各镇（街）（包括但不限于镇（街）政务服务中心、村（居）公共服务站、专业大厅）原则上完成调查样本180份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开展1次暗访调查，共完成81个暗访样本，其中，每个镇（街）每期至少抽取8个所辖村（居）公共服务站。</w:t>
      </w:r>
    </w:p>
    <w:p w14:paraId="0A670FFE">
      <w:pPr>
        <w:autoSpaceDE w:val="0"/>
        <w:autoSpaceDN w:val="0"/>
        <w:adjustRightInd w:val="0"/>
        <w:spacing w:line="360" w:lineRule="auto"/>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三</w:t>
      </w:r>
      <w:r>
        <w:rPr>
          <w:rFonts w:hint="eastAsia" w:ascii="宋体" w:hAnsi="宋体" w:eastAsia="宋体" w:cs="宋体"/>
          <w:b/>
          <w:color w:val="auto"/>
          <w:kern w:val="0"/>
          <w:sz w:val="21"/>
          <w:szCs w:val="21"/>
        </w:rPr>
        <w:t>）考</w:t>
      </w:r>
      <w:r>
        <w:rPr>
          <w:rFonts w:hint="eastAsia" w:ascii="宋体" w:hAnsi="宋体" w:eastAsia="宋体" w:cs="宋体"/>
          <w:b/>
          <w:color w:val="auto"/>
          <w:kern w:val="0"/>
          <w:sz w:val="21"/>
          <w:szCs w:val="21"/>
          <w:lang w:val="en-US" w:eastAsia="zh-CN"/>
        </w:rPr>
        <w:t>评工作</w:t>
      </w:r>
      <w:r>
        <w:rPr>
          <w:rFonts w:hint="eastAsia" w:ascii="宋体" w:hAnsi="宋体" w:eastAsia="宋体" w:cs="宋体"/>
          <w:b/>
          <w:color w:val="auto"/>
          <w:kern w:val="0"/>
          <w:sz w:val="21"/>
          <w:szCs w:val="21"/>
        </w:rPr>
        <w:t>内容</w:t>
      </w:r>
    </w:p>
    <w:p w14:paraId="4BD74ABA">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2024年南沙区政务服务考评工作，主要围绕国家、省、市政务服务工作重点，并结合南沙区政务服务实际情况进行组织开展，考评内容包含但不限于以下几个方面：</w:t>
      </w:r>
    </w:p>
    <w:p w14:paraId="2BE65210">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1.针对政务服务标准化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规范化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便利化情况的调查；了解</w:t>
      </w:r>
      <w:r>
        <w:rPr>
          <w:rFonts w:hint="eastAsia" w:ascii="宋体" w:hAnsi="宋体" w:eastAsia="宋体" w:cs="宋体"/>
          <w:color w:val="auto"/>
          <w:sz w:val="21"/>
          <w:szCs w:val="21"/>
          <w:lang w:val="en-US" w:eastAsia="zh-CN"/>
        </w:rPr>
        <w:t>各考评对象的工作</w:t>
      </w:r>
      <w:r>
        <w:rPr>
          <w:rFonts w:hint="eastAsia" w:ascii="宋体" w:hAnsi="宋体" w:eastAsia="宋体" w:cs="宋体"/>
          <w:color w:val="auto"/>
          <w:sz w:val="21"/>
          <w:szCs w:val="21"/>
        </w:rPr>
        <w:t>管理情况、受理服务规范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大厅标识标牌、</w:t>
      </w:r>
      <w:r>
        <w:rPr>
          <w:rFonts w:hint="eastAsia" w:ascii="宋体" w:hAnsi="宋体" w:eastAsia="宋体" w:cs="宋体"/>
          <w:color w:val="auto"/>
          <w:sz w:val="21"/>
          <w:szCs w:val="21"/>
        </w:rPr>
        <w:t>服务功能区等场所设置</w:t>
      </w:r>
      <w:r>
        <w:rPr>
          <w:rFonts w:hint="eastAsia" w:ascii="宋体" w:hAnsi="宋体" w:eastAsia="宋体" w:cs="宋体"/>
          <w:color w:val="auto"/>
          <w:sz w:val="21"/>
          <w:szCs w:val="21"/>
          <w:lang w:val="en-US" w:eastAsia="zh-CN"/>
        </w:rPr>
        <w:t>的落实，是否有</w:t>
      </w:r>
      <w:r>
        <w:rPr>
          <w:rFonts w:hint="eastAsia" w:ascii="宋体" w:hAnsi="宋体" w:eastAsia="宋体" w:cs="宋体"/>
          <w:color w:val="auto"/>
          <w:sz w:val="21"/>
          <w:szCs w:val="21"/>
        </w:rPr>
        <w:t>开展便利服务、跨域通办服务、延时错时服务、无障碍服务等便捷服务情况等；</w:t>
      </w:r>
    </w:p>
    <w:p w14:paraId="22D0535F">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2.针对政务服务数字化情况的调查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w:t>
      </w:r>
      <w:r>
        <w:rPr>
          <w:rFonts w:hint="eastAsia" w:ascii="宋体" w:hAnsi="宋体" w:eastAsia="宋体" w:cs="宋体"/>
          <w:color w:val="auto"/>
          <w:sz w:val="21"/>
          <w:szCs w:val="21"/>
          <w:lang w:val="en-US" w:eastAsia="zh-CN"/>
        </w:rPr>
        <w:t>各考评对象</w:t>
      </w:r>
      <w:r>
        <w:rPr>
          <w:rFonts w:hint="eastAsia" w:ascii="宋体" w:hAnsi="宋体" w:eastAsia="宋体" w:cs="宋体"/>
          <w:color w:val="auto"/>
          <w:sz w:val="21"/>
          <w:szCs w:val="21"/>
        </w:rPr>
        <w:t>加快推进政务服务数字化建设工作的情况，聚焦电子证照应用、市一体化在线政务服务平台运营等方面的难点堵点，探究具体导致原因，并针对问题</w:t>
      </w:r>
      <w:r>
        <w:rPr>
          <w:rFonts w:hint="eastAsia" w:ascii="宋体" w:hAnsi="宋体" w:eastAsia="宋体" w:cs="宋体"/>
          <w:color w:val="auto"/>
          <w:sz w:val="21"/>
          <w:szCs w:val="21"/>
          <w:lang w:val="en-US" w:eastAsia="zh-CN"/>
        </w:rPr>
        <w:t>列出问题清单，</w:t>
      </w:r>
      <w:r>
        <w:rPr>
          <w:rFonts w:hint="eastAsia" w:ascii="宋体" w:hAnsi="宋体" w:eastAsia="宋体" w:cs="宋体"/>
          <w:color w:val="auto"/>
          <w:sz w:val="21"/>
          <w:szCs w:val="21"/>
        </w:rPr>
        <w:t>提出优化建议；</w:t>
      </w:r>
    </w:p>
    <w:p w14:paraId="58D635BE">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3.针对“政务服务创新及优化体验”情况的调查；了解</w:t>
      </w:r>
      <w:r>
        <w:rPr>
          <w:rFonts w:hint="eastAsia" w:ascii="宋体" w:hAnsi="宋体" w:eastAsia="宋体" w:cs="宋体"/>
          <w:color w:val="auto"/>
          <w:sz w:val="21"/>
          <w:szCs w:val="21"/>
          <w:lang w:val="en-US" w:eastAsia="zh-CN"/>
        </w:rPr>
        <w:t>各考评对象</w:t>
      </w:r>
      <w:r>
        <w:rPr>
          <w:rFonts w:hint="eastAsia" w:ascii="宋体" w:hAnsi="宋体" w:eastAsia="宋体" w:cs="宋体"/>
          <w:color w:val="auto"/>
          <w:sz w:val="21"/>
          <w:szCs w:val="21"/>
        </w:rPr>
        <w:t>落实线上线下服务事项办事指</w:t>
      </w:r>
      <w:r>
        <w:rPr>
          <w:rFonts w:hint="eastAsia" w:ascii="宋体" w:hAnsi="宋体" w:eastAsia="宋体" w:cs="宋体"/>
          <w:color w:val="auto"/>
          <w:sz w:val="21"/>
          <w:szCs w:val="21"/>
          <w:lang w:val="en-US" w:eastAsia="zh-CN"/>
        </w:rPr>
        <w:t>南要素内容是否准确全面，</w:t>
      </w:r>
      <w:r>
        <w:rPr>
          <w:rFonts w:hint="eastAsia" w:ascii="宋体" w:hAnsi="宋体" w:eastAsia="宋体" w:cs="宋体"/>
          <w:color w:val="auto"/>
          <w:sz w:val="21"/>
          <w:szCs w:val="21"/>
        </w:rPr>
        <w:t>做到“十公开”（事项名称、法律依据、办理主体、办理流程、申报材料、承诺时限、收费标准及依据、办理地点、电话）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以及线上标准与线下办理收取材料匹配度的情况；</w:t>
      </w:r>
    </w:p>
    <w:p w14:paraId="329B6E00">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4.针对</w:t>
      </w:r>
      <w:r>
        <w:rPr>
          <w:rFonts w:hint="eastAsia" w:ascii="宋体" w:hAnsi="宋体" w:eastAsia="宋体" w:cs="宋体"/>
          <w:color w:val="auto"/>
          <w:sz w:val="21"/>
          <w:szCs w:val="21"/>
          <w:lang w:val="en-US" w:eastAsia="zh-CN"/>
        </w:rPr>
        <w:t>窗口</w:t>
      </w:r>
      <w:r>
        <w:rPr>
          <w:rFonts w:hint="eastAsia" w:ascii="宋体" w:hAnsi="宋体" w:eastAsia="宋体" w:cs="宋体"/>
          <w:color w:val="auto"/>
          <w:sz w:val="21"/>
          <w:szCs w:val="21"/>
        </w:rPr>
        <w:t>智能导办、</w:t>
      </w:r>
      <w:r>
        <w:rPr>
          <w:rFonts w:hint="eastAsia" w:ascii="宋体" w:hAnsi="宋体" w:eastAsia="宋体" w:cs="宋体"/>
          <w:color w:val="auto"/>
          <w:sz w:val="21"/>
          <w:szCs w:val="21"/>
          <w:lang w:val="en-US" w:eastAsia="zh-CN"/>
        </w:rPr>
        <w:t>后台</w:t>
      </w:r>
      <w:r>
        <w:rPr>
          <w:rFonts w:hint="eastAsia" w:ascii="宋体" w:hAnsi="宋体" w:eastAsia="宋体" w:cs="宋体"/>
          <w:color w:val="auto"/>
          <w:sz w:val="21"/>
          <w:szCs w:val="21"/>
        </w:rPr>
        <w:t>智能审批情况的调查；了解</w:t>
      </w:r>
      <w:r>
        <w:rPr>
          <w:rFonts w:hint="eastAsia" w:ascii="宋体" w:hAnsi="宋体" w:eastAsia="宋体" w:cs="宋体"/>
          <w:color w:val="auto"/>
          <w:sz w:val="21"/>
          <w:szCs w:val="21"/>
          <w:lang w:val="en-US" w:eastAsia="zh-CN"/>
        </w:rPr>
        <w:t>各考评对象</w:t>
      </w:r>
      <w:r>
        <w:rPr>
          <w:rFonts w:hint="eastAsia" w:ascii="宋体" w:hAnsi="宋体" w:eastAsia="宋体" w:cs="宋体"/>
          <w:color w:val="auto"/>
          <w:sz w:val="21"/>
          <w:szCs w:val="21"/>
        </w:rPr>
        <w:t>以新技术、新理念、新流程，加快推进政务服务智能导办、智能审批等情况；</w:t>
      </w:r>
    </w:p>
    <w:p w14:paraId="164817F7">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5.针对</w:t>
      </w:r>
      <w:r>
        <w:rPr>
          <w:rFonts w:hint="eastAsia" w:ascii="宋体" w:hAnsi="宋体" w:eastAsia="宋体" w:cs="宋体"/>
          <w:color w:val="auto"/>
          <w:sz w:val="21"/>
          <w:szCs w:val="21"/>
          <w:lang w:val="en-US" w:eastAsia="zh-CN"/>
        </w:rPr>
        <w:t>政务服务</w:t>
      </w:r>
      <w:r>
        <w:rPr>
          <w:rFonts w:hint="eastAsia" w:ascii="宋体" w:hAnsi="宋体" w:eastAsia="宋体" w:cs="宋体"/>
          <w:color w:val="auto"/>
          <w:sz w:val="21"/>
          <w:szCs w:val="21"/>
        </w:rPr>
        <w:t>政策兑现情况的调查；了解</w:t>
      </w:r>
      <w:r>
        <w:rPr>
          <w:rFonts w:hint="eastAsia" w:ascii="宋体" w:hAnsi="宋体" w:eastAsia="宋体" w:cs="宋体"/>
          <w:color w:val="auto"/>
          <w:sz w:val="21"/>
          <w:szCs w:val="21"/>
          <w:lang w:val="en-US" w:eastAsia="zh-CN"/>
        </w:rPr>
        <w:t>各考评对象</w:t>
      </w:r>
      <w:r>
        <w:rPr>
          <w:rFonts w:hint="eastAsia" w:ascii="宋体" w:hAnsi="宋体" w:eastAsia="宋体" w:cs="宋体"/>
          <w:color w:val="auto"/>
          <w:sz w:val="21"/>
          <w:szCs w:val="21"/>
        </w:rPr>
        <w:t>落实惠企政策兑现，实现惠企政策“免申即享、在线兑付、直达快享”的推进情况；</w:t>
      </w:r>
    </w:p>
    <w:p w14:paraId="5400D494">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6.针对“全域通办”情况的调查；了解</w:t>
      </w:r>
      <w:r>
        <w:rPr>
          <w:rFonts w:hint="eastAsia" w:ascii="宋体" w:hAnsi="宋体" w:eastAsia="宋体" w:cs="宋体"/>
          <w:color w:val="auto"/>
          <w:sz w:val="21"/>
          <w:szCs w:val="21"/>
          <w:lang w:val="en-US" w:eastAsia="zh-CN"/>
        </w:rPr>
        <w:t>各考评对象</w:t>
      </w:r>
      <w:r>
        <w:rPr>
          <w:rFonts w:hint="eastAsia" w:ascii="宋体" w:hAnsi="宋体" w:eastAsia="宋体" w:cs="宋体"/>
          <w:color w:val="auto"/>
          <w:sz w:val="21"/>
          <w:szCs w:val="21"/>
        </w:rPr>
        <w:t>瞄准群众对政务服务的新期待和新需求，推进高频政务服务事项“全域通办”，真正实现企业和群众异地事项“就近办”“马上办”的落实情况；</w:t>
      </w:r>
    </w:p>
    <w:p w14:paraId="1A612B18">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.针对“好差评”工作情况的数据分析</w:t>
      </w:r>
      <w:r>
        <w:rPr>
          <w:rFonts w:hint="eastAsia" w:ascii="宋体" w:hAnsi="宋体" w:eastAsia="宋体" w:cs="宋体"/>
          <w:color w:val="auto"/>
          <w:sz w:val="21"/>
          <w:szCs w:val="21"/>
          <w:lang w:val="en-US" w:eastAsia="zh-CN"/>
        </w:rPr>
        <w:t>调查</w:t>
      </w:r>
      <w:r>
        <w:rPr>
          <w:rFonts w:hint="eastAsia" w:ascii="宋体" w:hAnsi="宋体" w:eastAsia="宋体" w:cs="宋体"/>
          <w:color w:val="auto"/>
          <w:sz w:val="21"/>
          <w:szCs w:val="21"/>
        </w:rPr>
        <w:t>；了解各</w:t>
      </w:r>
      <w:r>
        <w:rPr>
          <w:rFonts w:hint="eastAsia" w:ascii="宋体" w:hAnsi="宋体" w:eastAsia="宋体" w:cs="宋体"/>
          <w:color w:val="auto"/>
          <w:sz w:val="21"/>
          <w:szCs w:val="21"/>
          <w:lang w:val="en-US" w:eastAsia="zh-CN"/>
        </w:rPr>
        <w:t>考评对象关于</w:t>
      </w:r>
      <w:r>
        <w:rPr>
          <w:rFonts w:hint="eastAsia" w:ascii="宋体" w:hAnsi="宋体" w:eastAsia="宋体" w:cs="宋体"/>
          <w:color w:val="auto"/>
          <w:sz w:val="21"/>
          <w:szCs w:val="21"/>
        </w:rPr>
        <w:t>“好差评”工作落实情况（包括大厅推广度、办件评价覆盖度与好评度、“好差评”评价引导、差评工单处理效率等）；</w:t>
      </w:r>
    </w:p>
    <w:p w14:paraId="556EFE10">
      <w:pP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8.针对统一预约工作情况的数据分析调查。了解办事企业或群众对统一预约、智能预约的使用及便捷率反馈情况；</w:t>
      </w:r>
    </w:p>
    <w:p w14:paraId="3CABD776">
      <w:pP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9.针对业务系统对接工作情况的调查，</w:t>
      </w:r>
      <w:r>
        <w:rPr>
          <w:rFonts w:hint="eastAsia" w:ascii="宋体" w:hAnsi="宋体" w:eastAsia="宋体" w:cs="宋体"/>
          <w:color w:val="auto"/>
          <w:sz w:val="21"/>
          <w:szCs w:val="21"/>
        </w:rPr>
        <w:t>了解各</w:t>
      </w:r>
      <w:r>
        <w:rPr>
          <w:rFonts w:hint="eastAsia" w:ascii="宋体" w:hAnsi="宋体" w:eastAsia="宋体" w:cs="宋体"/>
          <w:color w:val="auto"/>
          <w:sz w:val="21"/>
          <w:szCs w:val="21"/>
          <w:lang w:val="en-US" w:eastAsia="zh-CN"/>
        </w:rPr>
        <w:t>考评对象</w:t>
      </w:r>
      <w:r>
        <w:rPr>
          <w:rFonts w:hint="eastAsia" w:ascii="宋体" w:hAnsi="宋体" w:eastAsia="宋体" w:cs="宋体"/>
          <w:color w:val="auto"/>
          <w:sz w:val="21"/>
          <w:szCs w:val="21"/>
        </w:rPr>
        <w:t>使用统一申办受理平台，以及区一体化平台与市一体化在线政务服务平台对接的情况</w:t>
      </w:r>
      <w:r>
        <w:rPr>
          <w:rFonts w:hint="eastAsia" w:ascii="宋体" w:hAnsi="宋体" w:eastAsia="宋体" w:cs="宋体"/>
          <w:color w:val="auto"/>
          <w:sz w:val="21"/>
          <w:szCs w:val="21"/>
          <w:lang w:eastAsia="zh-CN"/>
        </w:rPr>
        <w:t>。</w:t>
      </w:r>
    </w:p>
    <w:p w14:paraId="49397329">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调查</w:t>
      </w:r>
      <w:r>
        <w:rPr>
          <w:rFonts w:hint="eastAsia" w:ascii="宋体" w:hAnsi="宋体" w:eastAsia="宋体" w:cs="宋体"/>
          <w:color w:val="auto"/>
          <w:sz w:val="21"/>
          <w:szCs w:val="21"/>
          <w:lang w:val="en-US" w:eastAsia="zh-CN"/>
        </w:rPr>
        <w:t>考评</w:t>
      </w:r>
      <w:r>
        <w:rPr>
          <w:rFonts w:hint="eastAsia" w:ascii="宋体" w:hAnsi="宋体" w:eastAsia="宋体" w:cs="宋体"/>
          <w:color w:val="auto"/>
          <w:sz w:val="21"/>
          <w:szCs w:val="21"/>
        </w:rPr>
        <w:t>对象</w:t>
      </w:r>
    </w:p>
    <w:p w14:paraId="4F22B733">
      <w:pPr>
        <w:autoSpaceDE w:val="0"/>
        <w:autoSpaceDN w:val="0"/>
        <w:adjustRightInd w:val="0"/>
        <w:spacing w:line="360" w:lineRule="auto"/>
        <w:ind w:firstLine="422" w:firstLineChars="200"/>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1.区政务服务中心进驻单位</w:t>
      </w:r>
      <w:r>
        <w:rPr>
          <w:rFonts w:hint="eastAsia" w:ascii="宋体" w:hAnsi="宋体" w:eastAsia="宋体" w:cs="宋体"/>
          <w:color w:val="auto"/>
          <w:kern w:val="0"/>
          <w:sz w:val="21"/>
          <w:szCs w:val="21"/>
        </w:rPr>
        <w:t>。</w:t>
      </w:r>
    </w:p>
    <w:p w14:paraId="66B65BD7">
      <w:pPr>
        <w:spacing w:line="360" w:lineRule="auto"/>
        <w:ind w:firstLine="725" w:firstLineChars="344"/>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表1  区政务服务中心进驻单位调查名单</w:t>
      </w:r>
    </w:p>
    <w:tbl>
      <w:tblPr>
        <w:tblStyle w:val="28"/>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236"/>
      </w:tblGrid>
      <w:tr w14:paraId="048D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702" w:type="dxa"/>
            <w:shd w:val="clear" w:color="auto" w:fill="A5A5A5"/>
            <w:noWrap w:val="0"/>
            <w:vAlign w:val="center"/>
          </w:tcPr>
          <w:p w14:paraId="4EBA4B57">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6236" w:type="dxa"/>
            <w:shd w:val="clear" w:color="auto" w:fill="A5A5A5"/>
            <w:noWrap w:val="0"/>
            <w:vAlign w:val="center"/>
          </w:tcPr>
          <w:p w14:paraId="1671AF3C">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r>
      <w:tr w14:paraId="0B39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EEA8497">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236" w:type="dxa"/>
            <w:noWrap w:val="0"/>
            <w:vAlign w:val="center"/>
          </w:tcPr>
          <w:p w14:paraId="4DD69D90">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区住房和城乡建设局</w:t>
            </w:r>
          </w:p>
        </w:tc>
      </w:tr>
      <w:tr w14:paraId="5E4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30BD9D2">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6236" w:type="dxa"/>
            <w:noWrap w:val="0"/>
            <w:vAlign w:val="center"/>
          </w:tcPr>
          <w:p w14:paraId="62A84AD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区卫生健康局</w:t>
            </w:r>
          </w:p>
        </w:tc>
      </w:tr>
      <w:tr w14:paraId="1289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CFA0886">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3</w:t>
            </w:r>
          </w:p>
        </w:tc>
        <w:tc>
          <w:tcPr>
            <w:tcW w:w="6236" w:type="dxa"/>
            <w:noWrap w:val="0"/>
            <w:vAlign w:val="center"/>
          </w:tcPr>
          <w:p w14:paraId="4B08C6F8">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区农业农村局</w:t>
            </w:r>
          </w:p>
        </w:tc>
      </w:tr>
      <w:tr w14:paraId="493E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0558BFBF">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4</w:t>
            </w:r>
          </w:p>
        </w:tc>
        <w:tc>
          <w:tcPr>
            <w:tcW w:w="6236" w:type="dxa"/>
            <w:noWrap w:val="0"/>
            <w:vAlign w:val="center"/>
          </w:tcPr>
          <w:p w14:paraId="7AADD95D">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规划和自然资源局南沙区分局</w:t>
            </w:r>
          </w:p>
        </w:tc>
      </w:tr>
      <w:tr w14:paraId="622A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F205B19">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5</w:t>
            </w:r>
          </w:p>
        </w:tc>
        <w:tc>
          <w:tcPr>
            <w:tcW w:w="6236" w:type="dxa"/>
            <w:noWrap w:val="0"/>
            <w:vAlign w:val="center"/>
          </w:tcPr>
          <w:p w14:paraId="094E7FA2">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区文化广电旅游体育局</w:t>
            </w:r>
          </w:p>
        </w:tc>
      </w:tr>
      <w:tr w14:paraId="522E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4F9F16E">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6</w:t>
            </w:r>
          </w:p>
        </w:tc>
        <w:tc>
          <w:tcPr>
            <w:tcW w:w="6236" w:type="dxa"/>
            <w:noWrap w:val="0"/>
            <w:vAlign w:val="center"/>
          </w:tcPr>
          <w:p w14:paraId="49F63BCF">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区城市管理局</w:t>
            </w:r>
          </w:p>
        </w:tc>
      </w:tr>
      <w:tr w14:paraId="3551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F86ADA1">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7</w:t>
            </w:r>
          </w:p>
        </w:tc>
        <w:tc>
          <w:tcPr>
            <w:tcW w:w="6236" w:type="dxa"/>
            <w:noWrap w:val="0"/>
            <w:vAlign w:val="center"/>
          </w:tcPr>
          <w:p w14:paraId="6AA4CCC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区水务局</w:t>
            </w:r>
          </w:p>
        </w:tc>
      </w:tr>
      <w:tr w14:paraId="70A0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4029BFFE">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8</w:t>
            </w:r>
          </w:p>
        </w:tc>
        <w:tc>
          <w:tcPr>
            <w:tcW w:w="6236" w:type="dxa"/>
            <w:noWrap w:val="0"/>
            <w:vAlign w:val="center"/>
          </w:tcPr>
          <w:p w14:paraId="0CB07D37">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区教育局</w:t>
            </w:r>
          </w:p>
        </w:tc>
      </w:tr>
      <w:tr w14:paraId="3BA0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022712CB">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9</w:t>
            </w:r>
          </w:p>
        </w:tc>
        <w:tc>
          <w:tcPr>
            <w:tcW w:w="6236" w:type="dxa"/>
            <w:noWrap w:val="0"/>
            <w:vAlign w:val="center"/>
          </w:tcPr>
          <w:p w14:paraId="392A2D8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区新闻出版局</w:t>
            </w:r>
          </w:p>
        </w:tc>
      </w:tr>
      <w:tr w14:paraId="6689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3265776">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10</w:t>
            </w:r>
          </w:p>
        </w:tc>
        <w:tc>
          <w:tcPr>
            <w:tcW w:w="6236" w:type="dxa"/>
            <w:noWrap w:val="0"/>
            <w:vAlign w:val="center"/>
          </w:tcPr>
          <w:p w14:paraId="1E9285D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区行政审批局</w:t>
            </w:r>
          </w:p>
        </w:tc>
      </w:tr>
      <w:tr w14:paraId="3B6D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F3BBECC">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11</w:t>
            </w:r>
          </w:p>
        </w:tc>
        <w:tc>
          <w:tcPr>
            <w:tcW w:w="6236" w:type="dxa"/>
            <w:noWrap w:val="0"/>
            <w:vAlign w:val="center"/>
          </w:tcPr>
          <w:p w14:paraId="6E2D043E">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区应急管理局</w:t>
            </w:r>
          </w:p>
        </w:tc>
      </w:tr>
      <w:tr w14:paraId="0B80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8CB9F22">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12</w:t>
            </w:r>
          </w:p>
        </w:tc>
        <w:tc>
          <w:tcPr>
            <w:tcW w:w="6236" w:type="dxa"/>
            <w:noWrap w:val="0"/>
            <w:vAlign w:val="center"/>
          </w:tcPr>
          <w:p w14:paraId="2BFA329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区金融工作局</w:t>
            </w:r>
          </w:p>
        </w:tc>
      </w:tr>
      <w:tr w14:paraId="1B79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9F2475B">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13</w:t>
            </w:r>
          </w:p>
        </w:tc>
        <w:tc>
          <w:tcPr>
            <w:tcW w:w="6236" w:type="dxa"/>
            <w:noWrap w:val="0"/>
            <w:vAlign w:val="center"/>
          </w:tcPr>
          <w:p w14:paraId="220AB4E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区委机构编制委员会办公室</w:t>
            </w:r>
          </w:p>
        </w:tc>
      </w:tr>
      <w:tr w14:paraId="2459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81F29CD">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14</w:t>
            </w:r>
          </w:p>
        </w:tc>
        <w:tc>
          <w:tcPr>
            <w:tcW w:w="6236" w:type="dxa"/>
            <w:noWrap w:val="0"/>
            <w:vAlign w:val="center"/>
          </w:tcPr>
          <w:p w14:paraId="054691D6">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区民政局</w:t>
            </w:r>
          </w:p>
        </w:tc>
      </w:tr>
      <w:tr w14:paraId="7345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0C097A9">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15</w:t>
            </w:r>
          </w:p>
        </w:tc>
        <w:tc>
          <w:tcPr>
            <w:tcW w:w="6236" w:type="dxa"/>
            <w:noWrap w:val="0"/>
            <w:vAlign w:val="center"/>
          </w:tcPr>
          <w:p w14:paraId="1E6C9DFB">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生态环境局南沙区分局</w:t>
            </w:r>
          </w:p>
        </w:tc>
      </w:tr>
      <w:tr w14:paraId="1A8F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1868A28">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16</w:t>
            </w:r>
          </w:p>
        </w:tc>
        <w:tc>
          <w:tcPr>
            <w:tcW w:w="6236" w:type="dxa"/>
            <w:noWrap w:val="0"/>
            <w:vAlign w:val="center"/>
          </w:tcPr>
          <w:p w14:paraId="78579C41">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区气象局</w:t>
            </w:r>
          </w:p>
        </w:tc>
      </w:tr>
      <w:tr w14:paraId="324C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B9E5ED7">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17</w:t>
            </w:r>
          </w:p>
        </w:tc>
        <w:tc>
          <w:tcPr>
            <w:tcW w:w="6236" w:type="dxa"/>
            <w:noWrap w:val="0"/>
            <w:vAlign w:val="center"/>
          </w:tcPr>
          <w:p w14:paraId="4EBD7A90">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区发展和改革局</w:t>
            </w:r>
          </w:p>
        </w:tc>
      </w:tr>
      <w:tr w14:paraId="54BD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2" w:type="dxa"/>
            <w:noWrap w:val="0"/>
            <w:vAlign w:val="center"/>
          </w:tcPr>
          <w:p w14:paraId="1B47658E">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18</w:t>
            </w:r>
          </w:p>
        </w:tc>
        <w:tc>
          <w:tcPr>
            <w:tcW w:w="6236" w:type="dxa"/>
            <w:noWrap w:val="0"/>
            <w:vAlign w:val="center"/>
          </w:tcPr>
          <w:p w14:paraId="6F4DDB6A">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区消防救援大队</w:t>
            </w:r>
          </w:p>
        </w:tc>
      </w:tr>
      <w:tr w14:paraId="2699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30D024B">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19</w:t>
            </w:r>
          </w:p>
        </w:tc>
        <w:tc>
          <w:tcPr>
            <w:tcW w:w="6236" w:type="dxa"/>
            <w:noWrap w:val="0"/>
            <w:vAlign w:val="center"/>
          </w:tcPr>
          <w:p w14:paraId="309C2C35">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区工业和信息化局</w:t>
            </w:r>
          </w:p>
        </w:tc>
      </w:tr>
      <w:tr w14:paraId="1C77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077655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236" w:type="dxa"/>
            <w:noWrap w:val="0"/>
            <w:vAlign w:val="center"/>
          </w:tcPr>
          <w:p w14:paraId="36ED6D81">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区商务局</w:t>
            </w:r>
          </w:p>
        </w:tc>
      </w:tr>
      <w:tr w14:paraId="6564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50A34C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6236" w:type="dxa"/>
            <w:noWrap w:val="0"/>
            <w:vAlign w:val="center"/>
          </w:tcPr>
          <w:p w14:paraId="1B31F9EE">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区统计局</w:t>
            </w:r>
          </w:p>
        </w:tc>
      </w:tr>
      <w:tr w14:paraId="2A07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932E79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6236" w:type="dxa"/>
            <w:noWrap w:val="0"/>
            <w:vAlign w:val="center"/>
          </w:tcPr>
          <w:p w14:paraId="26E256EC">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区人力资源和社会保障局</w:t>
            </w:r>
          </w:p>
        </w:tc>
      </w:tr>
      <w:tr w14:paraId="10F0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06F246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6236" w:type="dxa"/>
            <w:noWrap w:val="0"/>
            <w:vAlign w:val="center"/>
          </w:tcPr>
          <w:p w14:paraId="2E71B2E8">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粤海水务有限公司</w:t>
            </w:r>
          </w:p>
        </w:tc>
      </w:tr>
      <w:tr w14:paraId="3544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0E350D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6236" w:type="dxa"/>
            <w:noWrap w:val="0"/>
            <w:vAlign w:val="center"/>
          </w:tcPr>
          <w:p w14:paraId="7E90F48D">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区残疾人联合会</w:t>
            </w:r>
          </w:p>
        </w:tc>
      </w:tr>
      <w:tr w14:paraId="2522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112D99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236" w:type="dxa"/>
            <w:noWrap w:val="0"/>
            <w:vAlign w:val="center"/>
          </w:tcPr>
          <w:p w14:paraId="3D91B3EB">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广州南沙发展燃气有限公司</w:t>
            </w:r>
          </w:p>
        </w:tc>
      </w:tr>
      <w:tr w14:paraId="2D28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79AE38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6236" w:type="dxa"/>
            <w:noWrap w:val="0"/>
            <w:vAlign w:val="center"/>
          </w:tcPr>
          <w:p w14:paraId="4FCABF18">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明珠湾开发建设管理局</w:t>
            </w:r>
          </w:p>
        </w:tc>
      </w:tr>
      <w:tr w14:paraId="4525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134F2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6236" w:type="dxa"/>
            <w:noWrap w:val="0"/>
            <w:vAlign w:val="center"/>
          </w:tcPr>
          <w:p w14:paraId="01FC8A7A">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区市场监管局</w:t>
            </w:r>
          </w:p>
        </w:tc>
      </w:tr>
      <w:tr w14:paraId="6082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442EBB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236" w:type="dxa"/>
            <w:noWrap w:val="0"/>
            <w:vAlign w:val="center"/>
          </w:tcPr>
          <w:p w14:paraId="4117BF6C">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区公安局</w:t>
            </w:r>
          </w:p>
        </w:tc>
      </w:tr>
      <w:tr w14:paraId="2AA4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7EE033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6236" w:type="dxa"/>
            <w:noWrap w:val="0"/>
            <w:vAlign w:val="center"/>
          </w:tcPr>
          <w:p w14:paraId="7B373D19">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区科学技术局</w:t>
            </w:r>
          </w:p>
        </w:tc>
      </w:tr>
      <w:tr w14:paraId="7254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6627E2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236" w:type="dxa"/>
            <w:noWrap w:val="0"/>
            <w:vAlign w:val="center"/>
          </w:tcPr>
          <w:p w14:paraId="23A6F1B0">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区退役军人事务局</w:t>
            </w:r>
          </w:p>
        </w:tc>
      </w:tr>
      <w:tr w14:paraId="1B8C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1F68976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6236" w:type="dxa"/>
            <w:noWrap w:val="0"/>
            <w:vAlign w:val="center"/>
          </w:tcPr>
          <w:p w14:paraId="4B4D94B7">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区司法局</w:t>
            </w:r>
          </w:p>
        </w:tc>
      </w:tr>
      <w:tr w14:paraId="001E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A448E5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6236" w:type="dxa"/>
            <w:noWrap w:val="0"/>
            <w:vAlign w:val="center"/>
          </w:tcPr>
          <w:p w14:paraId="51BE2326">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国家档案馆、区档案局</w:t>
            </w:r>
          </w:p>
        </w:tc>
      </w:tr>
      <w:tr w14:paraId="1DD0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86C40D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6236" w:type="dxa"/>
            <w:noWrap w:val="0"/>
            <w:vAlign w:val="center"/>
          </w:tcPr>
          <w:p w14:paraId="1111D457">
            <w:pPr>
              <w:keepNext w:val="0"/>
              <w:keepLines w:val="0"/>
              <w:widowControl/>
              <w:suppressLineNumbers w:val="0"/>
              <w:spacing w:line="360" w:lineRule="auto"/>
              <w:jc w:val="left"/>
              <w:textAlignment w:val="center"/>
              <w:rPr>
                <w:rStyle w:val="93"/>
                <w:rFonts w:hint="eastAsia" w:ascii="宋体" w:hAnsi="宋体" w:eastAsia="宋体" w:cs="宋体"/>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区委统一战线工作部（区侨务局、区民族宗教事务局）</w:t>
            </w:r>
          </w:p>
        </w:tc>
      </w:tr>
      <w:tr w14:paraId="7EA3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3A90A53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6236" w:type="dxa"/>
            <w:noWrap w:val="0"/>
            <w:vAlign w:val="top"/>
          </w:tcPr>
          <w:p w14:paraId="48352352">
            <w:pPr>
              <w:pStyle w:val="94"/>
              <w:spacing w:line="36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区税务局</w:t>
            </w:r>
          </w:p>
        </w:tc>
      </w:tr>
      <w:tr w14:paraId="1ED7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28B4100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w:t>
            </w:r>
          </w:p>
        </w:tc>
        <w:tc>
          <w:tcPr>
            <w:tcW w:w="6236" w:type="dxa"/>
            <w:noWrap w:val="0"/>
            <w:vAlign w:val="top"/>
          </w:tcPr>
          <w:p w14:paraId="701F0329">
            <w:pPr>
              <w:pStyle w:val="94"/>
              <w:spacing w:line="36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南沙海关</w:t>
            </w:r>
          </w:p>
        </w:tc>
      </w:tr>
      <w:tr w14:paraId="2A38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14:paraId="58EF9A5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6236" w:type="dxa"/>
            <w:noWrap w:val="0"/>
            <w:vAlign w:val="top"/>
          </w:tcPr>
          <w:p w14:paraId="4F64F7DB">
            <w:pPr>
              <w:pStyle w:val="94"/>
              <w:spacing w:line="36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区公安消防大队</w:t>
            </w:r>
          </w:p>
        </w:tc>
      </w:tr>
      <w:tr w14:paraId="45D9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5FD3701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w:t>
            </w:r>
          </w:p>
        </w:tc>
        <w:tc>
          <w:tcPr>
            <w:tcW w:w="0" w:type="auto"/>
            <w:noWrap w:val="0"/>
            <w:vAlign w:val="top"/>
          </w:tcPr>
          <w:p w14:paraId="6267FF35">
            <w:pPr>
              <w:pStyle w:val="94"/>
              <w:spacing w:line="360" w:lineRule="auto"/>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市医疗保险服务中心南沙分中心</w:t>
            </w:r>
          </w:p>
        </w:tc>
      </w:tr>
    </w:tbl>
    <w:p w14:paraId="315B010C">
      <w:pPr>
        <w:pStyle w:val="20"/>
        <w:spacing w:line="360" w:lineRule="auto"/>
        <w:rPr>
          <w:rFonts w:hint="eastAsia" w:ascii="宋体" w:hAnsi="宋体" w:eastAsia="宋体" w:cs="宋体"/>
          <w:color w:val="auto"/>
          <w:sz w:val="21"/>
          <w:szCs w:val="21"/>
        </w:rPr>
      </w:pPr>
    </w:p>
    <w:p w14:paraId="22B5305F">
      <w:pPr>
        <w:pStyle w:val="20"/>
        <w:spacing w:line="360" w:lineRule="auto"/>
        <w:ind w:left="0"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10</w:t>
      </w:r>
      <w:r>
        <w:rPr>
          <w:rFonts w:hint="eastAsia" w:ascii="宋体" w:hAnsi="宋体" w:eastAsia="宋体" w:cs="宋体"/>
          <w:b/>
          <w:color w:val="auto"/>
          <w:sz w:val="21"/>
          <w:szCs w:val="21"/>
        </w:rPr>
        <w:t>个镇（街），包含镇（街）政务服务中心及村（居）公共服务站。</w:t>
      </w:r>
    </w:p>
    <w:p w14:paraId="56C188F5">
      <w:pPr>
        <w:spacing w:line="360" w:lineRule="auto"/>
        <w:ind w:firstLine="725" w:firstLineChars="344"/>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表2  各镇（街）调查名单</w:t>
      </w:r>
    </w:p>
    <w:tbl>
      <w:tblPr>
        <w:tblStyle w:val="28"/>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236"/>
      </w:tblGrid>
      <w:tr w14:paraId="2022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526" w:type="dxa"/>
            <w:shd w:val="clear" w:color="auto" w:fill="A5A5A5"/>
            <w:noWrap w:val="0"/>
            <w:vAlign w:val="center"/>
          </w:tcPr>
          <w:p w14:paraId="2B61E9CB">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5592" w:type="dxa"/>
            <w:shd w:val="clear" w:color="auto" w:fill="A5A5A5"/>
            <w:noWrap w:val="0"/>
            <w:vAlign w:val="center"/>
          </w:tcPr>
          <w:p w14:paraId="72BDBE1A">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镇（街）</w:t>
            </w:r>
          </w:p>
        </w:tc>
      </w:tr>
      <w:tr w14:paraId="1A6E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5C6B7E3F">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592" w:type="dxa"/>
            <w:noWrap w:val="0"/>
            <w:vAlign w:val="top"/>
          </w:tcPr>
          <w:p w14:paraId="14CA698D">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万顷沙镇</w:t>
            </w:r>
          </w:p>
        </w:tc>
      </w:tr>
      <w:tr w14:paraId="042B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14C9B3F6">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5592" w:type="dxa"/>
            <w:noWrap w:val="0"/>
            <w:vAlign w:val="top"/>
          </w:tcPr>
          <w:p w14:paraId="5EC05547">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黄阁镇</w:t>
            </w:r>
          </w:p>
        </w:tc>
      </w:tr>
      <w:tr w14:paraId="0D84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027DDE68">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5592" w:type="dxa"/>
            <w:noWrap w:val="0"/>
            <w:vAlign w:val="top"/>
          </w:tcPr>
          <w:p w14:paraId="6FD8B143">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横沥镇</w:t>
            </w:r>
          </w:p>
        </w:tc>
      </w:tr>
      <w:tr w14:paraId="2F0F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17E0A409">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5592" w:type="dxa"/>
            <w:noWrap w:val="0"/>
            <w:vAlign w:val="top"/>
          </w:tcPr>
          <w:p w14:paraId="0AC84D94">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东涌镇</w:t>
            </w:r>
          </w:p>
        </w:tc>
      </w:tr>
      <w:tr w14:paraId="4EE6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5CC870FF">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5592" w:type="dxa"/>
            <w:noWrap w:val="0"/>
            <w:vAlign w:val="top"/>
          </w:tcPr>
          <w:p w14:paraId="78B61F2C">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大岗镇</w:t>
            </w:r>
          </w:p>
        </w:tc>
      </w:tr>
      <w:tr w14:paraId="404F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4AD28870">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5592" w:type="dxa"/>
            <w:noWrap w:val="0"/>
            <w:vAlign w:val="top"/>
          </w:tcPr>
          <w:p w14:paraId="6EA0920E">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榄核镇</w:t>
            </w:r>
          </w:p>
        </w:tc>
      </w:tr>
      <w:tr w14:paraId="4D18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1C831297">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5592" w:type="dxa"/>
            <w:noWrap w:val="0"/>
            <w:vAlign w:val="top"/>
          </w:tcPr>
          <w:p w14:paraId="0F2DCA35">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南沙街</w:t>
            </w:r>
          </w:p>
        </w:tc>
      </w:tr>
      <w:tr w14:paraId="07C1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3B44FD7F">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5592" w:type="dxa"/>
            <w:noWrap w:val="0"/>
            <w:vAlign w:val="top"/>
          </w:tcPr>
          <w:p w14:paraId="6D869077">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珠江街</w:t>
            </w:r>
          </w:p>
        </w:tc>
      </w:tr>
      <w:tr w14:paraId="7A8F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7D074ED5">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5592" w:type="dxa"/>
            <w:noWrap w:val="0"/>
            <w:vAlign w:val="top"/>
          </w:tcPr>
          <w:p w14:paraId="1FCB994E">
            <w:pPr>
              <w:pStyle w:val="94"/>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龙穴街</w:t>
            </w:r>
          </w:p>
        </w:tc>
      </w:tr>
      <w:tr w14:paraId="0448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14:paraId="5B331DD4">
            <w:pPr>
              <w:pStyle w:val="94"/>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5592" w:type="dxa"/>
            <w:noWrap w:val="0"/>
            <w:vAlign w:val="top"/>
          </w:tcPr>
          <w:p w14:paraId="2F26092E">
            <w:pPr>
              <w:pStyle w:val="94"/>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港湾街</w:t>
            </w:r>
          </w:p>
        </w:tc>
      </w:tr>
    </w:tbl>
    <w:p w14:paraId="65662FD6">
      <w:pP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工作计划</w:t>
      </w:r>
    </w:p>
    <w:p w14:paraId="0FE2F3F9">
      <w:pP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考评</w:t>
      </w:r>
      <w:r>
        <w:rPr>
          <w:rFonts w:hint="eastAsia" w:ascii="宋体" w:hAnsi="宋体" w:eastAsia="宋体" w:cs="宋体"/>
          <w:b/>
          <w:bCs/>
          <w:color w:val="auto"/>
          <w:sz w:val="21"/>
          <w:szCs w:val="21"/>
          <w:lang w:val="en-US" w:eastAsia="zh-CN"/>
        </w:rPr>
        <w:t>周期及工作进度</w:t>
      </w:r>
    </w:p>
    <w:p w14:paraId="2EDA7DB3">
      <w:pPr>
        <w:spacing w:line="360" w:lineRule="auto"/>
        <w:ind w:firstLine="480"/>
        <w:jc w:val="both"/>
        <w:rPr>
          <w:rFonts w:hint="eastAsia" w:ascii="宋体" w:hAnsi="宋体" w:eastAsia="宋体" w:cs="宋体"/>
          <w:color w:val="auto"/>
          <w:spacing w:val="8"/>
          <w:sz w:val="21"/>
          <w:szCs w:val="21"/>
        </w:rPr>
      </w:pPr>
      <w:r>
        <w:rPr>
          <w:rFonts w:hint="eastAsia" w:ascii="宋体" w:hAnsi="宋体" w:eastAsia="宋体" w:cs="宋体"/>
          <w:color w:val="auto"/>
          <w:sz w:val="21"/>
          <w:szCs w:val="21"/>
          <w:lang w:val="en-US" w:eastAsia="zh-CN"/>
        </w:rPr>
        <w:t>根据</w:t>
      </w:r>
      <w:r>
        <w:rPr>
          <w:rFonts w:hint="eastAsia" w:ascii="宋体" w:hAnsi="宋体" w:eastAsia="宋体" w:cs="宋体"/>
          <w:color w:val="auto"/>
          <w:sz w:val="21"/>
          <w:szCs w:val="21"/>
        </w:rPr>
        <w:t>对各考评对象在不同</w:t>
      </w:r>
      <w:r>
        <w:rPr>
          <w:rFonts w:hint="eastAsia" w:ascii="宋体" w:hAnsi="宋体" w:eastAsia="宋体" w:cs="宋体"/>
          <w:color w:val="auto"/>
          <w:sz w:val="21"/>
          <w:szCs w:val="21"/>
          <w:lang w:val="en-US" w:eastAsia="zh-CN"/>
        </w:rPr>
        <w:t>考评</w:t>
      </w:r>
      <w:r>
        <w:rPr>
          <w:rFonts w:hint="eastAsia" w:ascii="宋体" w:hAnsi="宋体" w:eastAsia="宋体" w:cs="宋体"/>
          <w:color w:val="auto"/>
          <w:sz w:val="21"/>
          <w:szCs w:val="21"/>
        </w:rPr>
        <w:t>指标领域的工作表现进行评分，所有指标得分之和则为该考评对象最终政务服务考评得分，项目分为上半年和下半年两个周期</w:t>
      </w:r>
      <w:r>
        <w:rPr>
          <w:rFonts w:hint="eastAsia" w:ascii="宋体" w:hAnsi="宋体" w:eastAsia="宋体" w:cs="宋体"/>
          <w:color w:val="auto"/>
          <w:sz w:val="21"/>
          <w:szCs w:val="21"/>
          <w:lang w:val="en-US" w:eastAsia="zh-CN"/>
        </w:rPr>
        <w:t>进行调查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每季度覆盖考评范围，</w:t>
      </w:r>
      <w:r>
        <w:rPr>
          <w:rFonts w:hint="eastAsia" w:ascii="宋体" w:hAnsi="宋体" w:eastAsia="宋体" w:cs="宋体"/>
          <w:color w:val="auto"/>
          <w:sz w:val="21"/>
          <w:szCs w:val="21"/>
        </w:rPr>
        <w:t>提交上半年和</w:t>
      </w:r>
      <w:r>
        <w:rPr>
          <w:rFonts w:hint="eastAsia" w:ascii="宋体" w:hAnsi="宋体" w:eastAsia="宋体" w:cs="宋体"/>
          <w:color w:val="auto"/>
          <w:sz w:val="21"/>
          <w:szCs w:val="21"/>
          <w:lang w:val="en-US" w:eastAsia="zh-CN"/>
        </w:rPr>
        <w:t>全</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rPr>
        <w:t>调研报告成果，共两期。</w:t>
      </w:r>
    </w:p>
    <w:p w14:paraId="4334B319">
      <w:pPr>
        <w:spacing w:line="360" w:lineRule="auto"/>
        <w:ind w:firstLine="480"/>
        <w:jc w:val="both"/>
        <w:rPr>
          <w:rFonts w:hint="eastAsia" w:ascii="宋体" w:hAnsi="宋体" w:eastAsia="宋体" w:cs="宋体"/>
          <w:b/>
          <w:bCs/>
          <w:color w:val="auto"/>
          <w:spacing w:val="8"/>
          <w:sz w:val="21"/>
          <w:szCs w:val="21"/>
        </w:rPr>
      </w:pPr>
      <w:r>
        <w:rPr>
          <w:rFonts w:hint="eastAsia" w:ascii="宋体" w:hAnsi="宋体" w:eastAsia="宋体" w:cs="宋体"/>
          <w:b/>
          <w:bCs/>
          <w:color w:val="auto"/>
          <w:spacing w:val="8"/>
          <w:sz w:val="21"/>
          <w:szCs w:val="21"/>
        </w:rPr>
        <w:t>第一</w:t>
      </w:r>
      <w:r>
        <w:rPr>
          <w:rFonts w:hint="eastAsia" w:ascii="宋体" w:hAnsi="宋体" w:eastAsia="宋体" w:cs="宋体"/>
          <w:b/>
          <w:bCs/>
          <w:color w:val="auto"/>
          <w:spacing w:val="8"/>
          <w:sz w:val="21"/>
          <w:szCs w:val="21"/>
          <w:lang w:val="en-US" w:eastAsia="zh-CN"/>
        </w:rPr>
        <w:t>期</w:t>
      </w:r>
      <w:r>
        <w:rPr>
          <w:rFonts w:hint="eastAsia" w:ascii="宋体" w:hAnsi="宋体" w:eastAsia="宋体" w:cs="宋体"/>
          <w:b/>
          <w:bCs/>
          <w:color w:val="auto"/>
          <w:spacing w:val="8"/>
          <w:sz w:val="21"/>
          <w:szCs w:val="21"/>
        </w:rPr>
        <w:t>调查工作进度如下：</w:t>
      </w:r>
    </w:p>
    <w:p w14:paraId="4A05F443">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2024年2月下旬前，</w:t>
      </w:r>
      <w:r>
        <w:rPr>
          <w:rFonts w:hint="eastAsia" w:ascii="宋体" w:hAnsi="宋体" w:eastAsia="宋体" w:cs="宋体"/>
          <w:color w:val="auto"/>
          <w:sz w:val="21"/>
          <w:szCs w:val="21"/>
          <w:lang w:val="en-US" w:eastAsia="zh-CN"/>
        </w:rPr>
        <w:t>做好调查前期工作，</w:t>
      </w:r>
      <w:r>
        <w:rPr>
          <w:rFonts w:hint="eastAsia" w:ascii="宋体" w:hAnsi="宋体" w:eastAsia="宋体" w:cs="宋体"/>
          <w:color w:val="auto"/>
          <w:sz w:val="21"/>
          <w:szCs w:val="21"/>
        </w:rPr>
        <w:t>确定项目调查方案，组建课题组。借鉴广东省、市及其他地区政务服务</w:t>
      </w:r>
      <w:r>
        <w:rPr>
          <w:rFonts w:hint="eastAsia" w:ascii="宋体" w:hAnsi="宋体" w:eastAsia="宋体" w:cs="宋体"/>
          <w:color w:val="auto"/>
          <w:sz w:val="21"/>
          <w:szCs w:val="21"/>
          <w:lang w:eastAsia="zh-CN"/>
        </w:rPr>
        <w:t>考评</w:t>
      </w:r>
      <w:r>
        <w:rPr>
          <w:rFonts w:hint="eastAsia" w:ascii="宋体" w:hAnsi="宋体" w:eastAsia="宋体" w:cs="宋体"/>
          <w:color w:val="auto"/>
          <w:sz w:val="21"/>
          <w:szCs w:val="21"/>
        </w:rPr>
        <w:t>调查指标体系，结合南沙区实际情况，设计</w:t>
      </w:r>
      <w:r>
        <w:rPr>
          <w:rFonts w:hint="eastAsia" w:ascii="宋体" w:hAnsi="宋体" w:eastAsia="宋体" w:cs="宋体"/>
          <w:color w:val="auto"/>
          <w:sz w:val="21"/>
          <w:szCs w:val="21"/>
          <w:lang w:val="en-US" w:eastAsia="zh-CN"/>
        </w:rPr>
        <w:t>及优化完善</w:t>
      </w:r>
      <w:r>
        <w:rPr>
          <w:rFonts w:hint="eastAsia" w:ascii="宋体" w:hAnsi="宋体" w:eastAsia="宋体" w:cs="宋体"/>
          <w:color w:val="auto"/>
          <w:sz w:val="21"/>
          <w:szCs w:val="21"/>
        </w:rPr>
        <w:t>2024年南沙区政务服务</w:t>
      </w:r>
      <w:r>
        <w:rPr>
          <w:rFonts w:hint="eastAsia" w:ascii="宋体" w:hAnsi="宋体" w:eastAsia="宋体" w:cs="宋体"/>
          <w:color w:val="auto"/>
          <w:sz w:val="21"/>
          <w:szCs w:val="21"/>
          <w:lang w:val="en-US" w:eastAsia="zh-CN"/>
        </w:rPr>
        <w:t>公众考评满意度</w:t>
      </w:r>
      <w:r>
        <w:rPr>
          <w:rFonts w:hint="eastAsia" w:ascii="宋体" w:hAnsi="宋体" w:eastAsia="宋体" w:cs="宋体"/>
          <w:color w:val="auto"/>
          <w:sz w:val="21"/>
          <w:szCs w:val="21"/>
          <w:lang w:eastAsia="zh-CN"/>
        </w:rPr>
        <w:t>考评</w:t>
      </w:r>
      <w:r>
        <w:rPr>
          <w:rFonts w:hint="eastAsia" w:ascii="宋体" w:hAnsi="宋体" w:eastAsia="宋体" w:cs="宋体"/>
          <w:color w:val="auto"/>
          <w:sz w:val="21"/>
          <w:szCs w:val="21"/>
        </w:rPr>
        <w:t>指标体系。</w:t>
      </w:r>
    </w:p>
    <w:p w14:paraId="0AD7A466">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2024年6月下旬前，完成座谈会、深度模拟体验、暗访调查、问卷调查等发放和回收，审核、复核、编码、录入、整理和统计分析</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实施执行。</w:t>
      </w:r>
    </w:p>
    <w:p w14:paraId="0A93C972">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2024年7月下旬前，完成对座谈会、深度模拟体验材料收集梳理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核查和分析</w:t>
      </w:r>
      <w:r>
        <w:rPr>
          <w:rFonts w:hint="eastAsia" w:ascii="宋体" w:hAnsi="宋体" w:eastAsia="宋体" w:cs="宋体"/>
          <w:color w:val="auto"/>
          <w:sz w:val="21"/>
          <w:szCs w:val="21"/>
          <w:lang w:val="en-US" w:eastAsia="zh-CN"/>
        </w:rPr>
        <w:t>整合</w:t>
      </w:r>
      <w:r>
        <w:rPr>
          <w:rFonts w:hint="eastAsia" w:ascii="宋体" w:hAnsi="宋体" w:eastAsia="宋体" w:cs="宋体"/>
          <w:color w:val="auto"/>
          <w:sz w:val="21"/>
          <w:szCs w:val="21"/>
        </w:rPr>
        <w:t>。</w:t>
      </w:r>
    </w:p>
    <w:p w14:paraId="3D91FF04">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2024年8月中旬前，</w:t>
      </w:r>
      <w:r>
        <w:rPr>
          <w:rFonts w:hint="eastAsia" w:ascii="宋体" w:hAnsi="宋体" w:eastAsia="宋体" w:cs="宋体"/>
          <w:color w:val="auto"/>
          <w:sz w:val="21"/>
          <w:szCs w:val="21"/>
          <w:lang w:val="en-US" w:eastAsia="zh-CN"/>
        </w:rPr>
        <w:t>按照国家通用统计法，结合专家评估，对各</w:t>
      </w:r>
      <w:r>
        <w:rPr>
          <w:rFonts w:hint="eastAsia" w:ascii="宋体" w:hAnsi="宋体" w:eastAsia="宋体" w:cs="宋体"/>
          <w:color w:val="auto"/>
          <w:sz w:val="21"/>
          <w:szCs w:val="21"/>
          <w:lang w:eastAsia="zh-CN"/>
        </w:rPr>
        <w:t>考评</w:t>
      </w:r>
      <w:r>
        <w:rPr>
          <w:rFonts w:hint="eastAsia" w:ascii="宋体" w:hAnsi="宋体" w:eastAsia="宋体" w:cs="宋体"/>
          <w:color w:val="auto"/>
          <w:sz w:val="21"/>
          <w:szCs w:val="21"/>
        </w:rPr>
        <w:t>对象的政务服务情况进行</w:t>
      </w:r>
      <w:r>
        <w:rPr>
          <w:rFonts w:hint="eastAsia" w:ascii="宋体" w:hAnsi="宋体" w:eastAsia="宋体" w:cs="宋体"/>
          <w:color w:val="auto"/>
          <w:sz w:val="21"/>
          <w:szCs w:val="21"/>
          <w:lang w:val="en-US" w:eastAsia="zh-CN"/>
        </w:rPr>
        <w:t>评分核实后作相应的</w:t>
      </w:r>
      <w:r>
        <w:rPr>
          <w:rFonts w:hint="eastAsia" w:ascii="宋体" w:hAnsi="宋体" w:eastAsia="宋体" w:cs="宋体"/>
          <w:color w:val="auto"/>
          <w:sz w:val="21"/>
          <w:szCs w:val="21"/>
        </w:rPr>
        <w:t>修改完善，</w:t>
      </w:r>
      <w:r>
        <w:rPr>
          <w:rFonts w:hint="eastAsia" w:ascii="宋体" w:hAnsi="宋体" w:eastAsia="宋体" w:cs="宋体"/>
          <w:color w:val="auto"/>
          <w:sz w:val="21"/>
          <w:szCs w:val="21"/>
          <w:lang w:val="en-US" w:eastAsia="zh-CN"/>
        </w:rPr>
        <w:t>提交上半年调查</w:t>
      </w:r>
      <w:r>
        <w:rPr>
          <w:rFonts w:hint="eastAsia" w:ascii="宋体" w:hAnsi="宋体" w:eastAsia="宋体" w:cs="宋体"/>
          <w:color w:val="auto"/>
          <w:sz w:val="21"/>
          <w:szCs w:val="21"/>
          <w:lang w:eastAsia="zh-CN"/>
        </w:rPr>
        <w:t>考评</w:t>
      </w:r>
      <w:r>
        <w:rPr>
          <w:rFonts w:hint="eastAsia" w:ascii="宋体" w:hAnsi="宋体" w:eastAsia="宋体" w:cs="宋体"/>
          <w:color w:val="auto"/>
          <w:sz w:val="21"/>
          <w:szCs w:val="21"/>
          <w:lang w:val="en-US" w:eastAsia="zh-CN"/>
        </w:rPr>
        <w:t>成</w:t>
      </w:r>
      <w:r>
        <w:rPr>
          <w:rFonts w:hint="eastAsia" w:ascii="宋体" w:hAnsi="宋体" w:eastAsia="宋体" w:cs="宋体"/>
          <w:color w:val="auto"/>
          <w:sz w:val="21"/>
          <w:szCs w:val="21"/>
        </w:rPr>
        <w:t>果。</w:t>
      </w:r>
    </w:p>
    <w:p w14:paraId="2F3F0A48">
      <w:pPr>
        <w:spacing w:line="360" w:lineRule="auto"/>
        <w:ind w:firstLine="480"/>
        <w:jc w:val="both"/>
        <w:rPr>
          <w:rFonts w:hint="eastAsia" w:ascii="宋体" w:hAnsi="宋体" w:eastAsia="宋体" w:cs="宋体"/>
          <w:b/>
          <w:bCs/>
          <w:color w:val="auto"/>
          <w:spacing w:val="8"/>
          <w:sz w:val="21"/>
          <w:szCs w:val="21"/>
        </w:rPr>
      </w:pPr>
      <w:r>
        <w:rPr>
          <w:rFonts w:hint="eastAsia" w:ascii="宋体" w:hAnsi="宋体" w:eastAsia="宋体" w:cs="宋体"/>
          <w:b/>
          <w:bCs/>
          <w:color w:val="auto"/>
          <w:spacing w:val="8"/>
          <w:sz w:val="21"/>
          <w:szCs w:val="21"/>
        </w:rPr>
        <w:t>第二</w:t>
      </w:r>
      <w:r>
        <w:rPr>
          <w:rFonts w:hint="eastAsia" w:ascii="宋体" w:hAnsi="宋体" w:eastAsia="宋体" w:cs="宋体"/>
          <w:b/>
          <w:bCs/>
          <w:color w:val="auto"/>
          <w:spacing w:val="8"/>
          <w:sz w:val="21"/>
          <w:szCs w:val="21"/>
          <w:lang w:val="en-US" w:eastAsia="zh-CN"/>
        </w:rPr>
        <w:t>期</w:t>
      </w:r>
      <w:r>
        <w:rPr>
          <w:rFonts w:hint="eastAsia" w:ascii="宋体" w:hAnsi="宋体" w:eastAsia="宋体" w:cs="宋体"/>
          <w:b/>
          <w:bCs/>
          <w:color w:val="auto"/>
          <w:spacing w:val="8"/>
          <w:sz w:val="21"/>
          <w:szCs w:val="21"/>
        </w:rPr>
        <w:t>调查工作进度如下：</w:t>
      </w:r>
    </w:p>
    <w:p w14:paraId="4728E028">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2024年7月中旬前，完成下半年项目的启动工作。</w:t>
      </w:r>
    </w:p>
    <w:p w14:paraId="1D71F12A">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2024年12月下旬前，完成座谈会、深度模拟体验、暗访调查、问卷调查等发放和回收，审核、复核、编码、录入、整理和统计分析</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实施执行。</w:t>
      </w:r>
    </w:p>
    <w:p w14:paraId="2CBAAF09">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2025年1月下旬前，完成对座谈会、深度模拟体验材料收集梳理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核查和分析</w:t>
      </w:r>
      <w:r>
        <w:rPr>
          <w:rFonts w:hint="eastAsia" w:ascii="宋体" w:hAnsi="宋体" w:eastAsia="宋体" w:cs="宋体"/>
          <w:color w:val="auto"/>
          <w:sz w:val="21"/>
          <w:szCs w:val="21"/>
          <w:lang w:val="en-US" w:eastAsia="zh-CN"/>
        </w:rPr>
        <w:t>整合</w:t>
      </w:r>
      <w:r>
        <w:rPr>
          <w:rFonts w:hint="eastAsia" w:ascii="宋体" w:hAnsi="宋体" w:eastAsia="宋体" w:cs="宋体"/>
          <w:color w:val="auto"/>
          <w:sz w:val="21"/>
          <w:szCs w:val="21"/>
        </w:rPr>
        <w:t>。</w:t>
      </w:r>
    </w:p>
    <w:p w14:paraId="0AC247B5">
      <w:pP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2025年2月中旬前，</w:t>
      </w:r>
      <w:r>
        <w:rPr>
          <w:rFonts w:hint="eastAsia" w:ascii="宋体" w:hAnsi="宋体" w:eastAsia="宋体" w:cs="宋体"/>
          <w:color w:val="auto"/>
          <w:sz w:val="21"/>
          <w:szCs w:val="21"/>
          <w:lang w:val="en-US" w:eastAsia="zh-CN"/>
        </w:rPr>
        <w:t>按照国家通用统计法，结合专家评估，对各</w:t>
      </w:r>
      <w:r>
        <w:rPr>
          <w:rFonts w:hint="eastAsia" w:ascii="宋体" w:hAnsi="宋体" w:eastAsia="宋体" w:cs="宋体"/>
          <w:color w:val="auto"/>
          <w:sz w:val="21"/>
          <w:szCs w:val="21"/>
          <w:lang w:eastAsia="zh-CN"/>
        </w:rPr>
        <w:t>考评</w:t>
      </w:r>
      <w:r>
        <w:rPr>
          <w:rFonts w:hint="eastAsia" w:ascii="宋体" w:hAnsi="宋体" w:eastAsia="宋体" w:cs="宋体"/>
          <w:color w:val="auto"/>
          <w:sz w:val="21"/>
          <w:szCs w:val="21"/>
        </w:rPr>
        <w:t>对象的政务服务情况进行</w:t>
      </w:r>
      <w:r>
        <w:rPr>
          <w:rFonts w:hint="eastAsia" w:ascii="宋体" w:hAnsi="宋体" w:eastAsia="宋体" w:cs="宋体"/>
          <w:color w:val="auto"/>
          <w:sz w:val="21"/>
          <w:szCs w:val="21"/>
          <w:lang w:val="en-US" w:eastAsia="zh-CN"/>
        </w:rPr>
        <w:t>评分核实后作相应的</w:t>
      </w:r>
      <w:r>
        <w:rPr>
          <w:rFonts w:hint="eastAsia" w:ascii="宋体" w:hAnsi="宋体" w:eastAsia="宋体" w:cs="宋体"/>
          <w:color w:val="auto"/>
          <w:sz w:val="21"/>
          <w:szCs w:val="21"/>
        </w:rPr>
        <w:t>修改完善，提交</w:t>
      </w:r>
      <w:r>
        <w:rPr>
          <w:rFonts w:hint="eastAsia" w:ascii="宋体" w:hAnsi="宋体" w:eastAsia="宋体" w:cs="宋体"/>
          <w:color w:val="auto"/>
          <w:sz w:val="21"/>
          <w:szCs w:val="21"/>
          <w:lang w:val="en-US" w:eastAsia="zh-CN"/>
        </w:rPr>
        <w:t>下半年及年度</w:t>
      </w:r>
      <w:r>
        <w:rPr>
          <w:rFonts w:hint="eastAsia" w:ascii="宋体" w:hAnsi="宋体" w:eastAsia="宋体" w:cs="宋体"/>
          <w:color w:val="auto"/>
          <w:sz w:val="21"/>
          <w:szCs w:val="21"/>
        </w:rPr>
        <w:t>调查报告</w:t>
      </w:r>
      <w:r>
        <w:rPr>
          <w:rFonts w:hint="eastAsia" w:ascii="宋体" w:hAnsi="宋体" w:eastAsia="宋体" w:cs="宋体"/>
          <w:color w:val="auto"/>
          <w:sz w:val="21"/>
          <w:szCs w:val="21"/>
          <w:lang w:val="en-US" w:eastAsia="zh-CN"/>
        </w:rPr>
        <w:t>成果</w:t>
      </w:r>
      <w:r>
        <w:rPr>
          <w:rFonts w:hint="eastAsia" w:ascii="宋体" w:hAnsi="宋体" w:eastAsia="宋体" w:cs="宋体"/>
          <w:color w:val="auto"/>
          <w:sz w:val="21"/>
          <w:szCs w:val="21"/>
        </w:rPr>
        <w:t>。</w:t>
      </w:r>
    </w:p>
    <w:p w14:paraId="06795C3B">
      <w:pPr>
        <w:spacing w:line="360" w:lineRule="auto"/>
        <w:ind w:firstLine="48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驻点体验研究分析及运用</w:t>
      </w:r>
    </w:p>
    <w:p w14:paraId="09A43BE3">
      <w:pP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根据项目需要，委派2名研究工作人员在项目执行期间，与区政数局的工作时间一致，驻点区政数局协助有关处室的日常工作开展，以更好地对接和理解政务服务考评项目的工作决策意图，做好前期的调研工作；并通过驻点工作的方式，客观的对区政务服务工作存在的情况进行分析，提出改善措施。督促各职能部门对政务服务考评过程中</w:t>
      </w:r>
      <w:r>
        <w:rPr>
          <w:rFonts w:hint="eastAsia" w:ascii="宋体" w:hAnsi="宋体" w:eastAsia="宋体" w:cs="宋体"/>
          <w:color w:val="auto"/>
          <w:sz w:val="21"/>
          <w:szCs w:val="21"/>
          <w:lang w:val="en-US" w:eastAsia="zh-CN"/>
        </w:rPr>
        <w:t>存在</w:t>
      </w:r>
      <w:r>
        <w:rPr>
          <w:rFonts w:hint="eastAsia" w:ascii="宋体" w:hAnsi="宋体" w:eastAsia="宋体" w:cs="宋体"/>
          <w:color w:val="auto"/>
          <w:sz w:val="21"/>
          <w:szCs w:val="21"/>
        </w:rPr>
        <w:t>的问题进行</w:t>
      </w:r>
      <w:r>
        <w:rPr>
          <w:rFonts w:hint="eastAsia" w:ascii="宋体" w:hAnsi="宋体" w:eastAsia="宋体" w:cs="宋体"/>
          <w:color w:val="auto"/>
          <w:sz w:val="21"/>
          <w:szCs w:val="21"/>
          <w:lang w:val="en-US" w:eastAsia="zh-CN"/>
        </w:rPr>
        <w:t>立行</w:t>
      </w:r>
      <w:r>
        <w:rPr>
          <w:rFonts w:hint="eastAsia" w:ascii="宋体" w:hAnsi="宋体" w:eastAsia="宋体" w:cs="宋体"/>
          <w:color w:val="auto"/>
          <w:sz w:val="21"/>
          <w:szCs w:val="21"/>
        </w:rPr>
        <w:t>整改，并将整改</w:t>
      </w:r>
      <w:r>
        <w:rPr>
          <w:rFonts w:hint="eastAsia" w:ascii="宋体" w:hAnsi="宋体" w:eastAsia="宋体" w:cs="宋体"/>
          <w:color w:val="auto"/>
          <w:sz w:val="21"/>
          <w:szCs w:val="21"/>
          <w:lang w:val="en-US" w:eastAsia="zh-CN"/>
        </w:rPr>
        <w:t>落实工作情况</w:t>
      </w:r>
      <w:r>
        <w:rPr>
          <w:rFonts w:hint="eastAsia" w:ascii="宋体" w:hAnsi="宋体" w:eastAsia="宋体" w:cs="宋体"/>
          <w:color w:val="auto"/>
          <w:sz w:val="21"/>
          <w:szCs w:val="21"/>
        </w:rPr>
        <w:t>反馈区政数局。</w:t>
      </w:r>
    </w:p>
    <w:p w14:paraId="7D6672C2">
      <w:pPr>
        <w:spacing w:line="360" w:lineRule="auto"/>
        <w:ind w:firstLine="480"/>
        <w:jc w:val="both"/>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对标学习先进经验，擦亮南沙政务品牌</w:t>
      </w:r>
    </w:p>
    <w:p w14:paraId="7653E81C">
      <w:pPr>
        <w:spacing w:line="360" w:lineRule="auto"/>
        <w:ind w:firstLine="420" w:firstLineChars="200"/>
        <w:rPr>
          <w:rFonts w:hint="default" w:ascii="宋体" w:hAnsi="宋体" w:cs="仿宋_GB2312"/>
          <w:color w:val="auto"/>
          <w:szCs w:val="21"/>
          <w:highlight w:val="none"/>
          <w:lang w:val="en-US" w:eastAsia="zh-CN"/>
        </w:rPr>
      </w:pPr>
      <w:r>
        <w:rPr>
          <w:rFonts w:hint="eastAsia" w:ascii="宋体" w:hAnsi="宋体" w:eastAsia="宋体" w:cs="宋体"/>
          <w:color w:val="auto"/>
          <w:kern w:val="0"/>
          <w:sz w:val="21"/>
          <w:szCs w:val="21"/>
          <w:lang w:val="en-US" w:eastAsia="zh-CN"/>
        </w:rPr>
        <w:t>由</w:t>
      </w:r>
      <w:r>
        <w:rPr>
          <w:rFonts w:hint="eastAsia" w:ascii="宋体" w:hAnsi="宋体" w:cs="宋体"/>
          <w:color w:val="auto"/>
          <w:sz w:val="21"/>
          <w:szCs w:val="21"/>
          <w:lang w:val="en-US" w:eastAsia="zh-CN"/>
        </w:rPr>
        <w:t>乙方</w:t>
      </w:r>
      <w:r>
        <w:rPr>
          <w:rFonts w:hint="eastAsia" w:ascii="宋体" w:hAnsi="宋体" w:eastAsia="宋体" w:cs="宋体"/>
          <w:color w:val="auto"/>
          <w:kern w:val="0"/>
          <w:sz w:val="21"/>
          <w:szCs w:val="21"/>
          <w:lang w:val="en-US" w:eastAsia="zh-CN"/>
        </w:rPr>
        <w:t>统筹组织，</w:t>
      </w:r>
      <w:r>
        <w:rPr>
          <w:rFonts w:hint="eastAsia" w:ascii="宋体" w:hAnsi="宋体" w:eastAsia="宋体" w:cs="宋体"/>
          <w:color w:val="auto"/>
          <w:kern w:val="0"/>
          <w:sz w:val="21"/>
          <w:szCs w:val="21"/>
        </w:rPr>
        <w:t>以对标学习、查找差距为目的，组建</w:t>
      </w:r>
      <w:r>
        <w:rPr>
          <w:rFonts w:hint="eastAsia" w:ascii="宋体" w:hAnsi="宋体" w:eastAsia="宋体" w:cs="宋体"/>
          <w:color w:val="auto"/>
          <w:kern w:val="0"/>
          <w:sz w:val="21"/>
          <w:szCs w:val="21"/>
          <w:lang w:val="en-US" w:eastAsia="zh-CN"/>
        </w:rPr>
        <w:t>一次考评对象</w:t>
      </w:r>
      <w:r>
        <w:rPr>
          <w:rFonts w:hint="eastAsia" w:ascii="宋体" w:hAnsi="宋体" w:eastAsia="宋体" w:cs="宋体"/>
          <w:color w:val="auto"/>
          <w:kern w:val="0"/>
          <w:sz w:val="21"/>
          <w:szCs w:val="21"/>
        </w:rPr>
        <w:t>团队实地调研</w:t>
      </w:r>
      <w:r>
        <w:rPr>
          <w:rFonts w:hint="eastAsia" w:ascii="宋体" w:hAnsi="宋体" w:eastAsia="宋体" w:cs="宋体"/>
          <w:color w:val="auto"/>
          <w:kern w:val="0"/>
          <w:sz w:val="21"/>
          <w:szCs w:val="21"/>
          <w:lang w:val="en-US" w:eastAsia="zh-CN"/>
        </w:rPr>
        <w:t>别的区域或城市</w:t>
      </w:r>
      <w:r>
        <w:rPr>
          <w:rFonts w:hint="eastAsia" w:ascii="宋体" w:hAnsi="宋体" w:eastAsia="宋体" w:cs="宋体"/>
          <w:color w:val="auto"/>
          <w:kern w:val="0"/>
          <w:sz w:val="21"/>
          <w:szCs w:val="21"/>
        </w:rPr>
        <w:t>学习优化营商环境、政务服务改革经验做法和先进理念，</w:t>
      </w:r>
      <w:r>
        <w:rPr>
          <w:rFonts w:hint="eastAsia" w:ascii="宋体" w:hAnsi="宋体" w:eastAsia="宋体" w:cs="宋体"/>
          <w:color w:val="auto"/>
          <w:kern w:val="0"/>
          <w:sz w:val="21"/>
          <w:szCs w:val="21"/>
          <w:lang w:val="en-US" w:eastAsia="zh-CN"/>
        </w:rPr>
        <w:t>参考</w:t>
      </w:r>
      <w:r>
        <w:rPr>
          <w:rFonts w:hint="eastAsia" w:ascii="宋体" w:hAnsi="宋体" w:eastAsia="宋体" w:cs="宋体"/>
          <w:color w:val="auto"/>
          <w:kern w:val="0"/>
          <w:sz w:val="21"/>
          <w:szCs w:val="21"/>
        </w:rPr>
        <w:t>先进城市政务服务平台建设运营、</w:t>
      </w:r>
      <w:r>
        <w:rPr>
          <w:rFonts w:hint="eastAsia" w:ascii="宋体" w:hAnsi="宋体" w:eastAsia="宋体" w:cs="宋体"/>
          <w:color w:val="auto"/>
          <w:kern w:val="0"/>
          <w:sz w:val="21"/>
          <w:szCs w:val="21"/>
          <w:lang w:val="en-US" w:eastAsia="zh-CN"/>
        </w:rPr>
        <w:t>政务成效和特色亮点，分类梳理总结好经验。</w:t>
      </w:r>
      <w:r>
        <w:rPr>
          <w:rFonts w:hint="eastAsia" w:ascii="宋体" w:hAnsi="宋体" w:eastAsia="宋体" w:cs="宋体"/>
          <w:color w:val="auto"/>
          <w:kern w:val="0"/>
          <w:sz w:val="21"/>
          <w:szCs w:val="21"/>
        </w:rPr>
        <w:t>对标学习</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搜集整理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运用调研成果，形成可复制推广的南沙经验，为南沙政务服务工作提出更多新思路、新点子，推动南沙政务服务水平再上新台阶。</w:t>
      </w:r>
    </w:p>
    <w:p w14:paraId="69DD22AD">
      <w:pPr>
        <w:tabs>
          <w:tab w:val="left" w:pos="0"/>
          <w:tab w:val="left" w:pos="7920"/>
        </w:tabs>
        <w:spacing w:line="360" w:lineRule="auto"/>
        <w:rPr>
          <w:rFonts w:ascii="宋体" w:hAnsi="宋体"/>
          <w:b/>
          <w:bCs/>
          <w:color w:val="auto"/>
          <w:szCs w:val="21"/>
        </w:rPr>
      </w:pPr>
      <w:r>
        <w:rPr>
          <w:rFonts w:hint="eastAsia" w:ascii="宋体" w:hAnsi="宋体"/>
          <w:b/>
          <w:bCs/>
          <w:color w:val="auto"/>
          <w:szCs w:val="21"/>
        </w:rPr>
        <w:t xml:space="preserve">第五条 </w:t>
      </w:r>
      <w:r>
        <w:rPr>
          <w:rFonts w:hint="eastAsia" w:ascii="宋体" w:hAnsi="宋体" w:eastAsia="宋体" w:cs="宋体"/>
          <w:b/>
          <w:color w:val="auto"/>
          <w:sz w:val="21"/>
          <w:szCs w:val="21"/>
          <w:highlight w:val="none"/>
          <w:lang w:val="en-US" w:eastAsia="zh-CN"/>
        </w:rPr>
        <w:t>验收要求</w:t>
      </w:r>
    </w:p>
    <w:p w14:paraId="5B13BE2E">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（一）验收标准：完成项目所有工作的调研报告成果。 </w:t>
      </w:r>
    </w:p>
    <w:p w14:paraId="1FD94A8B">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（二）检查督导：</w:t>
      </w:r>
      <w:r>
        <w:rPr>
          <w:rFonts w:hint="eastAsia" w:ascii="宋体" w:hAnsi="宋体" w:cs="宋体"/>
          <w:color w:val="auto"/>
          <w:kern w:val="0"/>
          <w:sz w:val="21"/>
          <w:szCs w:val="21"/>
          <w:lang w:eastAsia="zh-CN"/>
        </w:rPr>
        <w:t>甲方</w:t>
      </w:r>
      <w:r>
        <w:rPr>
          <w:rFonts w:hint="eastAsia" w:ascii="宋体" w:hAnsi="宋体" w:eastAsia="宋体" w:cs="宋体"/>
          <w:color w:val="auto"/>
          <w:kern w:val="0"/>
          <w:sz w:val="21"/>
          <w:szCs w:val="21"/>
        </w:rPr>
        <w:t>对服务项目进行不定期检查和督导，各</w:t>
      </w:r>
      <w:r>
        <w:rPr>
          <w:rFonts w:hint="eastAsia" w:ascii="宋体" w:hAnsi="宋体" w:cs="宋体"/>
          <w:color w:val="auto"/>
          <w:kern w:val="0"/>
          <w:sz w:val="21"/>
          <w:szCs w:val="21"/>
          <w:lang w:eastAsia="zh-CN"/>
        </w:rPr>
        <w:t>乙方</w:t>
      </w:r>
      <w:r>
        <w:rPr>
          <w:rFonts w:hint="eastAsia" w:ascii="宋体" w:hAnsi="宋体" w:eastAsia="宋体" w:cs="宋体"/>
          <w:color w:val="auto"/>
          <w:kern w:val="0"/>
          <w:sz w:val="21"/>
          <w:szCs w:val="21"/>
        </w:rPr>
        <w:t>有义务按</w:t>
      </w:r>
      <w:r>
        <w:rPr>
          <w:rFonts w:hint="eastAsia" w:ascii="宋体" w:hAnsi="宋体" w:cs="宋体"/>
          <w:color w:val="auto"/>
          <w:kern w:val="0"/>
          <w:sz w:val="21"/>
          <w:szCs w:val="21"/>
          <w:lang w:eastAsia="zh-CN"/>
        </w:rPr>
        <w:t>甲方</w:t>
      </w:r>
      <w:r>
        <w:rPr>
          <w:rFonts w:hint="eastAsia" w:ascii="宋体" w:hAnsi="宋体" w:eastAsia="宋体" w:cs="宋体"/>
          <w:color w:val="auto"/>
          <w:kern w:val="0"/>
          <w:sz w:val="21"/>
          <w:szCs w:val="21"/>
        </w:rPr>
        <w:t xml:space="preserve">要求进行规范化作业。 </w:t>
      </w:r>
    </w:p>
    <w:p w14:paraId="27F54E5D">
      <w:pPr>
        <w:spacing w:line="360" w:lineRule="auto"/>
        <w:ind w:firstLine="48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（三）验收的时间和地点：工作调研报告成果工作完成后，由</w:t>
      </w:r>
      <w:r>
        <w:rPr>
          <w:rFonts w:hint="eastAsia" w:ascii="宋体" w:hAnsi="宋体" w:cs="宋体"/>
          <w:color w:val="auto"/>
          <w:kern w:val="0"/>
          <w:sz w:val="21"/>
          <w:szCs w:val="21"/>
          <w:lang w:eastAsia="zh-CN"/>
        </w:rPr>
        <w:t>乙方</w:t>
      </w:r>
      <w:r>
        <w:rPr>
          <w:rFonts w:hint="eastAsia" w:ascii="宋体" w:hAnsi="宋体" w:eastAsia="宋体" w:cs="宋体"/>
          <w:color w:val="auto"/>
          <w:kern w:val="0"/>
          <w:sz w:val="21"/>
          <w:szCs w:val="21"/>
        </w:rPr>
        <w:t xml:space="preserve">提出验收申请；地点为广州市。 </w:t>
      </w:r>
    </w:p>
    <w:p w14:paraId="16AE51D6">
      <w:pPr>
        <w:widowControl/>
        <w:spacing w:line="360" w:lineRule="auto"/>
        <w:ind w:firstLine="420" w:firstLineChars="200"/>
        <w:jc w:val="left"/>
        <w:rPr>
          <w:rFonts w:ascii="宋体" w:hAnsi="宋体"/>
          <w:bCs/>
          <w:color w:val="auto"/>
          <w:szCs w:val="21"/>
          <w:highlight w:val="none"/>
        </w:rPr>
      </w:pPr>
      <w:r>
        <w:rPr>
          <w:rFonts w:hint="eastAsia" w:ascii="宋体" w:hAnsi="宋体" w:eastAsia="宋体" w:cs="宋体"/>
          <w:color w:val="auto"/>
          <w:kern w:val="0"/>
          <w:sz w:val="21"/>
          <w:szCs w:val="21"/>
        </w:rPr>
        <w:t>（四）验收方法： 由</w:t>
      </w:r>
      <w:r>
        <w:rPr>
          <w:rFonts w:hint="eastAsia" w:ascii="宋体" w:hAnsi="宋体" w:cs="宋体"/>
          <w:color w:val="auto"/>
          <w:kern w:val="0"/>
          <w:sz w:val="21"/>
          <w:szCs w:val="21"/>
          <w:lang w:eastAsia="zh-CN"/>
        </w:rPr>
        <w:t>甲方</w:t>
      </w:r>
      <w:r>
        <w:rPr>
          <w:rFonts w:hint="eastAsia" w:ascii="宋体" w:hAnsi="宋体" w:eastAsia="宋体" w:cs="宋体"/>
          <w:color w:val="auto"/>
          <w:kern w:val="0"/>
          <w:sz w:val="21"/>
          <w:szCs w:val="21"/>
        </w:rPr>
        <w:t>按照国家有关法律法规和行业标准及</w:t>
      </w:r>
      <w:r>
        <w:rPr>
          <w:rFonts w:hint="eastAsia" w:ascii="宋体" w:hAnsi="宋体" w:cs="宋体"/>
          <w:color w:val="auto"/>
          <w:kern w:val="0"/>
          <w:sz w:val="21"/>
          <w:szCs w:val="21"/>
          <w:lang w:eastAsia="zh-CN"/>
        </w:rPr>
        <w:t>甲方</w:t>
      </w:r>
      <w:r>
        <w:rPr>
          <w:rFonts w:hint="eastAsia" w:ascii="宋体" w:hAnsi="宋体" w:eastAsia="宋体" w:cs="宋体"/>
          <w:color w:val="auto"/>
          <w:kern w:val="0"/>
          <w:sz w:val="21"/>
          <w:szCs w:val="21"/>
        </w:rPr>
        <w:t>相关管理办法组织进行审核验收，验收合格后出具验收意见书，不合格由</w:t>
      </w:r>
      <w:r>
        <w:rPr>
          <w:rFonts w:hint="eastAsia" w:ascii="宋体" w:hAnsi="宋体" w:cs="宋体"/>
          <w:color w:val="auto"/>
          <w:kern w:val="0"/>
          <w:sz w:val="21"/>
          <w:szCs w:val="21"/>
          <w:lang w:eastAsia="zh-CN"/>
        </w:rPr>
        <w:t>乙方</w:t>
      </w:r>
      <w:r>
        <w:rPr>
          <w:rFonts w:hint="eastAsia" w:ascii="宋体" w:hAnsi="宋体" w:eastAsia="宋体" w:cs="宋体"/>
          <w:color w:val="auto"/>
          <w:kern w:val="0"/>
          <w:sz w:val="21"/>
          <w:szCs w:val="21"/>
        </w:rPr>
        <w:t>进行整改，整改后再申请验收。</w:t>
      </w:r>
    </w:p>
    <w:p w14:paraId="682C4755">
      <w:pPr>
        <w:tabs>
          <w:tab w:val="left" w:pos="0"/>
          <w:tab w:val="left" w:pos="7920"/>
        </w:tabs>
        <w:spacing w:line="360" w:lineRule="auto"/>
        <w:rPr>
          <w:rFonts w:ascii="宋体" w:hAnsi="宋体"/>
          <w:b/>
          <w:bCs/>
          <w:color w:val="auto"/>
          <w:szCs w:val="21"/>
        </w:rPr>
      </w:pPr>
      <w:r>
        <w:rPr>
          <w:rFonts w:hint="eastAsia" w:ascii="宋体" w:hAnsi="宋体"/>
          <w:b/>
          <w:bCs/>
          <w:color w:val="auto"/>
          <w:szCs w:val="21"/>
        </w:rPr>
        <w:t>第</w:t>
      </w:r>
      <w:r>
        <w:rPr>
          <w:rFonts w:hint="eastAsia" w:ascii="宋体" w:hAnsi="宋体"/>
          <w:b/>
          <w:bCs/>
          <w:color w:val="auto"/>
          <w:szCs w:val="21"/>
          <w:lang w:val="en-US" w:eastAsia="zh-CN"/>
        </w:rPr>
        <w:t>六</w:t>
      </w:r>
      <w:r>
        <w:rPr>
          <w:rFonts w:hint="eastAsia" w:ascii="宋体" w:hAnsi="宋体"/>
          <w:b/>
          <w:bCs/>
          <w:color w:val="auto"/>
          <w:szCs w:val="21"/>
        </w:rPr>
        <w:t>条 付款方式</w:t>
      </w:r>
    </w:p>
    <w:p w14:paraId="6806A82C">
      <w:pPr>
        <w:widowControl/>
        <w:spacing w:line="360" w:lineRule="auto"/>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1期：支付比例30%,在签订合同的15个工作日内，</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提供正式发票后</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5个工作日内申请支付</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合同总费用的30%作为启动资金；</w:t>
      </w:r>
    </w:p>
    <w:p w14:paraId="2B8A9B49">
      <w:pPr>
        <w:widowControl/>
        <w:spacing w:line="360" w:lineRule="auto"/>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2期：支付比例30%,在合同生效8个月后，</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提供正式发票后</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5个工作日内申请支付</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合同总费用的30%作为项目款项；</w:t>
      </w:r>
    </w:p>
    <w:p w14:paraId="14439BBE">
      <w:pPr>
        <w:widowControl/>
        <w:spacing w:line="360" w:lineRule="auto"/>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3期：支付比例40%,</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提交下半年度工作调研报告成果，</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对该项目工作报告成果验收合格后，</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提供正式发票后</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 xml:space="preserve">5个工作日内申请支付合同总费用的40%剩余款项。 </w:t>
      </w:r>
    </w:p>
    <w:p w14:paraId="0504ADC3">
      <w:pPr>
        <w:widowControl/>
        <w:spacing w:line="360" w:lineRule="auto"/>
        <w:ind w:firstLine="420" w:firstLineChars="2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凭以下有效文件与</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结算： 1.合同； 2.</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 xml:space="preserve">开具的正式发票； 3.成交通知书； 4.其他证明材料。 </w:t>
      </w:r>
    </w:p>
    <w:p w14:paraId="70AC7568">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（二）因</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使用的是财政资金，</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在前款规定的付款时间为向政府采购支付部门提出办理财政支付申请手续的时间（不含政府财政支付部门审核的时间），在规定时间内提出支付申请手续后即视为采购人已经按期支付。</w:t>
      </w:r>
    </w:p>
    <w:bookmarkEnd w:id="248"/>
    <w:bookmarkEnd w:id="249"/>
    <w:bookmarkEnd w:id="250"/>
    <w:bookmarkEnd w:id="251"/>
    <w:p w14:paraId="044DAF20">
      <w:pPr>
        <w:tabs>
          <w:tab w:val="left" w:pos="0"/>
          <w:tab w:val="left" w:pos="426"/>
          <w:tab w:val="left" w:pos="7920"/>
        </w:tabs>
        <w:spacing w:line="360" w:lineRule="auto"/>
        <w:rPr>
          <w:rFonts w:ascii="宋体" w:hAnsi="宋体"/>
          <w:b/>
          <w:bCs/>
          <w:color w:val="auto"/>
          <w:szCs w:val="21"/>
        </w:rPr>
      </w:pPr>
      <w:r>
        <w:rPr>
          <w:rFonts w:ascii="宋体" w:hAnsi="宋体"/>
          <w:b/>
          <w:bCs/>
          <w:color w:val="auto"/>
          <w:szCs w:val="21"/>
        </w:rPr>
        <w:t>第</w:t>
      </w:r>
      <w:r>
        <w:rPr>
          <w:rFonts w:hint="eastAsia" w:ascii="宋体" w:hAnsi="宋体"/>
          <w:b/>
          <w:bCs/>
          <w:color w:val="auto"/>
          <w:szCs w:val="21"/>
          <w:lang w:val="en-US" w:eastAsia="zh-CN"/>
        </w:rPr>
        <w:t>七</w:t>
      </w:r>
      <w:r>
        <w:rPr>
          <w:rFonts w:ascii="宋体" w:hAnsi="宋体"/>
          <w:b/>
          <w:bCs/>
          <w:color w:val="auto"/>
          <w:szCs w:val="21"/>
        </w:rPr>
        <w:t>条</w:t>
      </w:r>
      <w:r>
        <w:rPr>
          <w:rFonts w:hint="eastAsia" w:ascii="宋体" w:hAnsi="宋体"/>
          <w:b/>
          <w:bCs/>
          <w:color w:val="auto"/>
          <w:szCs w:val="21"/>
        </w:rPr>
        <w:t xml:space="preserve">  违约责任</w:t>
      </w:r>
    </w:p>
    <w:p w14:paraId="7F146C88">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w:t>
      </w:r>
      <w:r>
        <w:rPr>
          <w:rFonts w:asciiTheme="majorEastAsia" w:hAnsiTheme="majorEastAsia" w:eastAsiaTheme="majorEastAsia" w:cstheme="majorEastAsia"/>
          <w:color w:val="auto"/>
          <w:highlight w:val="none"/>
        </w:rPr>
        <w:t>在合同存续期间因</w:t>
      </w:r>
      <w:r>
        <w:rPr>
          <w:rFonts w:hint="eastAsia" w:asciiTheme="majorEastAsia" w:hAnsiTheme="majorEastAsia" w:eastAsiaTheme="majorEastAsia" w:cstheme="majorEastAsia"/>
          <w:color w:val="auto"/>
          <w:highlight w:val="none"/>
          <w:lang w:eastAsia="zh-CN"/>
        </w:rPr>
        <w:t>乙方</w:t>
      </w:r>
      <w:r>
        <w:rPr>
          <w:rFonts w:asciiTheme="majorEastAsia" w:hAnsiTheme="majorEastAsia" w:eastAsiaTheme="majorEastAsia" w:cstheme="majorEastAsia"/>
          <w:color w:val="auto"/>
          <w:highlight w:val="none"/>
        </w:rPr>
        <w:t>原因未及时响应</w:t>
      </w:r>
      <w:r>
        <w:rPr>
          <w:rFonts w:hint="eastAsia" w:asciiTheme="majorEastAsia" w:hAnsiTheme="majorEastAsia" w:eastAsiaTheme="majorEastAsia" w:cstheme="majorEastAsia"/>
          <w:color w:val="auto"/>
          <w:highlight w:val="none"/>
          <w:lang w:eastAsia="zh-CN"/>
        </w:rPr>
        <w:t>甲方</w:t>
      </w:r>
      <w:r>
        <w:rPr>
          <w:rFonts w:asciiTheme="majorEastAsia" w:hAnsiTheme="majorEastAsia" w:eastAsiaTheme="majorEastAsia" w:cstheme="majorEastAsia"/>
          <w:color w:val="auto"/>
          <w:highlight w:val="none"/>
        </w:rPr>
        <w:t>服务要求，每次按合同总价</w:t>
      </w:r>
      <w:r>
        <w:rPr>
          <w:rFonts w:hint="eastAsia" w:asciiTheme="majorEastAsia" w:hAnsiTheme="majorEastAsia" w:eastAsiaTheme="majorEastAsia" w:cstheme="majorEastAsia"/>
          <w:color w:val="auto"/>
          <w:highlight w:val="none"/>
          <w:lang w:val="en-US" w:eastAsia="zh-CN"/>
        </w:rPr>
        <w:t>3</w:t>
      </w:r>
      <w:r>
        <w:rPr>
          <w:rFonts w:asciiTheme="majorEastAsia" w:hAnsiTheme="majorEastAsia" w:eastAsiaTheme="majorEastAsia" w:cstheme="majorEastAsia"/>
          <w:color w:val="auto"/>
          <w:highlight w:val="none"/>
        </w:rPr>
        <w:t>%扣除应付款。</w:t>
      </w:r>
    </w:p>
    <w:p w14:paraId="2A6DD2D8">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w:t>
      </w:r>
      <w:r>
        <w:rPr>
          <w:rFonts w:asciiTheme="majorEastAsia" w:hAnsiTheme="majorEastAsia" w:eastAsiaTheme="majorEastAsia" w:cstheme="majorEastAsia"/>
          <w:color w:val="auto"/>
          <w:highlight w:val="none"/>
        </w:rPr>
        <w:t>因</w:t>
      </w:r>
      <w:r>
        <w:rPr>
          <w:rFonts w:hint="eastAsia" w:asciiTheme="majorEastAsia" w:hAnsiTheme="majorEastAsia" w:eastAsiaTheme="majorEastAsia" w:cstheme="majorEastAsia"/>
          <w:color w:val="auto"/>
          <w:highlight w:val="none"/>
        </w:rPr>
        <w:t>单方</w:t>
      </w:r>
      <w:r>
        <w:rPr>
          <w:rFonts w:asciiTheme="majorEastAsia" w:hAnsiTheme="majorEastAsia" w:eastAsiaTheme="majorEastAsia" w:cstheme="majorEastAsia"/>
          <w:color w:val="auto"/>
          <w:highlight w:val="none"/>
        </w:rPr>
        <w:t>变更或解除合同，责任方应向对方支付</w:t>
      </w:r>
      <w:r>
        <w:rPr>
          <w:rFonts w:hint="eastAsia" w:asciiTheme="majorEastAsia" w:hAnsiTheme="majorEastAsia" w:eastAsiaTheme="majorEastAsia" w:cstheme="majorEastAsia"/>
          <w:color w:val="auto"/>
          <w:highlight w:val="none"/>
        </w:rPr>
        <w:t>合同总价</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%的</w:t>
      </w:r>
      <w:r>
        <w:rPr>
          <w:rFonts w:asciiTheme="majorEastAsia" w:hAnsiTheme="majorEastAsia" w:eastAsiaTheme="majorEastAsia" w:cstheme="majorEastAsia"/>
          <w:color w:val="auto"/>
          <w:highlight w:val="none"/>
        </w:rPr>
        <w:t>违约金</w:t>
      </w:r>
      <w:r>
        <w:rPr>
          <w:rFonts w:hint="eastAsia" w:asciiTheme="majorEastAsia" w:hAnsiTheme="majorEastAsia" w:eastAsiaTheme="majorEastAsia" w:cstheme="majorEastAsia"/>
          <w:color w:val="auto"/>
          <w:highlight w:val="none"/>
        </w:rPr>
        <w:t>并承担由此导致的守约方全部损失</w:t>
      </w:r>
      <w:r>
        <w:rPr>
          <w:rFonts w:asciiTheme="majorEastAsia" w:hAnsiTheme="majorEastAsia" w:eastAsiaTheme="majorEastAsia" w:cstheme="majorEastAsia"/>
          <w:color w:val="auto"/>
          <w:highlight w:val="none"/>
        </w:rPr>
        <w:t>。</w:t>
      </w:r>
    </w:p>
    <w:p w14:paraId="61A17ECB">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w:t>
      </w:r>
      <w:r>
        <w:rPr>
          <w:rFonts w:hint="eastAsia" w:asciiTheme="majorEastAsia" w:hAnsiTheme="majorEastAsia" w:eastAsiaTheme="majorEastAsia" w:cstheme="majorEastAsia"/>
          <w:color w:val="auto"/>
          <w:highlight w:val="none"/>
          <w:lang w:eastAsia="zh-CN"/>
        </w:rPr>
        <w:t>乙方</w:t>
      </w:r>
      <w:r>
        <w:rPr>
          <w:rFonts w:asciiTheme="majorEastAsia" w:hAnsiTheme="majorEastAsia" w:eastAsiaTheme="majorEastAsia" w:cstheme="majorEastAsia"/>
          <w:color w:val="auto"/>
          <w:highlight w:val="none"/>
        </w:rPr>
        <w:t>出现以下行为之一时，</w:t>
      </w:r>
      <w:r>
        <w:rPr>
          <w:rFonts w:hint="eastAsia" w:asciiTheme="majorEastAsia" w:hAnsiTheme="majorEastAsia" w:eastAsiaTheme="majorEastAsia" w:cstheme="majorEastAsia"/>
          <w:color w:val="auto"/>
          <w:highlight w:val="none"/>
          <w:lang w:eastAsia="zh-CN"/>
        </w:rPr>
        <w:t>甲方</w:t>
      </w:r>
      <w:r>
        <w:rPr>
          <w:rFonts w:asciiTheme="majorEastAsia" w:hAnsiTheme="majorEastAsia" w:eastAsiaTheme="majorEastAsia" w:cstheme="majorEastAsia"/>
          <w:color w:val="auto"/>
          <w:highlight w:val="none"/>
        </w:rPr>
        <w:t>有权单方面终止合同，</w:t>
      </w:r>
      <w:r>
        <w:rPr>
          <w:rFonts w:hint="eastAsia" w:asciiTheme="majorEastAsia" w:hAnsiTheme="majorEastAsia" w:eastAsiaTheme="majorEastAsia" w:cstheme="majorEastAsia"/>
          <w:color w:val="auto"/>
          <w:highlight w:val="none"/>
          <w:lang w:eastAsia="zh-CN"/>
        </w:rPr>
        <w:t>乙方</w:t>
      </w:r>
      <w:r>
        <w:rPr>
          <w:rFonts w:asciiTheme="majorEastAsia" w:hAnsiTheme="majorEastAsia" w:eastAsiaTheme="majorEastAsia" w:cstheme="majorEastAsia"/>
          <w:color w:val="auto"/>
          <w:highlight w:val="none"/>
        </w:rPr>
        <w:t>应退还已收费用并</w:t>
      </w:r>
      <w:r>
        <w:rPr>
          <w:rFonts w:hint="eastAsia" w:asciiTheme="majorEastAsia" w:hAnsiTheme="majorEastAsia" w:eastAsiaTheme="majorEastAsia" w:cstheme="majorEastAsia"/>
          <w:color w:val="auto"/>
          <w:highlight w:val="none"/>
        </w:rPr>
        <w:t>向</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支付合同总价</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%的</w:t>
      </w:r>
      <w:r>
        <w:rPr>
          <w:rFonts w:asciiTheme="majorEastAsia" w:hAnsiTheme="majorEastAsia" w:eastAsiaTheme="majorEastAsia" w:cstheme="majorEastAsia"/>
          <w:color w:val="auto"/>
          <w:highlight w:val="none"/>
        </w:rPr>
        <w:t>违约金：</w:t>
      </w:r>
    </w:p>
    <w:p w14:paraId="3BD44FAD">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r>
        <w:rPr>
          <w:rFonts w:asciiTheme="majorEastAsia" w:hAnsiTheme="majorEastAsia" w:eastAsiaTheme="majorEastAsia" w:cstheme="majorEastAsia"/>
          <w:color w:val="auto"/>
          <w:highlight w:val="none"/>
        </w:rPr>
        <w:t>未达到合同及附件要求中的任一项工作要求的；</w:t>
      </w:r>
    </w:p>
    <w:p w14:paraId="5EB91CA0">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r>
        <w:rPr>
          <w:rFonts w:asciiTheme="majorEastAsia" w:hAnsiTheme="majorEastAsia" w:eastAsiaTheme="majorEastAsia" w:cstheme="majorEastAsia"/>
          <w:color w:val="auto"/>
          <w:highlight w:val="none"/>
        </w:rPr>
        <w:t>在项目实施过程中，如</w:t>
      </w:r>
      <w:r>
        <w:rPr>
          <w:rFonts w:hint="eastAsia" w:asciiTheme="majorEastAsia" w:hAnsiTheme="majorEastAsia" w:eastAsiaTheme="majorEastAsia" w:cstheme="majorEastAsia"/>
          <w:color w:val="auto"/>
          <w:highlight w:val="none"/>
          <w:lang w:eastAsia="zh-CN"/>
        </w:rPr>
        <w:t>甲方</w:t>
      </w:r>
      <w:r>
        <w:rPr>
          <w:rFonts w:asciiTheme="majorEastAsia" w:hAnsiTheme="majorEastAsia" w:eastAsiaTheme="majorEastAsia" w:cstheme="majorEastAsia"/>
          <w:color w:val="auto"/>
          <w:highlight w:val="none"/>
        </w:rPr>
        <w:t>发现</w:t>
      </w:r>
      <w:r>
        <w:rPr>
          <w:rFonts w:hint="eastAsia" w:asciiTheme="majorEastAsia" w:hAnsiTheme="majorEastAsia" w:eastAsiaTheme="majorEastAsia" w:cstheme="majorEastAsia"/>
          <w:color w:val="auto"/>
          <w:highlight w:val="none"/>
          <w:lang w:eastAsia="zh-CN"/>
        </w:rPr>
        <w:t>乙方</w:t>
      </w:r>
      <w:r>
        <w:rPr>
          <w:rFonts w:asciiTheme="majorEastAsia" w:hAnsiTheme="majorEastAsia" w:eastAsiaTheme="majorEastAsia" w:cstheme="majorEastAsia"/>
          <w:color w:val="auto"/>
          <w:highlight w:val="none"/>
        </w:rPr>
        <w:t>的工作人员没有依时完成合约规定任务或服务质量达不到要求的，或经</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2</w:t>
      </w:r>
      <w:r>
        <w:rPr>
          <w:rFonts w:asciiTheme="majorEastAsia" w:hAnsiTheme="majorEastAsia" w:eastAsiaTheme="majorEastAsia" w:cstheme="majorEastAsia"/>
          <w:color w:val="auto"/>
          <w:highlight w:val="none"/>
        </w:rPr>
        <w:t>次提出书面整改意见后仍无改进的；</w:t>
      </w:r>
    </w:p>
    <w:p w14:paraId="41D63975">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asciiTheme="majorEastAsia" w:hAnsiTheme="majorEastAsia" w:eastAsiaTheme="majorEastAsia" w:cstheme="majorEastAsia"/>
          <w:color w:val="auto"/>
          <w:highlight w:val="none"/>
        </w:rPr>
        <w:t>项目成果验收不合格且不能按要求进行整改，或整改后仍不能达到要求的。</w:t>
      </w:r>
    </w:p>
    <w:p w14:paraId="7015912E">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r>
        <w:rPr>
          <w:rFonts w:hint="eastAsia" w:asciiTheme="majorEastAsia" w:hAnsiTheme="majorEastAsia" w:eastAsiaTheme="majorEastAsia" w:cstheme="majorEastAsia"/>
          <w:color w:val="auto"/>
          <w:highlight w:val="none"/>
          <w:lang w:eastAsia="zh-CN"/>
        </w:rPr>
        <w:t>乙方</w:t>
      </w:r>
      <w:r>
        <w:rPr>
          <w:rFonts w:asciiTheme="majorEastAsia" w:hAnsiTheme="majorEastAsia" w:eastAsiaTheme="majorEastAsia" w:cstheme="majorEastAsia"/>
          <w:color w:val="auto"/>
          <w:highlight w:val="none"/>
        </w:rPr>
        <w:t>在履行合同过程中应按照国家法律规定及时支付劳动报酬，如出现劳资纠纷影响</w:t>
      </w:r>
      <w:r>
        <w:rPr>
          <w:rFonts w:hint="eastAsia" w:asciiTheme="majorEastAsia" w:hAnsiTheme="majorEastAsia" w:eastAsiaTheme="majorEastAsia" w:cstheme="majorEastAsia"/>
          <w:color w:val="auto"/>
          <w:highlight w:val="none"/>
          <w:lang w:eastAsia="zh-CN"/>
        </w:rPr>
        <w:t>甲方</w:t>
      </w:r>
      <w:r>
        <w:rPr>
          <w:rFonts w:asciiTheme="majorEastAsia" w:hAnsiTheme="majorEastAsia" w:eastAsiaTheme="majorEastAsia" w:cstheme="majorEastAsia"/>
          <w:color w:val="auto"/>
          <w:highlight w:val="none"/>
        </w:rPr>
        <w:t>经营或名誉的；</w:t>
      </w:r>
    </w:p>
    <w:p w14:paraId="6B0BE89A">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rPr>
        <w:t>将项目分包或转包给任何单位和个人。</w:t>
      </w:r>
    </w:p>
    <w:p w14:paraId="2C64083B">
      <w:pPr>
        <w:widowControl/>
        <w:spacing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（四）本条款所述</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全部损失，包括但不限于</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因涉诉或主张权利支出的诉讼费、律师费、财产保全费、财产保全担保费、鉴定费、公证费、差旅费等。</w:t>
      </w:r>
    </w:p>
    <w:p w14:paraId="61A97983">
      <w:pPr>
        <w:widowControl/>
        <w:spacing w:line="360" w:lineRule="auto"/>
        <w:ind w:firstLine="420" w:firstLineChars="200"/>
        <w:jc w:val="left"/>
        <w:rPr>
          <w:rFonts w:hAnsi="宋体"/>
          <w:color w:val="auto"/>
          <w:szCs w:val="21"/>
        </w:rPr>
      </w:pPr>
      <w:r>
        <w:rPr>
          <w:rFonts w:hint="eastAsia" w:asciiTheme="majorEastAsia" w:hAnsiTheme="majorEastAsia" w:eastAsiaTheme="majorEastAsia" w:cstheme="majorEastAsia"/>
          <w:color w:val="auto"/>
          <w:highlight w:val="none"/>
        </w:rPr>
        <w:t>(五）因政府上级文件要求或执行相关政策等原因</w:t>
      </w:r>
      <w:r>
        <w:rPr>
          <w:rFonts w:hint="eastAsia" w:asciiTheme="majorEastAsia" w:hAnsiTheme="majorEastAsia" w:eastAsiaTheme="majorEastAsia" w:cstheme="majorEastAsia"/>
          <w:color w:val="auto"/>
          <w:highlight w:val="none"/>
          <w:lang w:val="en-US" w:eastAsia="zh-CN"/>
        </w:rPr>
        <w:t>变更合同或</w:t>
      </w:r>
      <w:r>
        <w:rPr>
          <w:rFonts w:hint="eastAsia" w:asciiTheme="majorEastAsia" w:hAnsiTheme="majorEastAsia" w:eastAsiaTheme="majorEastAsia" w:cstheme="majorEastAsia"/>
          <w:color w:val="auto"/>
          <w:highlight w:val="none"/>
        </w:rPr>
        <w:t>造成项目终止的，由</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发文通知</w:t>
      </w:r>
      <w:r>
        <w:rPr>
          <w:rFonts w:hint="eastAsia" w:asciiTheme="majorEastAsia" w:hAnsiTheme="majorEastAsia" w:eastAsiaTheme="majorEastAsia" w:cstheme="majorEastAsia"/>
          <w:color w:val="auto"/>
          <w:highlight w:val="none"/>
          <w:lang w:eastAsia="zh-CN"/>
        </w:rPr>
        <w:t>乙方</w:t>
      </w:r>
      <w:r>
        <w:rPr>
          <w:rFonts w:hint="eastAsia" w:asciiTheme="majorEastAsia" w:hAnsiTheme="majorEastAsia" w:eastAsiaTheme="majorEastAsia" w:cstheme="majorEastAsia"/>
          <w:color w:val="auto"/>
          <w:highlight w:val="none"/>
          <w:lang w:val="en-US" w:eastAsia="zh-CN"/>
        </w:rPr>
        <w:t>变更或</w:t>
      </w:r>
      <w:r>
        <w:rPr>
          <w:rFonts w:hint="eastAsia" w:asciiTheme="majorEastAsia" w:hAnsiTheme="majorEastAsia" w:eastAsiaTheme="majorEastAsia" w:cstheme="majorEastAsia"/>
          <w:color w:val="auto"/>
          <w:highlight w:val="none"/>
        </w:rPr>
        <w:t>终止本合同，</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对此不承担任何责任。</w:t>
      </w:r>
      <w:r>
        <w:rPr>
          <w:rFonts w:hint="eastAsia" w:asciiTheme="majorEastAsia" w:hAnsiTheme="majorEastAsia" w:eastAsiaTheme="majorEastAsia" w:cstheme="majorEastAsia"/>
          <w:color w:val="auto"/>
          <w:highlight w:val="none"/>
          <w:lang w:val="en-US" w:eastAsia="zh-CN"/>
        </w:rPr>
        <w:t>如项目终止的，</w:t>
      </w:r>
      <w:r>
        <w:rPr>
          <w:rFonts w:hint="eastAsia" w:asciiTheme="majorEastAsia" w:hAnsiTheme="majorEastAsia" w:eastAsiaTheme="majorEastAsia" w:cstheme="majorEastAsia"/>
          <w:color w:val="auto"/>
          <w:highlight w:val="none"/>
        </w:rPr>
        <w:t>自</w:t>
      </w:r>
      <w:r>
        <w:rPr>
          <w:rFonts w:hint="eastAsia" w:asciiTheme="majorEastAsia" w:hAnsiTheme="majorEastAsia" w:eastAsiaTheme="majorEastAsia" w:cstheme="majorEastAsia"/>
          <w:color w:val="auto"/>
          <w:highlight w:val="none"/>
          <w:lang w:eastAsia="zh-CN"/>
        </w:rPr>
        <w:t>甲方</w:t>
      </w:r>
      <w:r>
        <w:rPr>
          <w:rFonts w:hint="eastAsia" w:asciiTheme="majorEastAsia" w:hAnsiTheme="majorEastAsia" w:eastAsiaTheme="majorEastAsia" w:cstheme="majorEastAsia"/>
          <w:color w:val="auto"/>
          <w:highlight w:val="none"/>
        </w:rPr>
        <w:t>发文终止项目之日起，</w:t>
      </w:r>
      <w:r>
        <w:rPr>
          <w:rFonts w:asciiTheme="majorEastAsia" w:hAnsiTheme="majorEastAsia" w:eastAsiaTheme="majorEastAsia" w:cstheme="majorEastAsia"/>
          <w:color w:val="auto"/>
          <w:highlight w:val="none"/>
        </w:rPr>
        <w:t>根据</w:t>
      </w:r>
      <w:r>
        <w:rPr>
          <w:rFonts w:hint="eastAsia" w:asciiTheme="majorEastAsia" w:hAnsiTheme="majorEastAsia" w:eastAsiaTheme="majorEastAsia" w:cstheme="majorEastAsia"/>
          <w:color w:val="auto"/>
          <w:highlight w:val="none"/>
          <w:lang w:eastAsia="zh-CN"/>
        </w:rPr>
        <w:t>乙方</w:t>
      </w:r>
      <w:r>
        <w:rPr>
          <w:rFonts w:asciiTheme="majorEastAsia" w:hAnsiTheme="majorEastAsia" w:eastAsiaTheme="majorEastAsia" w:cstheme="majorEastAsia"/>
          <w:color w:val="auto"/>
          <w:highlight w:val="none"/>
        </w:rPr>
        <w:t>实际已完成的工作量支付服务费。</w:t>
      </w:r>
    </w:p>
    <w:p w14:paraId="6EFC6AF9">
      <w:pPr>
        <w:tabs>
          <w:tab w:val="left" w:pos="0"/>
          <w:tab w:val="left" w:pos="426"/>
          <w:tab w:val="left" w:pos="7920"/>
        </w:tabs>
        <w:spacing w:line="360" w:lineRule="auto"/>
        <w:rPr>
          <w:rFonts w:ascii="宋体" w:hAnsi="宋体"/>
          <w:b/>
          <w:bCs/>
          <w:color w:val="auto"/>
          <w:szCs w:val="21"/>
        </w:rPr>
      </w:pPr>
      <w:r>
        <w:rPr>
          <w:rFonts w:ascii="宋体" w:hAnsi="宋体"/>
          <w:b/>
          <w:bCs/>
          <w:color w:val="auto"/>
          <w:szCs w:val="21"/>
        </w:rPr>
        <w:t>第</w:t>
      </w:r>
      <w:r>
        <w:rPr>
          <w:rFonts w:hint="eastAsia" w:ascii="宋体" w:hAnsi="宋体"/>
          <w:b/>
          <w:bCs/>
          <w:color w:val="auto"/>
          <w:szCs w:val="21"/>
          <w:lang w:val="en-US" w:eastAsia="zh-CN"/>
        </w:rPr>
        <w:t>八</w:t>
      </w:r>
      <w:r>
        <w:rPr>
          <w:rFonts w:ascii="宋体" w:hAnsi="宋体"/>
          <w:b/>
          <w:bCs/>
          <w:color w:val="auto"/>
          <w:szCs w:val="21"/>
        </w:rPr>
        <w:t>条</w:t>
      </w:r>
      <w:r>
        <w:rPr>
          <w:rFonts w:hint="eastAsia" w:ascii="宋体" w:hAnsi="宋体"/>
          <w:b/>
          <w:bCs/>
          <w:color w:val="auto"/>
          <w:szCs w:val="21"/>
        </w:rPr>
        <w:t xml:space="preserve">  </w:t>
      </w:r>
      <w:r>
        <w:rPr>
          <w:rFonts w:ascii="宋体" w:hAnsi="宋体"/>
          <w:b/>
          <w:bCs/>
          <w:color w:val="auto"/>
          <w:szCs w:val="21"/>
        </w:rPr>
        <w:t>争</w:t>
      </w:r>
      <w:r>
        <w:rPr>
          <w:rFonts w:hint="eastAsia" w:ascii="宋体" w:hAnsi="宋体"/>
          <w:b/>
          <w:bCs/>
          <w:color w:val="auto"/>
          <w:szCs w:val="21"/>
        </w:rPr>
        <w:t>议</w:t>
      </w:r>
      <w:r>
        <w:rPr>
          <w:rFonts w:ascii="宋体" w:hAnsi="宋体"/>
          <w:b/>
          <w:bCs/>
          <w:color w:val="auto"/>
          <w:szCs w:val="21"/>
        </w:rPr>
        <w:t>的解决</w:t>
      </w:r>
    </w:p>
    <w:p w14:paraId="3133FFA6">
      <w:pPr>
        <w:spacing w:line="360" w:lineRule="auto"/>
        <w:ind w:firstLine="420" w:firstLineChars="200"/>
        <w:rPr>
          <w:rFonts w:ascii="宋体" w:hAnsi="宋体"/>
          <w:color w:val="auto"/>
          <w:szCs w:val="21"/>
        </w:rPr>
      </w:pPr>
      <w:r>
        <w:rPr>
          <w:rFonts w:ascii="宋体" w:hAnsi="宋体"/>
          <w:color w:val="auto"/>
          <w:szCs w:val="21"/>
        </w:rPr>
        <w:t>合同执行过程中发生的任何争议，如双方不能通过友好协商解决，甲、乙双方一致同意向甲方</w:t>
      </w:r>
      <w:r>
        <w:rPr>
          <w:rFonts w:hint="eastAsia" w:ascii="宋体" w:hAnsi="宋体"/>
          <w:color w:val="auto"/>
          <w:szCs w:val="21"/>
        </w:rPr>
        <w:t>住所地</w:t>
      </w:r>
      <w:r>
        <w:rPr>
          <w:rFonts w:ascii="宋体" w:hAnsi="宋体"/>
          <w:color w:val="auto"/>
          <w:szCs w:val="21"/>
        </w:rPr>
        <w:t>人民法院提起诉讼。</w:t>
      </w:r>
    </w:p>
    <w:p w14:paraId="045A67B6">
      <w:pPr>
        <w:tabs>
          <w:tab w:val="left" w:pos="0"/>
          <w:tab w:val="left" w:pos="426"/>
          <w:tab w:val="left" w:pos="7920"/>
        </w:tabs>
        <w:spacing w:line="360" w:lineRule="auto"/>
        <w:rPr>
          <w:rFonts w:ascii="宋体" w:hAnsi="宋体"/>
          <w:b/>
          <w:bCs/>
          <w:color w:val="auto"/>
          <w:szCs w:val="21"/>
        </w:rPr>
      </w:pPr>
      <w:r>
        <w:rPr>
          <w:rFonts w:ascii="宋体" w:hAnsi="宋体"/>
          <w:b/>
          <w:bCs/>
          <w:color w:val="auto"/>
          <w:szCs w:val="21"/>
        </w:rPr>
        <w:t>第</w:t>
      </w:r>
      <w:r>
        <w:rPr>
          <w:rFonts w:hint="eastAsia" w:ascii="宋体" w:hAnsi="宋体"/>
          <w:b/>
          <w:bCs/>
          <w:color w:val="auto"/>
          <w:szCs w:val="21"/>
          <w:lang w:val="en-US" w:eastAsia="zh-CN"/>
        </w:rPr>
        <w:t>九</w:t>
      </w:r>
      <w:r>
        <w:rPr>
          <w:rFonts w:ascii="宋体" w:hAnsi="宋体"/>
          <w:b/>
          <w:bCs/>
          <w:color w:val="auto"/>
          <w:szCs w:val="21"/>
        </w:rPr>
        <w:t>条</w:t>
      </w:r>
      <w:r>
        <w:rPr>
          <w:rFonts w:hint="eastAsia" w:ascii="宋体" w:hAnsi="宋体"/>
          <w:b/>
          <w:bCs/>
          <w:color w:val="auto"/>
          <w:szCs w:val="21"/>
        </w:rPr>
        <w:t xml:space="preserve">  不可抗力</w:t>
      </w:r>
    </w:p>
    <w:p w14:paraId="444875DC">
      <w:pPr>
        <w:spacing w:line="360" w:lineRule="auto"/>
        <w:ind w:firstLine="420" w:firstLineChars="200"/>
        <w:rPr>
          <w:rFonts w:ascii="宋体" w:hAnsi="宋体"/>
          <w:color w:val="auto"/>
          <w:szCs w:val="21"/>
        </w:rPr>
      </w:pPr>
      <w:r>
        <w:rPr>
          <w:rFonts w:hint="eastAsia" w:ascii="宋体" w:hAnsi="宋体"/>
          <w:color w:val="auto"/>
          <w:szCs w:val="21"/>
        </w:rPr>
        <w:t>（一）</w:t>
      </w:r>
      <w:r>
        <w:rPr>
          <w:rFonts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68DAFA5">
      <w:pPr>
        <w:spacing w:line="360" w:lineRule="auto"/>
        <w:ind w:firstLine="420" w:firstLineChars="200"/>
        <w:rPr>
          <w:rFonts w:ascii="宋体" w:hAnsi="宋体"/>
          <w:color w:val="auto"/>
          <w:szCs w:val="21"/>
        </w:rPr>
      </w:pPr>
      <w:r>
        <w:rPr>
          <w:rFonts w:hint="eastAsia" w:ascii="宋体" w:hAnsi="宋体"/>
          <w:color w:val="auto"/>
          <w:szCs w:val="21"/>
        </w:rPr>
        <w:t>（二）如果一方迟延履行义务后发生不可抗力事件的，不能免除责任。</w:t>
      </w:r>
    </w:p>
    <w:p w14:paraId="38C1E4F8">
      <w:pPr>
        <w:tabs>
          <w:tab w:val="left" w:pos="0"/>
          <w:tab w:val="left" w:pos="426"/>
          <w:tab w:val="left" w:pos="7920"/>
        </w:tabs>
        <w:spacing w:line="360" w:lineRule="auto"/>
        <w:rPr>
          <w:rFonts w:ascii="宋体" w:hAnsi="宋体"/>
          <w:b/>
          <w:bCs/>
          <w:color w:val="auto"/>
          <w:szCs w:val="21"/>
        </w:rPr>
      </w:pPr>
      <w:r>
        <w:rPr>
          <w:rFonts w:ascii="宋体" w:hAnsi="宋体"/>
          <w:b/>
          <w:bCs/>
          <w:color w:val="auto"/>
          <w:szCs w:val="21"/>
        </w:rPr>
        <w:t>第十条</w:t>
      </w:r>
      <w:r>
        <w:rPr>
          <w:rFonts w:hint="eastAsia" w:ascii="宋体" w:hAnsi="宋体"/>
          <w:b/>
          <w:bCs/>
          <w:color w:val="auto"/>
          <w:szCs w:val="21"/>
        </w:rPr>
        <w:t xml:space="preserve">  </w:t>
      </w:r>
      <w:r>
        <w:rPr>
          <w:rFonts w:ascii="宋体" w:hAnsi="宋体"/>
          <w:b/>
          <w:bCs/>
          <w:color w:val="auto"/>
          <w:szCs w:val="21"/>
        </w:rPr>
        <w:t>税费</w:t>
      </w:r>
    </w:p>
    <w:p w14:paraId="79AF04D5">
      <w:pPr>
        <w:spacing w:line="360" w:lineRule="auto"/>
        <w:ind w:firstLine="420" w:firstLineChars="200"/>
        <w:rPr>
          <w:rFonts w:ascii="宋体" w:hAnsi="宋体"/>
          <w:color w:val="auto"/>
          <w:szCs w:val="21"/>
        </w:rPr>
      </w:pPr>
      <w:r>
        <w:rPr>
          <w:rFonts w:ascii="宋体" w:hAnsi="宋体"/>
          <w:color w:val="auto"/>
          <w:szCs w:val="21"/>
        </w:rPr>
        <w:t>在中国境内、外发生的与本合同执行有关的一切税费均由乙方负担。</w:t>
      </w:r>
    </w:p>
    <w:p w14:paraId="6CE8D36E">
      <w:pPr>
        <w:spacing w:line="360" w:lineRule="auto"/>
        <w:jc w:val="left"/>
        <w:rPr>
          <w:rFonts w:ascii="宋体" w:hAnsi="宋体"/>
          <w:b/>
          <w:bCs/>
          <w:color w:val="auto"/>
          <w:szCs w:val="21"/>
        </w:rPr>
      </w:pPr>
      <w:r>
        <w:rPr>
          <w:rFonts w:ascii="宋体" w:hAnsi="宋体"/>
          <w:b/>
          <w:bCs/>
          <w:color w:val="auto"/>
          <w:szCs w:val="21"/>
        </w:rPr>
        <w:t>第十</w:t>
      </w:r>
      <w:r>
        <w:rPr>
          <w:rFonts w:hint="eastAsia" w:ascii="宋体" w:hAnsi="宋体"/>
          <w:b/>
          <w:bCs/>
          <w:color w:val="auto"/>
          <w:szCs w:val="21"/>
          <w:lang w:val="en-US" w:eastAsia="zh-CN"/>
        </w:rPr>
        <w:t>一</w:t>
      </w:r>
      <w:r>
        <w:rPr>
          <w:rFonts w:ascii="宋体" w:hAnsi="宋体"/>
          <w:b/>
          <w:bCs/>
          <w:color w:val="auto"/>
          <w:szCs w:val="21"/>
        </w:rPr>
        <w:t>条</w:t>
      </w:r>
      <w:r>
        <w:rPr>
          <w:rFonts w:hint="eastAsia" w:ascii="宋体" w:hAnsi="宋体"/>
          <w:b/>
          <w:bCs/>
          <w:color w:val="auto"/>
          <w:szCs w:val="21"/>
        </w:rPr>
        <w:t xml:space="preserve">  通知</w:t>
      </w:r>
    </w:p>
    <w:p w14:paraId="6741AA98">
      <w:pPr>
        <w:widowControl/>
        <w:spacing w:line="360" w:lineRule="auto"/>
        <w:ind w:firstLine="420" w:firstLineChars="200"/>
        <w:jc w:val="left"/>
        <w:rPr>
          <w:rFonts w:ascii="宋体" w:hAnsi="宋体"/>
          <w:color w:val="auto"/>
          <w:szCs w:val="21"/>
        </w:rPr>
      </w:pPr>
      <w:r>
        <w:rPr>
          <w:rFonts w:hint="eastAsia" w:ascii="宋体" w:hAnsi="宋体"/>
          <w:color w:val="auto"/>
          <w:szCs w:val="21"/>
        </w:rPr>
        <w:t>（一）</w:t>
      </w:r>
      <w:r>
        <w:rPr>
          <w:rFonts w:ascii="宋体" w:hAnsi="宋体"/>
          <w:color w:val="auto"/>
          <w:szCs w:val="21"/>
        </w:rPr>
        <w:t>在本合同有效期内，甲乙双方确定的项目联系人为本项目的负责人，全程跟进项目、协调项目进展、组织双方沟通交流和协调双方关系。</w:t>
      </w:r>
    </w:p>
    <w:p w14:paraId="48D9E78C">
      <w:pPr>
        <w:widowControl/>
        <w:spacing w:line="360" w:lineRule="auto"/>
        <w:ind w:firstLine="420" w:firstLineChars="200"/>
        <w:jc w:val="left"/>
        <w:rPr>
          <w:rFonts w:ascii="宋体" w:hAnsi="宋体"/>
          <w:color w:val="auto"/>
          <w:szCs w:val="21"/>
        </w:rPr>
      </w:pPr>
      <w:r>
        <w:rPr>
          <w:rFonts w:hint="eastAsia" w:ascii="宋体" w:hAnsi="宋体"/>
          <w:color w:val="auto"/>
          <w:szCs w:val="21"/>
        </w:rPr>
        <w:t>（二）</w:t>
      </w:r>
      <w:r>
        <w:rPr>
          <w:rFonts w:ascii="宋体" w:hAnsi="宋体"/>
          <w:color w:val="auto"/>
          <w:szCs w:val="21"/>
        </w:rPr>
        <w:t>本合同约定的项目联系人、联系地址、联系方式为甲乙双方唯一联系联系人、地址、联系方式。甲、乙双方因履行本合同而需发给对方的任何通知应以书面方式发出。该通知可以专人送达、传真、电子邮件、特快专递或挂号方式送达的方式发出。所有的通知应送达本合同项下对方当事人的地址或该方事先通知的其他地址或传真号码。该联系人、联系地址或联系方式有变动的，应至少提前三日书面通知对方。双方发生争议后，甚至进入诉讼程序，该联系人、联系地址、联系方式仍为有效。</w:t>
      </w:r>
    </w:p>
    <w:p w14:paraId="0DC2F166">
      <w:pPr>
        <w:spacing w:line="360" w:lineRule="auto"/>
        <w:ind w:firstLine="420" w:firstLineChars="200"/>
        <w:rPr>
          <w:rFonts w:ascii="宋体" w:hAnsi="宋体"/>
          <w:color w:val="auto"/>
          <w:szCs w:val="21"/>
        </w:rPr>
      </w:pPr>
      <w:r>
        <w:rPr>
          <w:rFonts w:hint="eastAsia" w:ascii="宋体" w:hAnsi="宋体"/>
          <w:color w:val="auto"/>
          <w:szCs w:val="21"/>
        </w:rPr>
        <w:t>（三）</w:t>
      </w:r>
      <w:r>
        <w:rPr>
          <w:rFonts w:ascii="宋体" w:hAnsi="宋体"/>
          <w:color w:val="auto"/>
          <w:szCs w:val="21"/>
        </w:rPr>
        <w:t>上述通知、要求或信息，以专人送达的，以受送达人在送达回执上的签收时间为送达日期；以传真方式送达的，以发送之日为送达日期；以电子邮件方式送达的，以到达受送达人特定系统的日期为送达日期；以特快专递或挂号方式送达的，以受送达人在相应邮寄凭证上签收之日为送达日期。上述联系地址或联系方式发生变动且未及时书面通知另一方的，另一方按原地址邮寄相关材料即视为已履行送达义务。</w:t>
      </w:r>
    </w:p>
    <w:p w14:paraId="765D9C02">
      <w:pPr>
        <w:tabs>
          <w:tab w:val="left" w:pos="0"/>
          <w:tab w:val="left" w:pos="426"/>
          <w:tab w:val="left" w:pos="7920"/>
        </w:tabs>
        <w:spacing w:line="360" w:lineRule="auto"/>
        <w:rPr>
          <w:rFonts w:ascii="宋体" w:hAnsi="宋体"/>
          <w:b/>
          <w:bCs/>
          <w:color w:val="auto"/>
          <w:szCs w:val="21"/>
        </w:rPr>
      </w:pPr>
      <w:r>
        <w:rPr>
          <w:rFonts w:hint="eastAsia" w:ascii="宋体" w:hAnsi="宋体"/>
          <w:b/>
          <w:bCs/>
          <w:color w:val="auto"/>
          <w:szCs w:val="21"/>
        </w:rPr>
        <w:t>第十</w:t>
      </w:r>
      <w:r>
        <w:rPr>
          <w:rFonts w:hint="eastAsia" w:ascii="宋体" w:hAnsi="宋体"/>
          <w:b/>
          <w:bCs/>
          <w:color w:val="auto"/>
          <w:szCs w:val="21"/>
          <w:lang w:val="en-US" w:eastAsia="zh-CN"/>
        </w:rPr>
        <w:t>二</w:t>
      </w:r>
      <w:r>
        <w:rPr>
          <w:rFonts w:hint="eastAsia" w:ascii="宋体" w:hAnsi="宋体"/>
          <w:b/>
          <w:bCs/>
          <w:color w:val="auto"/>
          <w:szCs w:val="21"/>
        </w:rPr>
        <w:t>条  其它</w:t>
      </w:r>
    </w:p>
    <w:p w14:paraId="3ECAE7F0">
      <w:pPr>
        <w:spacing w:line="360" w:lineRule="auto"/>
        <w:ind w:firstLine="420" w:firstLineChars="200"/>
        <w:rPr>
          <w:rFonts w:ascii="宋体" w:hAnsi="宋体"/>
          <w:color w:val="auto"/>
          <w:szCs w:val="21"/>
        </w:rPr>
      </w:pPr>
      <w:r>
        <w:rPr>
          <w:rFonts w:ascii="宋体" w:hAnsi="宋体"/>
          <w:color w:val="auto"/>
          <w:szCs w:val="21"/>
        </w:rPr>
        <w:t>（一）本合同所有附件、磋商文件、</w:t>
      </w:r>
      <w:r>
        <w:rPr>
          <w:rFonts w:hint="eastAsia" w:ascii="宋体" w:hAnsi="宋体"/>
          <w:color w:val="auto"/>
          <w:szCs w:val="21"/>
        </w:rPr>
        <w:t>响应文件</w:t>
      </w:r>
      <w:r>
        <w:rPr>
          <w:rFonts w:ascii="宋体" w:hAnsi="宋体"/>
          <w:color w:val="auto"/>
          <w:szCs w:val="21"/>
        </w:rPr>
        <w:t>、成交通知书均为合同的有效组成部分，与本合同具有同等法律效力</w:t>
      </w:r>
      <w:r>
        <w:rPr>
          <w:rFonts w:hint="eastAsia" w:ascii="宋体" w:hAnsi="宋体"/>
          <w:color w:val="auto"/>
          <w:szCs w:val="21"/>
        </w:rPr>
        <w:t>。</w:t>
      </w:r>
    </w:p>
    <w:p w14:paraId="7846AC02">
      <w:pPr>
        <w:spacing w:line="360" w:lineRule="auto"/>
        <w:ind w:firstLine="420" w:firstLineChars="200"/>
        <w:rPr>
          <w:rFonts w:ascii="宋体" w:hAnsi="宋体"/>
          <w:color w:val="auto"/>
          <w:szCs w:val="21"/>
        </w:rPr>
      </w:pPr>
      <w:r>
        <w:rPr>
          <w:rFonts w:ascii="宋体" w:hAnsi="宋体"/>
          <w:color w:val="auto"/>
          <w:szCs w:val="21"/>
        </w:rPr>
        <w:t>（二）在执行本合同的过程中，所有经双方签署确认的文件（包括会议纪要、补充协议、往来信函）即成为本合同的有效组成部</w:t>
      </w:r>
      <w:r>
        <w:rPr>
          <w:rFonts w:hint="eastAsia" w:ascii="宋体" w:hAnsi="宋体"/>
          <w:color w:val="auto"/>
          <w:szCs w:val="21"/>
        </w:rPr>
        <w:t>分。</w:t>
      </w:r>
    </w:p>
    <w:p w14:paraId="4729B645">
      <w:pPr>
        <w:spacing w:line="360" w:lineRule="auto"/>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rPr>
        <w:t>三</w:t>
      </w:r>
      <w:r>
        <w:rPr>
          <w:rFonts w:ascii="宋体" w:hAnsi="宋体"/>
          <w:color w:val="auto"/>
          <w:szCs w:val="21"/>
        </w:rPr>
        <w:t>）除甲方事先书面同意外，乙方不得部分或全部转让其应履行的合同项下的义务。</w:t>
      </w:r>
    </w:p>
    <w:p w14:paraId="36631F13">
      <w:pPr>
        <w:tabs>
          <w:tab w:val="left" w:pos="0"/>
          <w:tab w:val="left" w:pos="7920"/>
        </w:tabs>
        <w:snapToGrid w:val="0"/>
        <w:spacing w:line="360" w:lineRule="auto"/>
        <w:rPr>
          <w:rFonts w:ascii="宋体" w:hAnsi="宋体"/>
          <w:b/>
          <w:bCs/>
          <w:color w:val="auto"/>
          <w:szCs w:val="21"/>
        </w:rPr>
      </w:pPr>
      <w:r>
        <w:rPr>
          <w:rFonts w:ascii="宋体" w:hAnsi="宋体"/>
          <w:b/>
          <w:bCs/>
          <w:color w:val="auto"/>
          <w:szCs w:val="21"/>
        </w:rPr>
        <w:t>第</w:t>
      </w:r>
      <w:r>
        <w:rPr>
          <w:rFonts w:hint="eastAsia" w:ascii="宋体" w:hAnsi="宋体"/>
          <w:b/>
          <w:bCs/>
          <w:color w:val="auto"/>
          <w:szCs w:val="21"/>
        </w:rPr>
        <w:t>十</w:t>
      </w:r>
      <w:r>
        <w:rPr>
          <w:rFonts w:hint="eastAsia" w:ascii="宋体" w:hAnsi="宋体"/>
          <w:b/>
          <w:bCs/>
          <w:color w:val="auto"/>
          <w:szCs w:val="21"/>
          <w:lang w:val="en-US" w:eastAsia="zh-CN"/>
        </w:rPr>
        <w:t>三</w:t>
      </w:r>
      <w:r>
        <w:rPr>
          <w:rFonts w:ascii="宋体" w:hAnsi="宋体"/>
          <w:b/>
          <w:bCs/>
          <w:color w:val="auto"/>
          <w:szCs w:val="21"/>
        </w:rPr>
        <w:t>条</w:t>
      </w:r>
      <w:r>
        <w:rPr>
          <w:rFonts w:hint="eastAsia" w:ascii="宋体" w:hAnsi="宋体"/>
          <w:b/>
          <w:bCs/>
          <w:color w:val="auto"/>
          <w:szCs w:val="21"/>
        </w:rPr>
        <w:t xml:space="preserve">  合同的效力</w:t>
      </w:r>
    </w:p>
    <w:p w14:paraId="4248E455">
      <w:pPr>
        <w:snapToGrid w:val="0"/>
        <w:spacing w:line="360" w:lineRule="auto"/>
        <w:rPr>
          <w:rFonts w:ascii="宋体" w:hAnsi="宋体"/>
          <w:color w:val="auto"/>
          <w:szCs w:val="21"/>
        </w:rPr>
      </w:pPr>
      <w:r>
        <w:rPr>
          <w:rFonts w:ascii="宋体" w:hAnsi="宋体"/>
          <w:color w:val="auto"/>
          <w:szCs w:val="21"/>
        </w:rPr>
        <w:t xml:space="preserve">    本合同自双方签名</w:t>
      </w:r>
      <w:r>
        <w:rPr>
          <w:rFonts w:hint="eastAsia" w:ascii="宋体" w:hAnsi="宋体"/>
          <w:color w:val="auto"/>
          <w:szCs w:val="21"/>
        </w:rPr>
        <w:t>并</w:t>
      </w:r>
      <w:r>
        <w:rPr>
          <w:rFonts w:ascii="宋体" w:hAnsi="宋体"/>
          <w:color w:val="auto"/>
          <w:szCs w:val="21"/>
        </w:rPr>
        <w:t>盖章后生效。</w:t>
      </w:r>
      <w:r>
        <w:rPr>
          <w:rFonts w:hint="eastAsia" w:ascii="宋体" w:hAnsi="宋体"/>
          <w:color w:val="auto"/>
          <w:szCs w:val="21"/>
        </w:rPr>
        <w:t>本合同一式</w:t>
      </w:r>
      <w:r>
        <w:rPr>
          <w:rFonts w:ascii="宋体" w:hAnsi="宋体"/>
          <w:color w:val="auto"/>
          <w:szCs w:val="21"/>
          <w:u w:val="single"/>
        </w:rPr>
        <w:t xml:space="preserve">    </w:t>
      </w:r>
      <w:r>
        <w:rPr>
          <w:rFonts w:ascii="宋体" w:hAnsi="宋体"/>
          <w:color w:val="auto"/>
          <w:szCs w:val="21"/>
        </w:rPr>
        <w:t>份，甲方、乙方双方各执</w:t>
      </w:r>
      <w:r>
        <w:rPr>
          <w:rFonts w:ascii="宋体" w:hAnsi="宋体"/>
          <w:color w:val="auto"/>
          <w:szCs w:val="21"/>
          <w:u w:val="single"/>
        </w:rPr>
        <w:t xml:space="preserve">    </w:t>
      </w:r>
      <w:r>
        <w:rPr>
          <w:rFonts w:hint="eastAsia" w:ascii="宋体" w:hAnsi="宋体"/>
          <w:color w:val="auto"/>
          <w:szCs w:val="21"/>
        </w:rPr>
        <w:t>份。</w:t>
      </w:r>
    </w:p>
    <w:p w14:paraId="7054DC47">
      <w:pPr>
        <w:spacing w:line="360" w:lineRule="auto"/>
        <w:rPr>
          <w:rFonts w:ascii="宋体" w:hAnsi="宋体"/>
          <w:color w:val="auto"/>
          <w:szCs w:val="21"/>
        </w:rPr>
      </w:pPr>
      <w:r>
        <w:rPr>
          <w:rFonts w:hint="eastAsia" w:ascii="宋体" w:hAnsi="宋体"/>
          <w:color w:val="auto"/>
          <w:szCs w:val="21"/>
        </w:rPr>
        <w:t>甲方：</w:t>
      </w:r>
      <w:r>
        <w:rPr>
          <w:rFonts w:ascii="宋体" w:hAnsi="宋体"/>
          <w:color w:val="auto"/>
          <w:szCs w:val="21"/>
        </w:rPr>
        <w:t xml:space="preserve">                                </w:t>
      </w:r>
      <w:r>
        <w:rPr>
          <w:rFonts w:hint="eastAsia" w:ascii="宋体" w:hAnsi="宋体"/>
          <w:color w:val="auto"/>
          <w:szCs w:val="21"/>
        </w:rPr>
        <w:t>乙方：</w:t>
      </w:r>
    </w:p>
    <w:p w14:paraId="29C4477F">
      <w:pPr>
        <w:spacing w:line="360" w:lineRule="auto"/>
        <w:rPr>
          <w:rFonts w:ascii="宋体" w:hAnsi="宋体"/>
          <w:color w:val="auto"/>
          <w:szCs w:val="21"/>
        </w:rPr>
      </w:pPr>
      <w:r>
        <w:rPr>
          <w:rFonts w:ascii="宋体" w:hAnsi="宋体"/>
          <w:color w:val="auto"/>
          <w:szCs w:val="21"/>
        </w:rPr>
        <w:t>授权代表</w:t>
      </w:r>
      <w:r>
        <w:rPr>
          <w:rFonts w:hint="eastAsia" w:ascii="宋体" w:hAnsi="宋体"/>
          <w:color w:val="auto"/>
          <w:szCs w:val="21"/>
        </w:rPr>
        <w:t>：</w:t>
      </w:r>
      <w:r>
        <w:rPr>
          <w:rFonts w:ascii="宋体" w:hAnsi="宋体"/>
          <w:color w:val="auto"/>
          <w:szCs w:val="21"/>
        </w:rPr>
        <w:t xml:space="preserve">                            授权代表</w:t>
      </w:r>
      <w:r>
        <w:rPr>
          <w:rFonts w:hint="eastAsia" w:ascii="宋体" w:hAnsi="宋体"/>
          <w:color w:val="auto"/>
          <w:szCs w:val="21"/>
        </w:rPr>
        <w:t>：</w:t>
      </w:r>
    </w:p>
    <w:p w14:paraId="1D2D04B5">
      <w:pPr>
        <w:spacing w:line="360" w:lineRule="auto"/>
        <w:rPr>
          <w:rFonts w:ascii="宋体" w:hAnsi="宋体"/>
          <w:snapToGrid w:val="0"/>
          <w:color w:val="auto"/>
          <w:szCs w:val="21"/>
        </w:rPr>
      </w:pPr>
      <w:r>
        <w:rPr>
          <w:rFonts w:ascii="宋体" w:hAnsi="宋体"/>
          <w:color w:val="auto"/>
          <w:szCs w:val="21"/>
        </w:rPr>
        <w:t>账号</w:t>
      </w:r>
      <w:r>
        <w:rPr>
          <w:rFonts w:hint="eastAsia" w:ascii="宋体" w:hAnsi="宋体"/>
          <w:color w:val="auto"/>
          <w:szCs w:val="21"/>
        </w:rPr>
        <w:t>：</w:t>
      </w:r>
      <w:r>
        <w:rPr>
          <w:rFonts w:ascii="宋体" w:hAnsi="宋体"/>
          <w:color w:val="auto"/>
          <w:szCs w:val="21"/>
        </w:rPr>
        <w:t xml:space="preserve">                                账号</w:t>
      </w:r>
      <w:r>
        <w:rPr>
          <w:rFonts w:hint="eastAsia" w:ascii="宋体" w:hAnsi="宋体"/>
          <w:color w:val="auto"/>
          <w:szCs w:val="21"/>
        </w:rPr>
        <w:t>：</w:t>
      </w:r>
    </w:p>
    <w:p w14:paraId="4037A21D">
      <w:pPr>
        <w:spacing w:line="360" w:lineRule="auto"/>
        <w:rPr>
          <w:rFonts w:ascii="宋体" w:hAnsi="宋体"/>
          <w:color w:val="auto"/>
          <w:szCs w:val="21"/>
        </w:rPr>
      </w:pPr>
      <w:r>
        <w:rPr>
          <w:rFonts w:ascii="宋体" w:hAnsi="宋体"/>
          <w:color w:val="auto"/>
          <w:szCs w:val="21"/>
        </w:rPr>
        <w:t>签约时间：                            签约时间：</w:t>
      </w:r>
    </w:p>
    <w:p w14:paraId="3C446B46">
      <w:pPr>
        <w:spacing w:line="360" w:lineRule="auto"/>
        <w:jc w:val="left"/>
        <w:rPr>
          <w:rFonts w:ascii="宋体" w:hAnsi="宋体"/>
          <w:color w:val="auto"/>
          <w:szCs w:val="21"/>
        </w:rPr>
      </w:pPr>
      <w:r>
        <w:rPr>
          <w:rFonts w:ascii="宋体" w:hAnsi="宋体"/>
          <w:color w:val="auto"/>
          <w:szCs w:val="21"/>
        </w:rPr>
        <w:t>签约地点：</w:t>
      </w:r>
    </w:p>
    <w:bookmarkEnd w:id="244"/>
    <w:bookmarkEnd w:id="245"/>
    <w:bookmarkEnd w:id="246"/>
    <w:p w14:paraId="0E91604D">
      <w:pPr>
        <w:pStyle w:val="2"/>
        <w:spacing w:before="0" w:after="0" w:line="360" w:lineRule="auto"/>
        <w:rPr>
          <w:rFonts w:ascii="宋体" w:hAnsi="宋体" w:cs="宋体"/>
          <w:color w:val="auto"/>
          <w:sz w:val="21"/>
          <w:szCs w:val="21"/>
        </w:rPr>
      </w:pPr>
      <w:bookmarkStart w:id="252" w:name="_Toc24148"/>
      <w:bookmarkStart w:id="253" w:name="_Toc32763"/>
      <w:r>
        <w:rPr>
          <w:rFonts w:hint="eastAsia" w:ascii="宋体" w:hAnsi="宋体" w:cs="宋体"/>
          <w:color w:val="auto"/>
        </w:rPr>
        <w:t>第六部分</w:t>
      </w:r>
      <w:r>
        <w:rPr>
          <w:rFonts w:ascii="宋体" w:hAnsi="宋体" w:cs="宋体"/>
          <w:color w:val="auto"/>
        </w:rPr>
        <w:t xml:space="preserve">  </w:t>
      </w:r>
      <w:r>
        <w:rPr>
          <w:rFonts w:hint="eastAsia" w:ascii="宋体" w:hAnsi="宋体" w:cs="宋体"/>
          <w:color w:val="auto"/>
        </w:rPr>
        <w:t>响应文件</w:t>
      </w:r>
      <w:r>
        <w:rPr>
          <w:rFonts w:ascii="宋体" w:hAnsi="宋体" w:cs="宋体"/>
          <w:color w:val="auto"/>
        </w:rPr>
        <w:t>格式</w:t>
      </w:r>
      <w:bookmarkEnd w:id="252"/>
      <w:bookmarkEnd w:id="253"/>
    </w:p>
    <w:p w14:paraId="531BFD76">
      <w:pPr>
        <w:pStyle w:val="3"/>
        <w:snapToGrid w:val="0"/>
        <w:spacing w:before="156" w:beforeLines="50" w:after="156" w:afterLines="50"/>
        <w:jc w:val="center"/>
        <w:rPr>
          <w:b w:val="0"/>
          <w:color w:val="auto"/>
        </w:rPr>
      </w:pPr>
      <w:bookmarkStart w:id="254" w:name="_Hlt494257941"/>
      <w:bookmarkEnd w:id="254"/>
      <w:bookmarkStart w:id="255" w:name="_Toc32340"/>
      <w:bookmarkStart w:id="256" w:name="_Toc788"/>
      <w:bookmarkStart w:id="257" w:name="_Toc275865604"/>
      <w:r>
        <w:rPr>
          <w:rFonts w:hint="eastAsia"/>
          <w:b w:val="0"/>
          <w:color w:val="auto"/>
        </w:rPr>
        <w:t>响应文件格式参考</w:t>
      </w:r>
      <w:bookmarkEnd w:id="255"/>
      <w:bookmarkEnd w:id="256"/>
    </w:p>
    <w:tbl>
      <w:tblPr>
        <w:tblStyle w:val="2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68B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14:paraId="1E0B2DF2">
            <w:pPr>
              <w:pStyle w:val="9"/>
              <w:spacing w:line="360" w:lineRule="auto"/>
              <w:ind w:firstLine="316" w:firstLineChars="150"/>
              <w:rPr>
                <w:rFonts w:ascii="仿宋_GB2312" w:eastAsia="仿宋_GB2312"/>
                <w:b/>
                <w:color w:val="auto"/>
                <w:sz w:val="21"/>
                <w:szCs w:val="21"/>
                <w:lang w:val="en-US"/>
              </w:rPr>
            </w:pPr>
          </w:p>
          <w:p w14:paraId="6969C286">
            <w:pPr>
              <w:pStyle w:val="9"/>
              <w:spacing w:line="360" w:lineRule="auto"/>
              <w:ind w:firstLine="316" w:firstLineChars="150"/>
              <w:rPr>
                <w:rFonts w:ascii="仿宋_GB2312" w:eastAsia="仿宋_GB2312"/>
                <w:b/>
                <w:color w:val="auto"/>
                <w:sz w:val="21"/>
                <w:szCs w:val="21"/>
                <w:lang w:val="en-US"/>
              </w:rPr>
            </w:pPr>
          </w:p>
          <w:p w14:paraId="6ED8402A">
            <w:pPr>
              <w:pStyle w:val="9"/>
              <w:spacing w:line="360" w:lineRule="auto"/>
              <w:jc w:val="center"/>
              <w:rPr>
                <w:rFonts w:ascii="黑体" w:eastAsia="黑体"/>
                <w:b/>
                <w:color w:val="auto"/>
                <w:sz w:val="72"/>
                <w:szCs w:val="72"/>
                <w:lang w:val="en-US"/>
              </w:rPr>
            </w:pPr>
            <w:r>
              <w:rPr>
                <w:rFonts w:hint="eastAsia" w:ascii="黑体"/>
                <w:b/>
                <w:color w:val="auto"/>
                <w:sz w:val="72"/>
                <w:szCs w:val="72"/>
                <w:lang w:val="en-US"/>
              </w:rPr>
              <w:t>报</w:t>
            </w:r>
            <w:r>
              <w:rPr>
                <w:rFonts w:ascii="黑体"/>
                <w:b/>
                <w:color w:val="auto"/>
                <w:sz w:val="72"/>
                <w:szCs w:val="72"/>
                <w:lang w:val="en-US"/>
              </w:rPr>
              <w:t xml:space="preserve"> </w:t>
            </w:r>
            <w:r>
              <w:rPr>
                <w:rFonts w:hint="eastAsia" w:ascii="黑体"/>
                <w:b/>
                <w:color w:val="auto"/>
                <w:sz w:val="72"/>
                <w:szCs w:val="72"/>
                <w:lang w:val="en-US"/>
              </w:rPr>
              <w:t>价</w:t>
            </w:r>
            <w:r>
              <w:rPr>
                <w:rFonts w:ascii="黑体"/>
                <w:b/>
                <w:color w:val="auto"/>
                <w:sz w:val="72"/>
                <w:szCs w:val="72"/>
                <w:lang w:val="en-US"/>
              </w:rPr>
              <w:t xml:space="preserve"> </w:t>
            </w:r>
            <w:r>
              <w:rPr>
                <w:rFonts w:hint="eastAsia" w:ascii="黑体"/>
                <w:b/>
                <w:color w:val="auto"/>
                <w:sz w:val="72"/>
                <w:szCs w:val="72"/>
                <w:lang w:val="en-US"/>
              </w:rPr>
              <w:t>文</w:t>
            </w:r>
            <w:r>
              <w:rPr>
                <w:rFonts w:ascii="黑体"/>
                <w:b/>
                <w:color w:val="auto"/>
                <w:sz w:val="72"/>
                <w:szCs w:val="72"/>
                <w:lang w:val="en-US"/>
              </w:rPr>
              <w:t xml:space="preserve"> </w:t>
            </w:r>
            <w:r>
              <w:rPr>
                <w:rFonts w:hint="eastAsia" w:ascii="黑体"/>
                <w:b/>
                <w:color w:val="auto"/>
                <w:sz w:val="72"/>
                <w:szCs w:val="72"/>
                <w:lang w:val="en-US"/>
              </w:rPr>
              <w:t>件</w:t>
            </w:r>
          </w:p>
          <w:p w14:paraId="5C317D46">
            <w:pPr>
              <w:pStyle w:val="9"/>
              <w:spacing w:line="360" w:lineRule="auto"/>
              <w:jc w:val="center"/>
              <w:rPr>
                <w:rFonts w:ascii="黑体" w:eastAsia="黑体"/>
                <w:b/>
                <w:color w:val="auto"/>
                <w:sz w:val="72"/>
                <w:szCs w:val="72"/>
                <w:lang w:val="en-US"/>
              </w:rPr>
            </w:pPr>
          </w:p>
          <w:p w14:paraId="65D2DC0B">
            <w:pPr>
              <w:pStyle w:val="9"/>
              <w:spacing w:line="360" w:lineRule="auto"/>
              <w:ind w:firstLine="3855" w:firstLineChars="1200"/>
              <w:rPr>
                <w:rFonts w:ascii="黑体" w:eastAsia="黑体"/>
                <w:b/>
                <w:color w:val="auto"/>
                <w:sz w:val="32"/>
                <w:szCs w:val="32"/>
                <w:lang w:val="en-US"/>
              </w:rPr>
            </w:pPr>
            <w:r>
              <w:rPr>
                <w:rFonts w:hint="eastAsia" w:ascii="黑体"/>
                <w:b/>
                <w:color w:val="auto"/>
                <w:sz w:val="32"/>
                <w:szCs w:val="32"/>
                <w:lang w:val="en-US"/>
              </w:rPr>
              <w:t>口</w:t>
            </w:r>
            <w:r>
              <w:rPr>
                <w:rFonts w:ascii="黑体"/>
                <w:b/>
                <w:color w:val="auto"/>
                <w:sz w:val="32"/>
                <w:szCs w:val="32"/>
                <w:lang w:val="en-US"/>
              </w:rPr>
              <w:t xml:space="preserve"> </w:t>
            </w:r>
            <w:r>
              <w:rPr>
                <w:rFonts w:hint="eastAsia" w:ascii="黑体"/>
                <w:b/>
                <w:color w:val="auto"/>
                <w:sz w:val="32"/>
                <w:szCs w:val="32"/>
                <w:lang w:val="en-US"/>
              </w:rPr>
              <w:t>正本</w:t>
            </w:r>
          </w:p>
          <w:p w14:paraId="432023A4">
            <w:pPr>
              <w:pStyle w:val="9"/>
              <w:spacing w:line="360" w:lineRule="auto"/>
              <w:ind w:firstLine="3855" w:firstLineChars="1200"/>
              <w:rPr>
                <w:rFonts w:ascii="黑体" w:eastAsia="黑体"/>
                <w:b/>
                <w:color w:val="auto"/>
                <w:sz w:val="32"/>
                <w:szCs w:val="32"/>
                <w:lang w:val="en-US"/>
              </w:rPr>
            </w:pPr>
            <w:r>
              <w:rPr>
                <w:rFonts w:hint="eastAsia" w:ascii="黑体"/>
                <w:b/>
                <w:color w:val="auto"/>
                <w:sz w:val="32"/>
                <w:szCs w:val="32"/>
                <w:lang w:val="en-US"/>
              </w:rPr>
              <w:t>口</w:t>
            </w:r>
            <w:r>
              <w:rPr>
                <w:rFonts w:ascii="黑体"/>
                <w:b/>
                <w:color w:val="auto"/>
                <w:sz w:val="32"/>
                <w:szCs w:val="32"/>
                <w:lang w:val="en-US"/>
              </w:rPr>
              <w:t xml:space="preserve"> </w:t>
            </w:r>
            <w:r>
              <w:rPr>
                <w:rFonts w:hint="eastAsia" w:ascii="黑体"/>
                <w:b/>
                <w:color w:val="auto"/>
                <w:sz w:val="32"/>
                <w:szCs w:val="32"/>
                <w:lang w:val="en-US"/>
              </w:rPr>
              <w:t>副本</w:t>
            </w:r>
          </w:p>
          <w:p w14:paraId="614B39B7">
            <w:pPr>
              <w:pStyle w:val="9"/>
              <w:spacing w:line="360" w:lineRule="auto"/>
              <w:rPr>
                <w:rFonts w:ascii="仿宋_GB2312" w:eastAsia="仿宋_GB2312"/>
                <w:b/>
                <w:color w:val="auto"/>
                <w:sz w:val="21"/>
                <w:szCs w:val="21"/>
                <w:lang w:val="en-US"/>
              </w:rPr>
            </w:pPr>
          </w:p>
          <w:p w14:paraId="5C83DE42">
            <w:pPr>
              <w:pStyle w:val="9"/>
              <w:spacing w:line="360" w:lineRule="auto"/>
              <w:rPr>
                <w:rFonts w:ascii="仿宋_GB2312" w:eastAsia="仿宋_GB2312"/>
                <w:b/>
                <w:color w:val="auto"/>
                <w:sz w:val="21"/>
                <w:szCs w:val="21"/>
                <w:lang w:val="en-US"/>
              </w:rPr>
            </w:pPr>
          </w:p>
          <w:p w14:paraId="0C4DCE03">
            <w:pPr>
              <w:pStyle w:val="9"/>
              <w:spacing w:line="360" w:lineRule="auto"/>
              <w:ind w:firstLine="1037" w:firstLineChars="369"/>
              <w:rPr>
                <w:rFonts w:hint="eastAsia" w:ascii="仿宋_GB2312" w:eastAsia="宋体"/>
                <w:b/>
                <w:color w:val="auto"/>
                <w:sz w:val="28"/>
                <w:szCs w:val="28"/>
                <w:lang w:val="en-US" w:eastAsia="zh-CN"/>
              </w:rPr>
            </w:pPr>
            <w:r>
              <w:rPr>
                <w:rFonts w:hint="eastAsia" w:ascii="仿宋_GB2312"/>
                <w:b/>
                <w:color w:val="auto"/>
                <w:sz w:val="28"/>
                <w:szCs w:val="28"/>
                <w:lang w:val="en-US"/>
              </w:rPr>
              <w:t>项目编号：</w:t>
            </w:r>
            <w:r>
              <w:rPr>
                <w:rFonts w:hint="eastAsia" w:ascii="仿宋_GB2312"/>
                <w:b/>
                <w:color w:val="auto"/>
                <w:sz w:val="28"/>
                <w:szCs w:val="28"/>
                <w:lang w:val="en-US" w:eastAsia="zh-CN"/>
              </w:rPr>
              <w:t>GDWCFFC2312121</w:t>
            </w:r>
          </w:p>
          <w:p w14:paraId="10F624C4">
            <w:pPr>
              <w:pStyle w:val="9"/>
              <w:spacing w:line="360" w:lineRule="auto"/>
              <w:ind w:firstLine="1037" w:firstLineChars="369"/>
              <w:rPr>
                <w:rFonts w:hint="eastAsia" w:ascii="仿宋_GB2312" w:eastAsia="宋体"/>
                <w:b/>
                <w:color w:val="auto"/>
                <w:sz w:val="28"/>
                <w:szCs w:val="28"/>
                <w:lang w:val="en-US" w:eastAsia="zh-CN"/>
              </w:rPr>
            </w:pPr>
            <w:r>
              <w:rPr>
                <w:rFonts w:hint="eastAsia" w:ascii="仿宋_GB2312"/>
                <w:b/>
                <w:color w:val="auto"/>
                <w:sz w:val="28"/>
                <w:szCs w:val="28"/>
                <w:lang w:val="en-US"/>
              </w:rPr>
              <w:t>项目名称：</w:t>
            </w:r>
            <w:r>
              <w:rPr>
                <w:rFonts w:hint="eastAsia" w:ascii="仿宋_GB2312"/>
                <w:b/>
                <w:color w:val="auto"/>
                <w:sz w:val="28"/>
                <w:szCs w:val="28"/>
                <w:lang w:val="en-US" w:eastAsia="zh-CN"/>
              </w:rPr>
              <w:t>2024年广州市南沙政务服务公众考核满意度调查项目</w:t>
            </w:r>
          </w:p>
          <w:p w14:paraId="6751274A">
            <w:pPr>
              <w:pStyle w:val="9"/>
              <w:spacing w:line="360" w:lineRule="auto"/>
              <w:ind w:firstLine="1037" w:firstLineChars="369"/>
              <w:rPr>
                <w:rFonts w:ascii="仿宋_GB2312" w:eastAsia="仿宋_GB2312"/>
                <w:b/>
                <w:color w:val="auto"/>
                <w:sz w:val="28"/>
                <w:szCs w:val="28"/>
                <w:lang w:val="en-US"/>
              </w:rPr>
            </w:pPr>
            <w:r>
              <w:rPr>
                <w:rFonts w:hint="eastAsia" w:ascii="仿宋_GB2312"/>
                <w:b/>
                <w:color w:val="auto"/>
                <w:sz w:val="28"/>
                <w:szCs w:val="28"/>
                <w:lang w:val="en-US"/>
              </w:rPr>
              <w:t>响应供应商名称：</w:t>
            </w:r>
          </w:p>
          <w:p w14:paraId="168AF100">
            <w:pPr>
              <w:pStyle w:val="9"/>
              <w:spacing w:line="360" w:lineRule="auto"/>
              <w:ind w:firstLine="1037" w:firstLineChars="369"/>
              <w:rPr>
                <w:rFonts w:ascii="仿宋_GB2312" w:eastAsia="仿宋_GB2312"/>
                <w:b/>
                <w:color w:val="auto"/>
                <w:sz w:val="28"/>
                <w:szCs w:val="28"/>
                <w:lang w:val="en-US"/>
              </w:rPr>
            </w:pPr>
            <w:r>
              <w:rPr>
                <w:rFonts w:hint="eastAsia" w:ascii="仿宋_GB2312"/>
                <w:b/>
                <w:color w:val="auto"/>
                <w:sz w:val="28"/>
                <w:szCs w:val="28"/>
                <w:lang w:val="en-US"/>
              </w:rPr>
              <w:t>响应供应商地址：</w:t>
            </w:r>
          </w:p>
          <w:p w14:paraId="0236AB12">
            <w:pPr>
              <w:pStyle w:val="9"/>
              <w:spacing w:line="360" w:lineRule="auto"/>
              <w:ind w:firstLine="1037" w:firstLineChars="369"/>
              <w:rPr>
                <w:rFonts w:ascii="仿宋_GB2312" w:eastAsia="仿宋_GB2312"/>
                <w:b/>
                <w:color w:val="auto"/>
                <w:sz w:val="28"/>
                <w:szCs w:val="28"/>
                <w:lang w:val="en-US"/>
              </w:rPr>
            </w:pPr>
          </w:p>
          <w:p w14:paraId="279FA51B">
            <w:pPr>
              <w:pStyle w:val="9"/>
              <w:spacing w:line="360" w:lineRule="auto"/>
              <w:ind w:firstLine="1037" w:firstLineChars="369"/>
              <w:rPr>
                <w:rFonts w:ascii="仿宋_GB2312" w:eastAsia="仿宋_GB2312"/>
                <w:b/>
                <w:color w:val="auto"/>
                <w:sz w:val="28"/>
                <w:szCs w:val="28"/>
                <w:lang w:val="en-US"/>
              </w:rPr>
            </w:pPr>
          </w:p>
          <w:p w14:paraId="480651DB">
            <w:pPr>
              <w:pStyle w:val="9"/>
              <w:spacing w:line="360" w:lineRule="auto"/>
              <w:ind w:firstLine="1037" w:firstLineChars="369"/>
              <w:rPr>
                <w:rFonts w:ascii="仿宋_GB2312" w:eastAsia="仿宋_GB2312"/>
                <w:b/>
                <w:color w:val="auto"/>
                <w:sz w:val="28"/>
                <w:szCs w:val="28"/>
                <w:lang w:val="en-US"/>
              </w:rPr>
            </w:pPr>
          </w:p>
          <w:p w14:paraId="018E39C5">
            <w:pPr>
              <w:pStyle w:val="9"/>
              <w:spacing w:line="360" w:lineRule="auto"/>
              <w:rPr>
                <w:rFonts w:ascii="仿宋_GB2312" w:eastAsia="仿宋_GB2312"/>
                <w:b/>
                <w:color w:val="auto"/>
                <w:sz w:val="28"/>
                <w:szCs w:val="28"/>
                <w:lang w:val="en-US"/>
              </w:rPr>
            </w:pPr>
          </w:p>
          <w:p w14:paraId="1A8DE62E">
            <w:pPr>
              <w:pStyle w:val="9"/>
              <w:spacing w:line="360" w:lineRule="auto"/>
              <w:ind w:firstLine="2302" w:firstLineChars="819"/>
              <w:rPr>
                <w:rFonts w:ascii="仿宋_GB2312" w:eastAsia="仿宋_GB2312"/>
                <w:b/>
                <w:color w:val="auto"/>
                <w:sz w:val="21"/>
                <w:szCs w:val="21"/>
                <w:lang w:val="en-US"/>
              </w:rPr>
            </w:pPr>
            <w:r>
              <w:rPr>
                <w:rFonts w:ascii="仿宋_GB2312"/>
                <w:b/>
                <w:color w:val="auto"/>
                <w:sz w:val="28"/>
                <w:szCs w:val="28"/>
                <w:lang w:val="en-US"/>
              </w:rPr>
              <w:t xml:space="preserve">(   </w:t>
            </w:r>
            <w:r>
              <w:rPr>
                <w:rFonts w:hint="eastAsia" w:ascii="仿宋_GB2312"/>
                <w:b/>
                <w:color w:val="auto"/>
                <w:sz w:val="28"/>
                <w:szCs w:val="28"/>
                <w:lang w:val="en-US"/>
              </w:rPr>
              <w:t>年</w:t>
            </w:r>
            <w:r>
              <w:rPr>
                <w:rFonts w:ascii="仿宋_GB2312"/>
                <w:b/>
                <w:color w:val="auto"/>
                <w:sz w:val="28"/>
                <w:szCs w:val="28"/>
                <w:lang w:val="en-US"/>
              </w:rPr>
              <w:t xml:space="preserve">  </w:t>
            </w:r>
            <w:r>
              <w:rPr>
                <w:rFonts w:hint="eastAsia" w:ascii="仿宋_GB2312"/>
                <w:b/>
                <w:color w:val="auto"/>
                <w:sz w:val="28"/>
                <w:szCs w:val="28"/>
                <w:lang w:val="en-US"/>
              </w:rPr>
              <w:t>月</w:t>
            </w:r>
            <w:r>
              <w:rPr>
                <w:rFonts w:ascii="仿宋_GB2312"/>
                <w:b/>
                <w:color w:val="auto"/>
                <w:sz w:val="28"/>
                <w:szCs w:val="28"/>
                <w:lang w:val="en-US"/>
              </w:rPr>
              <w:t xml:space="preserve">   </w:t>
            </w:r>
            <w:r>
              <w:rPr>
                <w:rFonts w:hint="eastAsia" w:ascii="仿宋_GB2312"/>
                <w:b/>
                <w:color w:val="auto"/>
                <w:sz w:val="28"/>
                <w:szCs w:val="28"/>
                <w:lang w:val="en-US"/>
              </w:rPr>
              <w:t>日</w:t>
            </w:r>
            <w:r>
              <w:rPr>
                <w:rFonts w:ascii="仿宋_GB2312"/>
                <w:b/>
                <w:color w:val="auto"/>
                <w:sz w:val="28"/>
                <w:szCs w:val="28"/>
                <w:lang w:val="en-US"/>
              </w:rPr>
              <w:t xml:space="preserve">  </w:t>
            </w:r>
            <w:r>
              <w:rPr>
                <w:rFonts w:hint="eastAsia" w:ascii="仿宋_GB2312"/>
                <w:b/>
                <w:color w:val="auto"/>
                <w:sz w:val="28"/>
                <w:szCs w:val="28"/>
                <w:lang w:val="en-US"/>
              </w:rPr>
              <w:t>时</w:t>
            </w:r>
            <w:r>
              <w:rPr>
                <w:rFonts w:ascii="仿宋_GB2312"/>
                <w:b/>
                <w:color w:val="auto"/>
                <w:sz w:val="28"/>
                <w:szCs w:val="28"/>
                <w:lang w:val="en-US"/>
              </w:rPr>
              <w:t xml:space="preserve">  </w:t>
            </w:r>
            <w:r>
              <w:rPr>
                <w:rFonts w:hint="eastAsia" w:ascii="仿宋_GB2312"/>
                <w:b/>
                <w:color w:val="auto"/>
                <w:sz w:val="28"/>
                <w:szCs w:val="28"/>
                <w:lang w:val="en-US"/>
              </w:rPr>
              <w:t>分</w:t>
            </w:r>
            <w:r>
              <w:rPr>
                <w:rFonts w:ascii="仿宋_GB2312"/>
                <w:b/>
                <w:color w:val="auto"/>
                <w:sz w:val="28"/>
                <w:szCs w:val="28"/>
                <w:lang w:val="en-US"/>
              </w:rPr>
              <w:t>)</w:t>
            </w:r>
            <w:r>
              <w:rPr>
                <w:rFonts w:hint="eastAsia" w:ascii="仿宋_GB2312"/>
                <w:b/>
                <w:color w:val="auto"/>
                <w:sz w:val="28"/>
                <w:szCs w:val="28"/>
                <w:lang w:val="en-US"/>
              </w:rPr>
              <w:t>之前不得启封</w:t>
            </w:r>
          </w:p>
        </w:tc>
      </w:tr>
      <w:bookmarkEnd w:id="257"/>
    </w:tbl>
    <w:p w14:paraId="7D2C8F6B">
      <w:pPr>
        <w:pStyle w:val="3"/>
        <w:snapToGrid w:val="0"/>
        <w:spacing w:before="156" w:beforeLines="50" w:after="156" w:afterLines="50"/>
        <w:ind w:firstLine="0"/>
        <w:jc w:val="center"/>
        <w:rPr>
          <w:color w:val="auto"/>
        </w:rPr>
      </w:pPr>
      <w:bookmarkStart w:id="258" w:name="_Toc31330"/>
      <w:bookmarkStart w:id="259" w:name="_Toc5417"/>
      <w:r>
        <w:rPr>
          <w:rFonts w:hint="eastAsia"/>
          <w:color w:val="auto"/>
        </w:rPr>
        <w:t>响应文件目录表</w:t>
      </w:r>
      <w:bookmarkEnd w:id="258"/>
      <w:bookmarkEnd w:id="259"/>
    </w:p>
    <w:tbl>
      <w:tblPr>
        <w:tblStyle w:val="27"/>
        <w:tblW w:w="9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1"/>
        <w:gridCol w:w="709"/>
        <w:gridCol w:w="5812"/>
        <w:gridCol w:w="567"/>
        <w:gridCol w:w="567"/>
        <w:gridCol w:w="708"/>
        <w:gridCol w:w="513"/>
      </w:tblGrid>
      <w:tr w14:paraId="21C10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941" w:type="dxa"/>
            <w:vMerge w:val="restart"/>
            <w:vAlign w:val="center"/>
          </w:tcPr>
          <w:p w14:paraId="0D0634FD">
            <w:pPr>
              <w:jc w:val="center"/>
              <w:rPr>
                <w:rFonts w:ascii="宋体" w:hAnsi="宋体"/>
                <w:b/>
                <w:color w:val="auto"/>
                <w:szCs w:val="21"/>
              </w:rPr>
            </w:pPr>
            <w:r>
              <w:rPr>
                <w:rFonts w:hint="eastAsia" w:ascii="宋体" w:hAnsi="宋体"/>
                <w:b/>
                <w:color w:val="auto"/>
                <w:szCs w:val="21"/>
              </w:rPr>
              <w:t>文件</w:t>
            </w:r>
          </w:p>
          <w:p w14:paraId="6723DD71">
            <w:pPr>
              <w:jc w:val="center"/>
              <w:rPr>
                <w:rFonts w:ascii="宋体" w:hAnsi="宋体"/>
                <w:b/>
                <w:color w:val="auto"/>
                <w:szCs w:val="21"/>
              </w:rPr>
            </w:pPr>
            <w:r>
              <w:rPr>
                <w:rFonts w:ascii="宋体" w:hAnsi="宋体"/>
                <w:b/>
                <w:color w:val="auto"/>
                <w:szCs w:val="21"/>
              </w:rPr>
              <w:t>类型</w:t>
            </w:r>
          </w:p>
        </w:tc>
        <w:tc>
          <w:tcPr>
            <w:tcW w:w="709" w:type="dxa"/>
            <w:vMerge w:val="restart"/>
            <w:vAlign w:val="center"/>
          </w:tcPr>
          <w:p w14:paraId="625ABF83">
            <w:pPr>
              <w:ind w:left="-88" w:leftChars="-42" w:right="-82" w:rightChars="-39"/>
              <w:jc w:val="center"/>
              <w:rPr>
                <w:rFonts w:ascii="宋体" w:hAnsi="宋体"/>
                <w:b/>
                <w:color w:val="auto"/>
                <w:szCs w:val="21"/>
              </w:rPr>
            </w:pPr>
            <w:r>
              <w:rPr>
                <w:rFonts w:ascii="宋体" w:hAnsi="宋体"/>
                <w:b/>
                <w:color w:val="auto"/>
                <w:szCs w:val="21"/>
              </w:rPr>
              <w:t>序号</w:t>
            </w:r>
          </w:p>
        </w:tc>
        <w:tc>
          <w:tcPr>
            <w:tcW w:w="5812" w:type="dxa"/>
            <w:vMerge w:val="restart"/>
            <w:vAlign w:val="center"/>
          </w:tcPr>
          <w:p w14:paraId="704ADB9B">
            <w:pPr>
              <w:jc w:val="center"/>
              <w:rPr>
                <w:rFonts w:ascii="宋体" w:hAnsi="宋体"/>
                <w:b/>
                <w:color w:val="auto"/>
                <w:szCs w:val="21"/>
              </w:rPr>
            </w:pPr>
            <w:r>
              <w:rPr>
                <w:rFonts w:hint="eastAsia" w:ascii="宋体" w:hAnsi="宋体"/>
                <w:b/>
                <w:color w:val="auto"/>
                <w:szCs w:val="21"/>
              </w:rPr>
              <w:t>文件名</w:t>
            </w:r>
          </w:p>
        </w:tc>
        <w:tc>
          <w:tcPr>
            <w:tcW w:w="1134" w:type="dxa"/>
            <w:gridSpan w:val="2"/>
            <w:vAlign w:val="center"/>
          </w:tcPr>
          <w:p w14:paraId="4E0B2E4B">
            <w:pPr>
              <w:jc w:val="center"/>
              <w:rPr>
                <w:rFonts w:ascii="宋体" w:hAnsi="宋体"/>
                <w:b/>
                <w:color w:val="auto"/>
                <w:szCs w:val="21"/>
              </w:rPr>
            </w:pPr>
            <w:r>
              <w:rPr>
                <w:rFonts w:ascii="宋体" w:hAnsi="宋体"/>
                <w:b/>
                <w:color w:val="auto"/>
                <w:szCs w:val="21"/>
              </w:rPr>
              <w:t>提交情况</w:t>
            </w:r>
          </w:p>
        </w:tc>
        <w:tc>
          <w:tcPr>
            <w:tcW w:w="708" w:type="dxa"/>
            <w:vMerge w:val="restart"/>
            <w:vAlign w:val="center"/>
          </w:tcPr>
          <w:p w14:paraId="2100D696">
            <w:pPr>
              <w:jc w:val="center"/>
              <w:rPr>
                <w:rFonts w:ascii="宋体" w:hAnsi="宋体"/>
                <w:b/>
                <w:color w:val="auto"/>
                <w:szCs w:val="21"/>
              </w:rPr>
            </w:pPr>
            <w:r>
              <w:rPr>
                <w:rFonts w:ascii="宋体" w:hAnsi="宋体"/>
                <w:b/>
                <w:color w:val="auto"/>
                <w:szCs w:val="21"/>
              </w:rPr>
              <w:t>页码范围</w:t>
            </w:r>
          </w:p>
        </w:tc>
        <w:tc>
          <w:tcPr>
            <w:tcW w:w="513" w:type="dxa"/>
            <w:vMerge w:val="restart"/>
            <w:vAlign w:val="center"/>
          </w:tcPr>
          <w:p w14:paraId="47CB6D1B">
            <w:pPr>
              <w:jc w:val="center"/>
              <w:rPr>
                <w:rFonts w:ascii="宋体" w:hAnsi="宋体"/>
                <w:b/>
                <w:color w:val="auto"/>
                <w:szCs w:val="21"/>
              </w:rPr>
            </w:pPr>
            <w:r>
              <w:rPr>
                <w:rFonts w:ascii="宋体" w:hAnsi="宋体"/>
                <w:b/>
                <w:color w:val="auto"/>
                <w:szCs w:val="21"/>
              </w:rPr>
              <w:t>备注</w:t>
            </w:r>
          </w:p>
        </w:tc>
      </w:tr>
      <w:tr w14:paraId="79BEA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694F6C29">
            <w:pPr>
              <w:jc w:val="center"/>
              <w:rPr>
                <w:rFonts w:ascii="宋体" w:hAnsi="宋体"/>
                <w:color w:val="auto"/>
                <w:szCs w:val="21"/>
              </w:rPr>
            </w:pPr>
          </w:p>
        </w:tc>
        <w:tc>
          <w:tcPr>
            <w:tcW w:w="709" w:type="dxa"/>
            <w:vMerge w:val="continue"/>
            <w:vAlign w:val="center"/>
          </w:tcPr>
          <w:p w14:paraId="370D259C">
            <w:pPr>
              <w:rPr>
                <w:rFonts w:ascii="宋体" w:hAnsi="宋体"/>
                <w:color w:val="auto"/>
                <w:szCs w:val="21"/>
              </w:rPr>
            </w:pPr>
          </w:p>
        </w:tc>
        <w:tc>
          <w:tcPr>
            <w:tcW w:w="5812" w:type="dxa"/>
            <w:vMerge w:val="continue"/>
            <w:vAlign w:val="center"/>
          </w:tcPr>
          <w:p w14:paraId="5F3AAE87">
            <w:pPr>
              <w:rPr>
                <w:rFonts w:ascii="宋体" w:hAnsi="宋体"/>
                <w:color w:val="auto"/>
                <w:szCs w:val="21"/>
              </w:rPr>
            </w:pPr>
          </w:p>
        </w:tc>
        <w:tc>
          <w:tcPr>
            <w:tcW w:w="567" w:type="dxa"/>
            <w:vAlign w:val="center"/>
          </w:tcPr>
          <w:p w14:paraId="5B745E41">
            <w:pPr>
              <w:jc w:val="center"/>
              <w:rPr>
                <w:rFonts w:ascii="宋体" w:hAnsi="宋体"/>
                <w:b/>
                <w:color w:val="auto"/>
                <w:szCs w:val="21"/>
              </w:rPr>
            </w:pPr>
            <w:r>
              <w:rPr>
                <w:rFonts w:hint="eastAsia" w:ascii="宋体" w:hAnsi="宋体"/>
                <w:b/>
                <w:color w:val="auto"/>
                <w:szCs w:val="21"/>
              </w:rPr>
              <w:t>有</w:t>
            </w:r>
          </w:p>
        </w:tc>
        <w:tc>
          <w:tcPr>
            <w:tcW w:w="567" w:type="dxa"/>
            <w:vAlign w:val="center"/>
          </w:tcPr>
          <w:p w14:paraId="30EFC2CF">
            <w:pPr>
              <w:jc w:val="center"/>
              <w:rPr>
                <w:rFonts w:ascii="宋体" w:hAnsi="宋体"/>
                <w:b/>
                <w:color w:val="auto"/>
                <w:szCs w:val="21"/>
              </w:rPr>
            </w:pPr>
            <w:r>
              <w:rPr>
                <w:rFonts w:ascii="宋体" w:hAnsi="宋体"/>
                <w:b/>
                <w:color w:val="auto"/>
                <w:szCs w:val="21"/>
              </w:rPr>
              <w:t>无</w:t>
            </w:r>
          </w:p>
        </w:tc>
        <w:tc>
          <w:tcPr>
            <w:tcW w:w="708" w:type="dxa"/>
            <w:vMerge w:val="continue"/>
            <w:vAlign w:val="center"/>
          </w:tcPr>
          <w:p w14:paraId="7BC2E68A">
            <w:pPr>
              <w:jc w:val="center"/>
              <w:rPr>
                <w:rFonts w:ascii="宋体" w:hAnsi="宋体"/>
                <w:color w:val="auto"/>
                <w:szCs w:val="21"/>
              </w:rPr>
            </w:pPr>
          </w:p>
        </w:tc>
        <w:tc>
          <w:tcPr>
            <w:tcW w:w="513" w:type="dxa"/>
            <w:vMerge w:val="continue"/>
            <w:vAlign w:val="center"/>
          </w:tcPr>
          <w:p w14:paraId="3520D357">
            <w:pPr>
              <w:jc w:val="center"/>
              <w:rPr>
                <w:rFonts w:ascii="宋体" w:hAnsi="宋体"/>
                <w:color w:val="auto"/>
                <w:szCs w:val="21"/>
              </w:rPr>
            </w:pPr>
          </w:p>
        </w:tc>
      </w:tr>
      <w:tr w14:paraId="22BA0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restart"/>
            <w:vAlign w:val="center"/>
          </w:tcPr>
          <w:p w14:paraId="008AF866">
            <w:pPr>
              <w:jc w:val="center"/>
              <w:rPr>
                <w:rFonts w:ascii="宋体" w:hAnsi="宋体"/>
                <w:b/>
                <w:color w:val="auto"/>
                <w:szCs w:val="21"/>
              </w:rPr>
            </w:pPr>
            <w:r>
              <w:rPr>
                <w:rFonts w:ascii="宋体" w:hAnsi="宋体"/>
                <w:b/>
                <w:color w:val="auto"/>
                <w:szCs w:val="21"/>
              </w:rPr>
              <w:t>资格性</w:t>
            </w:r>
          </w:p>
          <w:p w14:paraId="04295F99">
            <w:pPr>
              <w:jc w:val="center"/>
              <w:rPr>
                <w:rFonts w:ascii="宋体" w:hAnsi="宋体"/>
                <w:b/>
                <w:color w:val="auto"/>
                <w:szCs w:val="21"/>
              </w:rPr>
            </w:pPr>
            <w:r>
              <w:rPr>
                <w:rFonts w:hint="eastAsia" w:ascii="宋体" w:hAnsi="宋体"/>
                <w:b/>
                <w:color w:val="auto"/>
                <w:szCs w:val="21"/>
              </w:rPr>
              <w:t>文件</w:t>
            </w:r>
          </w:p>
        </w:tc>
        <w:tc>
          <w:tcPr>
            <w:tcW w:w="709" w:type="dxa"/>
            <w:vAlign w:val="center"/>
          </w:tcPr>
          <w:p w14:paraId="3848FCD7">
            <w:pPr>
              <w:jc w:val="center"/>
              <w:rPr>
                <w:rFonts w:ascii="宋体" w:hAnsi="宋体"/>
                <w:color w:val="auto"/>
                <w:szCs w:val="21"/>
              </w:rPr>
            </w:pPr>
            <w:r>
              <w:rPr>
                <w:rFonts w:ascii="宋体" w:hAnsi="宋体"/>
                <w:color w:val="auto"/>
                <w:szCs w:val="21"/>
              </w:rPr>
              <w:t>1</w:t>
            </w:r>
          </w:p>
        </w:tc>
        <w:tc>
          <w:tcPr>
            <w:tcW w:w="5812" w:type="dxa"/>
            <w:vAlign w:val="center"/>
          </w:tcPr>
          <w:p w14:paraId="5EB2B33F">
            <w:pPr>
              <w:pStyle w:val="70"/>
              <w:widowControl w:val="0"/>
              <w:pBdr>
                <w:bottom w:val="none" w:color="auto" w:sz="0" w:space="0"/>
                <w:right w:val="none" w:color="auto" w:sz="0" w:space="0"/>
              </w:pBdr>
              <w:spacing w:before="0" w:beforeAutospacing="0" w:after="0" w:afterAutospacing="0"/>
              <w:jc w:val="both"/>
              <w:rPr>
                <w:rFonts w:cs="Courier New"/>
                <w:color w:val="auto"/>
                <w:kern w:val="2"/>
              </w:rPr>
            </w:pPr>
            <w:r>
              <w:rPr>
                <w:rFonts w:hint="eastAsia" w:cs="Courier New"/>
                <w:color w:val="auto"/>
                <w:kern w:val="2"/>
              </w:rPr>
              <w:t>提供在中华人民共和国境内注册的法人或其他组织的营业执照（或事业单位法人证书，或社会团体法人登记证书，或执业许可证）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如响应供应商为自然人的提供自然人身份证明复印件。</w:t>
            </w:r>
          </w:p>
        </w:tc>
        <w:tc>
          <w:tcPr>
            <w:tcW w:w="567" w:type="dxa"/>
            <w:vAlign w:val="center"/>
          </w:tcPr>
          <w:p w14:paraId="3DF1A5F7">
            <w:pPr>
              <w:jc w:val="center"/>
              <w:rPr>
                <w:rFonts w:ascii="宋体" w:hAnsi="宋体"/>
                <w:b/>
                <w:color w:val="auto"/>
                <w:szCs w:val="21"/>
              </w:rPr>
            </w:pPr>
          </w:p>
        </w:tc>
        <w:tc>
          <w:tcPr>
            <w:tcW w:w="567" w:type="dxa"/>
            <w:vAlign w:val="center"/>
          </w:tcPr>
          <w:p w14:paraId="21F98CEF">
            <w:pPr>
              <w:jc w:val="center"/>
              <w:rPr>
                <w:rFonts w:ascii="宋体" w:hAnsi="宋体"/>
                <w:b/>
                <w:color w:val="auto"/>
                <w:szCs w:val="21"/>
              </w:rPr>
            </w:pPr>
          </w:p>
        </w:tc>
        <w:tc>
          <w:tcPr>
            <w:tcW w:w="708" w:type="dxa"/>
            <w:vAlign w:val="center"/>
          </w:tcPr>
          <w:p w14:paraId="6210AD0A">
            <w:pPr>
              <w:jc w:val="center"/>
              <w:rPr>
                <w:rFonts w:ascii="宋体" w:hAnsi="宋体"/>
                <w:color w:val="auto"/>
                <w:szCs w:val="21"/>
              </w:rPr>
            </w:pPr>
          </w:p>
        </w:tc>
        <w:tc>
          <w:tcPr>
            <w:tcW w:w="513" w:type="dxa"/>
            <w:vAlign w:val="center"/>
          </w:tcPr>
          <w:p w14:paraId="6BAEF41B">
            <w:pPr>
              <w:jc w:val="center"/>
              <w:rPr>
                <w:rFonts w:ascii="宋体" w:hAnsi="宋体"/>
                <w:color w:val="auto"/>
                <w:szCs w:val="21"/>
              </w:rPr>
            </w:pPr>
          </w:p>
        </w:tc>
      </w:tr>
      <w:tr w14:paraId="7A6E2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454D7FC4">
            <w:pPr>
              <w:jc w:val="center"/>
              <w:rPr>
                <w:rFonts w:ascii="宋体" w:hAnsi="宋体"/>
                <w:color w:val="auto"/>
                <w:szCs w:val="21"/>
              </w:rPr>
            </w:pPr>
          </w:p>
        </w:tc>
        <w:tc>
          <w:tcPr>
            <w:tcW w:w="709" w:type="dxa"/>
            <w:vAlign w:val="center"/>
          </w:tcPr>
          <w:p w14:paraId="665D57DF">
            <w:pPr>
              <w:jc w:val="center"/>
              <w:rPr>
                <w:rFonts w:ascii="宋体" w:hAnsi="宋体"/>
                <w:color w:val="auto"/>
                <w:szCs w:val="21"/>
              </w:rPr>
            </w:pPr>
            <w:r>
              <w:rPr>
                <w:rFonts w:ascii="宋体" w:hAnsi="宋体"/>
                <w:color w:val="auto"/>
                <w:szCs w:val="21"/>
              </w:rPr>
              <w:t>2</w:t>
            </w:r>
          </w:p>
        </w:tc>
        <w:tc>
          <w:tcPr>
            <w:tcW w:w="5812" w:type="dxa"/>
            <w:vAlign w:val="center"/>
          </w:tcPr>
          <w:p w14:paraId="183E93F6">
            <w:pPr>
              <w:rPr>
                <w:rFonts w:ascii="宋体" w:cs="Tahoma"/>
                <w:color w:val="auto"/>
                <w:szCs w:val="21"/>
              </w:rPr>
            </w:pPr>
            <w:r>
              <w:rPr>
                <w:rFonts w:hint="eastAsia" w:ascii="宋体" w:cs="Tahoma"/>
                <w:color w:val="auto"/>
                <w:szCs w:val="21"/>
              </w:rPr>
              <w:t>具有良好的商业信誉和健全的财务会计制度。（提供响应供应商资格声明函，详见响应文件格式）</w:t>
            </w:r>
          </w:p>
        </w:tc>
        <w:tc>
          <w:tcPr>
            <w:tcW w:w="567" w:type="dxa"/>
            <w:vAlign w:val="center"/>
          </w:tcPr>
          <w:p w14:paraId="79FE7B03">
            <w:pPr>
              <w:jc w:val="center"/>
              <w:rPr>
                <w:rFonts w:ascii="宋体" w:hAnsi="宋体"/>
                <w:b/>
                <w:color w:val="auto"/>
                <w:szCs w:val="21"/>
              </w:rPr>
            </w:pPr>
          </w:p>
        </w:tc>
        <w:tc>
          <w:tcPr>
            <w:tcW w:w="567" w:type="dxa"/>
            <w:vAlign w:val="center"/>
          </w:tcPr>
          <w:p w14:paraId="76A26508">
            <w:pPr>
              <w:jc w:val="center"/>
              <w:rPr>
                <w:rFonts w:ascii="宋体" w:hAnsi="宋体"/>
                <w:b/>
                <w:color w:val="auto"/>
                <w:szCs w:val="21"/>
              </w:rPr>
            </w:pPr>
          </w:p>
        </w:tc>
        <w:tc>
          <w:tcPr>
            <w:tcW w:w="708" w:type="dxa"/>
            <w:vAlign w:val="center"/>
          </w:tcPr>
          <w:p w14:paraId="4251B4EC">
            <w:pPr>
              <w:jc w:val="center"/>
              <w:rPr>
                <w:rFonts w:ascii="宋体" w:hAnsi="宋体"/>
                <w:color w:val="auto"/>
                <w:szCs w:val="21"/>
              </w:rPr>
            </w:pPr>
          </w:p>
        </w:tc>
        <w:tc>
          <w:tcPr>
            <w:tcW w:w="513" w:type="dxa"/>
            <w:vAlign w:val="center"/>
          </w:tcPr>
          <w:p w14:paraId="38764703">
            <w:pPr>
              <w:jc w:val="center"/>
              <w:rPr>
                <w:rFonts w:ascii="宋体" w:hAnsi="宋体"/>
                <w:color w:val="auto"/>
                <w:szCs w:val="21"/>
              </w:rPr>
            </w:pPr>
          </w:p>
        </w:tc>
      </w:tr>
      <w:tr w14:paraId="0B48A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37D7EBD1">
            <w:pPr>
              <w:jc w:val="center"/>
              <w:rPr>
                <w:rFonts w:ascii="宋体" w:hAnsi="宋体"/>
                <w:color w:val="auto"/>
                <w:szCs w:val="21"/>
              </w:rPr>
            </w:pPr>
          </w:p>
        </w:tc>
        <w:tc>
          <w:tcPr>
            <w:tcW w:w="709" w:type="dxa"/>
            <w:vAlign w:val="center"/>
          </w:tcPr>
          <w:p w14:paraId="3D0C871D">
            <w:pPr>
              <w:jc w:val="center"/>
              <w:rPr>
                <w:rFonts w:ascii="宋体" w:hAnsi="宋体"/>
                <w:color w:val="auto"/>
                <w:szCs w:val="21"/>
              </w:rPr>
            </w:pPr>
            <w:r>
              <w:rPr>
                <w:rFonts w:ascii="宋体" w:hAnsi="宋体"/>
                <w:color w:val="auto"/>
                <w:szCs w:val="21"/>
              </w:rPr>
              <w:t>3</w:t>
            </w:r>
          </w:p>
        </w:tc>
        <w:tc>
          <w:tcPr>
            <w:tcW w:w="5812" w:type="dxa"/>
            <w:vAlign w:val="center"/>
          </w:tcPr>
          <w:p w14:paraId="1B6C0AAB">
            <w:pPr>
              <w:rPr>
                <w:rFonts w:ascii="宋体" w:cs="Tahoma"/>
                <w:color w:val="auto"/>
                <w:szCs w:val="21"/>
              </w:rPr>
            </w:pPr>
            <w:r>
              <w:rPr>
                <w:rFonts w:hint="eastAsia" w:ascii="宋体" w:cs="Tahoma"/>
                <w:color w:val="auto"/>
                <w:szCs w:val="21"/>
              </w:rPr>
              <w:t>具有履行合同所必需的专业技术能力。（提供响应供应商资格声明函，详见响应文件格式）</w:t>
            </w:r>
          </w:p>
        </w:tc>
        <w:tc>
          <w:tcPr>
            <w:tcW w:w="567" w:type="dxa"/>
            <w:vAlign w:val="center"/>
          </w:tcPr>
          <w:p w14:paraId="367101B0">
            <w:pPr>
              <w:jc w:val="center"/>
              <w:rPr>
                <w:rFonts w:ascii="宋体" w:hAnsi="宋体"/>
                <w:b/>
                <w:color w:val="auto"/>
                <w:szCs w:val="21"/>
              </w:rPr>
            </w:pPr>
          </w:p>
        </w:tc>
        <w:tc>
          <w:tcPr>
            <w:tcW w:w="567" w:type="dxa"/>
            <w:vAlign w:val="center"/>
          </w:tcPr>
          <w:p w14:paraId="7847B17E">
            <w:pPr>
              <w:jc w:val="center"/>
              <w:rPr>
                <w:rFonts w:ascii="宋体" w:hAnsi="宋体"/>
                <w:b/>
                <w:color w:val="auto"/>
                <w:szCs w:val="21"/>
              </w:rPr>
            </w:pPr>
          </w:p>
        </w:tc>
        <w:tc>
          <w:tcPr>
            <w:tcW w:w="708" w:type="dxa"/>
            <w:vAlign w:val="center"/>
          </w:tcPr>
          <w:p w14:paraId="6818985B">
            <w:pPr>
              <w:jc w:val="center"/>
              <w:rPr>
                <w:rFonts w:ascii="宋体" w:hAnsi="宋体"/>
                <w:color w:val="auto"/>
                <w:szCs w:val="21"/>
              </w:rPr>
            </w:pPr>
          </w:p>
        </w:tc>
        <w:tc>
          <w:tcPr>
            <w:tcW w:w="513" w:type="dxa"/>
            <w:vAlign w:val="center"/>
          </w:tcPr>
          <w:p w14:paraId="414E577D">
            <w:pPr>
              <w:jc w:val="center"/>
              <w:rPr>
                <w:rFonts w:ascii="宋体" w:hAnsi="宋体"/>
                <w:color w:val="auto"/>
                <w:szCs w:val="21"/>
              </w:rPr>
            </w:pPr>
          </w:p>
        </w:tc>
      </w:tr>
      <w:tr w14:paraId="0F35B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7EBB7D6C">
            <w:pPr>
              <w:jc w:val="center"/>
              <w:rPr>
                <w:rFonts w:ascii="宋体" w:hAnsi="宋体"/>
                <w:color w:val="auto"/>
                <w:szCs w:val="21"/>
              </w:rPr>
            </w:pPr>
          </w:p>
        </w:tc>
        <w:tc>
          <w:tcPr>
            <w:tcW w:w="709" w:type="dxa"/>
            <w:vAlign w:val="center"/>
          </w:tcPr>
          <w:p w14:paraId="418EAC9E">
            <w:pPr>
              <w:jc w:val="center"/>
              <w:rPr>
                <w:rFonts w:ascii="宋体" w:hAnsi="宋体"/>
                <w:color w:val="auto"/>
                <w:szCs w:val="21"/>
              </w:rPr>
            </w:pPr>
            <w:r>
              <w:rPr>
                <w:rFonts w:ascii="宋体" w:hAnsi="宋体"/>
                <w:color w:val="auto"/>
                <w:szCs w:val="21"/>
              </w:rPr>
              <w:t>4</w:t>
            </w:r>
          </w:p>
        </w:tc>
        <w:tc>
          <w:tcPr>
            <w:tcW w:w="5812" w:type="dxa"/>
            <w:vAlign w:val="center"/>
          </w:tcPr>
          <w:p w14:paraId="675293F5">
            <w:pPr>
              <w:rPr>
                <w:rFonts w:ascii="宋体" w:cs="Tahoma"/>
                <w:color w:val="auto"/>
                <w:szCs w:val="21"/>
              </w:rPr>
            </w:pPr>
            <w:r>
              <w:rPr>
                <w:rFonts w:hint="eastAsia" w:ascii="宋体" w:cs="Tahoma"/>
                <w:color w:val="auto"/>
                <w:szCs w:val="21"/>
              </w:rPr>
              <w:t>具有依法缴纳税收和社会保障资金的良好记录。（提供响应供应商资格声明函，详见响应文件格式）</w:t>
            </w:r>
          </w:p>
        </w:tc>
        <w:tc>
          <w:tcPr>
            <w:tcW w:w="567" w:type="dxa"/>
            <w:vAlign w:val="center"/>
          </w:tcPr>
          <w:p w14:paraId="3F65A918">
            <w:pPr>
              <w:jc w:val="center"/>
              <w:rPr>
                <w:rFonts w:ascii="宋体" w:hAnsi="宋体"/>
                <w:b/>
                <w:color w:val="auto"/>
                <w:szCs w:val="21"/>
              </w:rPr>
            </w:pPr>
          </w:p>
        </w:tc>
        <w:tc>
          <w:tcPr>
            <w:tcW w:w="567" w:type="dxa"/>
            <w:vAlign w:val="center"/>
          </w:tcPr>
          <w:p w14:paraId="788A639B">
            <w:pPr>
              <w:jc w:val="center"/>
              <w:rPr>
                <w:rFonts w:ascii="宋体" w:hAnsi="宋体"/>
                <w:b/>
                <w:color w:val="auto"/>
                <w:szCs w:val="21"/>
              </w:rPr>
            </w:pPr>
          </w:p>
        </w:tc>
        <w:tc>
          <w:tcPr>
            <w:tcW w:w="708" w:type="dxa"/>
            <w:vAlign w:val="center"/>
          </w:tcPr>
          <w:p w14:paraId="2A725CCE">
            <w:pPr>
              <w:jc w:val="center"/>
              <w:rPr>
                <w:rFonts w:ascii="宋体" w:hAnsi="宋体"/>
                <w:color w:val="auto"/>
                <w:szCs w:val="21"/>
              </w:rPr>
            </w:pPr>
          </w:p>
        </w:tc>
        <w:tc>
          <w:tcPr>
            <w:tcW w:w="513" w:type="dxa"/>
            <w:vAlign w:val="center"/>
          </w:tcPr>
          <w:p w14:paraId="23964AE5">
            <w:pPr>
              <w:jc w:val="center"/>
              <w:rPr>
                <w:rFonts w:ascii="宋体" w:hAnsi="宋体"/>
                <w:color w:val="auto"/>
                <w:szCs w:val="21"/>
              </w:rPr>
            </w:pPr>
          </w:p>
        </w:tc>
      </w:tr>
      <w:tr w14:paraId="3FB54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4D42368E">
            <w:pPr>
              <w:jc w:val="center"/>
              <w:rPr>
                <w:rFonts w:ascii="宋体" w:hAnsi="宋体"/>
                <w:color w:val="auto"/>
                <w:szCs w:val="21"/>
              </w:rPr>
            </w:pPr>
          </w:p>
        </w:tc>
        <w:tc>
          <w:tcPr>
            <w:tcW w:w="709" w:type="dxa"/>
            <w:vAlign w:val="center"/>
          </w:tcPr>
          <w:p w14:paraId="2F145C60">
            <w:pPr>
              <w:jc w:val="center"/>
              <w:rPr>
                <w:rFonts w:ascii="宋体" w:hAnsi="宋体"/>
                <w:color w:val="auto"/>
                <w:szCs w:val="21"/>
              </w:rPr>
            </w:pPr>
            <w:r>
              <w:rPr>
                <w:rFonts w:ascii="宋体" w:hAnsi="宋体"/>
                <w:color w:val="auto"/>
                <w:szCs w:val="21"/>
              </w:rPr>
              <w:t>5</w:t>
            </w:r>
          </w:p>
        </w:tc>
        <w:tc>
          <w:tcPr>
            <w:tcW w:w="5812" w:type="dxa"/>
          </w:tcPr>
          <w:p w14:paraId="107AA832">
            <w:pPr>
              <w:rPr>
                <w:rFonts w:ascii="宋体" w:cs="Tahoma"/>
                <w:color w:val="auto"/>
                <w:szCs w:val="21"/>
              </w:rPr>
            </w:pPr>
            <w:r>
              <w:rPr>
                <w:rFonts w:hint="eastAsia" w:ascii="宋体" w:cs="Tahoma"/>
                <w:color w:val="auto"/>
                <w:szCs w:val="21"/>
              </w:rPr>
              <w:t>参加采购活动前三年内，在经营活动中没有重大违法记录声明函。（提供响应供应商资格声明函，详见响应文件格式）</w:t>
            </w:r>
          </w:p>
        </w:tc>
        <w:tc>
          <w:tcPr>
            <w:tcW w:w="567" w:type="dxa"/>
            <w:vAlign w:val="center"/>
          </w:tcPr>
          <w:p w14:paraId="7C9C8A7C">
            <w:pPr>
              <w:jc w:val="center"/>
              <w:rPr>
                <w:rFonts w:ascii="宋体" w:hAnsi="宋体"/>
                <w:b/>
                <w:color w:val="auto"/>
                <w:szCs w:val="21"/>
              </w:rPr>
            </w:pPr>
          </w:p>
        </w:tc>
        <w:tc>
          <w:tcPr>
            <w:tcW w:w="567" w:type="dxa"/>
            <w:vAlign w:val="center"/>
          </w:tcPr>
          <w:p w14:paraId="0DA3B3B1">
            <w:pPr>
              <w:jc w:val="center"/>
              <w:rPr>
                <w:rFonts w:ascii="宋体" w:hAnsi="宋体"/>
                <w:b/>
                <w:color w:val="auto"/>
                <w:szCs w:val="21"/>
              </w:rPr>
            </w:pPr>
          </w:p>
        </w:tc>
        <w:tc>
          <w:tcPr>
            <w:tcW w:w="708" w:type="dxa"/>
            <w:vAlign w:val="center"/>
          </w:tcPr>
          <w:p w14:paraId="0A3C7AC6">
            <w:pPr>
              <w:jc w:val="center"/>
              <w:rPr>
                <w:rFonts w:ascii="宋体" w:hAnsi="宋体"/>
                <w:color w:val="auto"/>
                <w:szCs w:val="21"/>
              </w:rPr>
            </w:pPr>
          </w:p>
        </w:tc>
        <w:tc>
          <w:tcPr>
            <w:tcW w:w="513" w:type="dxa"/>
            <w:vAlign w:val="center"/>
          </w:tcPr>
          <w:p w14:paraId="38E5E67C">
            <w:pPr>
              <w:jc w:val="center"/>
              <w:rPr>
                <w:rFonts w:ascii="宋体" w:hAnsi="宋体"/>
                <w:color w:val="auto"/>
                <w:szCs w:val="21"/>
              </w:rPr>
            </w:pPr>
          </w:p>
        </w:tc>
      </w:tr>
      <w:tr w14:paraId="7E82D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440226FD">
            <w:pPr>
              <w:jc w:val="center"/>
              <w:rPr>
                <w:rFonts w:ascii="宋体" w:hAnsi="宋体"/>
                <w:color w:val="auto"/>
                <w:szCs w:val="21"/>
              </w:rPr>
            </w:pPr>
          </w:p>
        </w:tc>
        <w:tc>
          <w:tcPr>
            <w:tcW w:w="709" w:type="dxa"/>
            <w:vAlign w:val="center"/>
          </w:tcPr>
          <w:p w14:paraId="7754999F">
            <w:pPr>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5812" w:type="dxa"/>
          </w:tcPr>
          <w:p w14:paraId="1E4BD434">
            <w:pPr>
              <w:rPr>
                <w:rFonts w:hint="eastAsia" w:ascii="宋体" w:hAnsi="宋体" w:cs="Courier New"/>
                <w:color w:val="auto"/>
                <w:szCs w:val="21"/>
              </w:rPr>
            </w:pPr>
            <w:r>
              <w:rPr>
                <w:rFonts w:hint="eastAsia" w:ascii="宋体" w:hAnsi="宋体" w:cs="宋体"/>
                <w:color w:val="auto"/>
                <w:szCs w:val="21"/>
                <w:lang w:val="en-US" w:eastAsia="zh-CN"/>
              </w:rPr>
              <w:t>存在任一级人民政府财政部门作出“禁止参加政府采购活动”行政处罚决定且处罚期限未届满的，不得参加政府采购活动。</w:t>
            </w:r>
            <w:r>
              <w:rPr>
                <w:rFonts w:hint="eastAsia" w:ascii="宋体" w:hAnsi="宋体" w:cs="Tahoma"/>
                <w:color w:val="auto"/>
                <w:szCs w:val="21"/>
              </w:rPr>
              <w:t>（提供响应供应商资格声明函，详见响应文件格式）</w:t>
            </w:r>
          </w:p>
        </w:tc>
        <w:tc>
          <w:tcPr>
            <w:tcW w:w="567" w:type="dxa"/>
            <w:vAlign w:val="center"/>
          </w:tcPr>
          <w:p w14:paraId="2763429F">
            <w:pPr>
              <w:jc w:val="center"/>
              <w:rPr>
                <w:rFonts w:ascii="宋体" w:hAnsi="宋体"/>
                <w:b/>
                <w:color w:val="auto"/>
                <w:szCs w:val="21"/>
              </w:rPr>
            </w:pPr>
          </w:p>
        </w:tc>
        <w:tc>
          <w:tcPr>
            <w:tcW w:w="567" w:type="dxa"/>
            <w:vAlign w:val="center"/>
          </w:tcPr>
          <w:p w14:paraId="2B83829D">
            <w:pPr>
              <w:jc w:val="center"/>
              <w:rPr>
                <w:rFonts w:ascii="宋体" w:hAnsi="宋体"/>
                <w:b/>
                <w:color w:val="auto"/>
                <w:szCs w:val="21"/>
              </w:rPr>
            </w:pPr>
          </w:p>
        </w:tc>
        <w:tc>
          <w:tcPr>
            <w:tcW w:w="708" w:type="dxa"/>
            <w:vAlign w:val="center"/>
          </w:tcPr>
          <w:p w14:paraId="123F458F">
            <w:pPr>
              <w:jc w:val="center"/>
              <w:rPr>
                <w:rFonts w:ascii="宋体" w:hAnsi="宋体"/>
                <w:color w:val="auto"/>
                <w:szCs w:val="21"/>
              </w:rPr>
            </w:pPr>
          </w:p>
        </w:tc>
        <w:tc>
          <w:tcPr>
            <w:tcW w:w="513" w:type="dxa"/>
            <w:vAlign w:val="center"/>
          </w:tcPr>
          <w:p w14:paraId="5A177348">
            <w:pPr>
              <w:jc w:val="center"/>
              <w:rPr>
                <w:rFonts w:ascii="宋体" w:hAnsi="宋体"/>
                <w:color w:val="auto"/>
                <w:szCs w:val="21"/>
              </w:rPr>
            </w:pPr>
          </w:p>
        </w:tc>
      </w:tr>
      <w:tr w14:paraId="45A24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69623D0E">
            <w:pPr>
              <w:jc w:val="center"/>
              <w:rPr>
                <w:rFonts w:ascii="宋体" w:hAnsi="宋体"/>
                <w:color w:val="auto"/>
                <w:szCs w:val="21"/>
              </w:rPr>
            </w:pPr>
          </w:p>
        </w:tc>
        <w:tc>
          <w:tcPr>
            <w:tcW w:w="709" w:type="dxa"/>
            <w:vAlign w:val="center"/>
          </w:tcPr>
          <w:p w14:paraId="5019020A">
            <w:pPr>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5812" w:type="dxa"/>
          </w:tcPr>
          <w:p w14:paraId="32D32159">
            <w:pPr>
              <w:rPr>
                <w:rFonts w:ascii="宋体" w:hAnsi="宋体" w:cs="Courier New"/>
                <w:color w:val="auto"/>
                <w:szCs w:val="21"/>
              </w:rPr>
            </w:pPr>
            <w:r>
              <w:rPr>
                <w:rFonts w:hint="eastAsia" w:ascii="宋体" w:hAnsi="宋体" w:cs="Courier New"/>
                <w:color w:val="auto"/>
                <w:szCs w:val="21"/>
              </w:rPr>
              <w:t>提供《公平竞争承诺书》。</w:t>
            </w:r>
          </w:p>
        </w:tc>
        <w:tc>
          <w:tcPr>
            <w:tcW w:w="567" w:type="dxa"/>
            <w:vAlign w:val="center"/>
          </w:tcPr>
          <w:p w14:paraId="298EA20D">
            <w:pPr>
              <w:jc w:val="center"/>
              <w:rPr>
                <w:rFonts w:ascii="宋体" w:hAnsi="宋体"/>
                <w:b/>
                <w:color w:val="auto"/>
                <w:szCs w:val="21"/>
              </w:rPr>
            </w:pPr>
          </w:p>
        </w:tc>
        <w:tc>
          <w:tcPr>
            <w:tcW w:w="567" w:type="dxa"/>
            <w:vAlign w:val="center"/>
          </w:tcPr>
          <w:p w14:paraId="483CA155">
            <w:pPr>
              <w:jc w:val="center"/>
              <w:rPr>
                <w:rFonts w:ascii="宋体" w:hAnsi="宋体"/>
                <w:b/>
                <w:color w:val="auto"/>
                <w:szCs w:val="21"/>
              </w:rPr>
            </w:pPr>
          </w:p>
        </w:tc>
        <w:tc>
          <w:tcPr>
            <w:tcW w:w="708" w:type="dxa"/>
            <w:vAlign w:val="center"/>
          </w:tcPr>
          <w:p w14:paraId="6B056230">
            <w:pPr>
              <w:jc w:val="center"/>
              <w:rPr>
                <w:rFonts w:ascii="宋体" w:hAnsi="宋体"/>
                <w:color w:val="auto"/>
                <w:szCs w:val="21"/>
              </w:rPr>
            </w:pPr>
          </w:p>
        </w:tc>
        <w:tc>
          <w:tcPr>
            <w:tcW w:w="513" w:type="dxa"/>
            <w:vAlign w:val="center"/>
          </w:tcPr>
          <w:p w14:paraId="6134C1CB">
            <w:pPr>
              <w:jc w:val="center"/>
              <w:rPr>
                <w:rFonts w:ascii="宋体" w:hAnsi="宋体"/>
                <w:color w:val="auto"/>
                <w:szCs w:val="21"/>
              </w:rPr>
            </w:pPr>
          </w:p>
        </w:tc>
      </w:tr>
      <w:tr w14:paraId="73C93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46C4634E">
            <w:pPr>
              <w:jc w:val="center"/>
              <w:rPr>
                <w:rFonts w:ascii="宋体" w:hAnsi="宋体"/>
                <w:color w:val="auto"/>
                <w:szCs w:val="21"/>
              </w:rPr>
            </w:pPr>
          </w:p>
        </w:tc>
        <w:tc>
          <w:tcPr>
            <w:tcW w:w="709" w:type="dxa"/>
            <w:vAlign w:val="center"/>
          </w:tcPr>
          <w:p w14:paraId="3F5A3E4A">
            <w:pPr>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5812" w:type="dxa"/>
          </w:tcPr>
          <w:p w14:paraId="77DB14D7">
            <w:pPr>
              <w:rPr>
                <w:rFonts w:ascii="宋体" w:cs="Tahoma"/>
                <w:color w:val="auto"/>
                <w:szCs w:val="21"/>
              </w:rPr>
            </w:pPr>
            <w:r>
              <w:rPr>
                <w:rFonts w:hint="eastAsia" w:ascii="宋体" w:cs="Tahoma"/>
                <w:color w:val="auto"/>
                <w:szCs w:val="21"/>
              </w:rPr>
              <w:t>为采购项目提供整体设计、规范编制或者项目管理、监理、检测等服务的供应商，不得再参加同一采购项目的其他采购活动。（提供响应供应商资格声明函，详见响应文件格式）</w:t>
            </w:r>
          </w:p>
        </w:tc>
        <w:tc>
          <w:tcPr>
            <w:tcW w:w="567" w:type="dxa"/>
            <w:vAlign w:val="center"/>
          </w:tcPr>
          <w:p w14:paraId="623E6CDF">
            <w:pPr>
              <w:jc w:val="center"/>
              <w:rPr>
                <w:rFonts w:ascii="宋体" w:hAnsi="宋体"/>
                <w:b/>
                <w:color w:val="auto"/>
                <w:szCs w:val="21"/>
              </w:rPr>
            </w:pPr>
          </w:p>
        </w:tc>
        <w:tc>
          <w:tcPr>
            <w:tcW w:w="567" w:type="dxa"/>
            <w:vAlign w:val="center"/>
          </w:tcPr>
          <w:p w14:paraId="48D1C52A">
            <w:pPr>
              <w:jc w:val="center"/>
              <w:rPr>
                <w:rFonts w:ascii="宋体" w:hAnsi="宋体"/>
                <w:b/>
                <w:color w:val="auto"/>
                <w:szCs w:val="21"/>
              </w:rPr>
            </w:pPr>
          </w:p>
        </w:tc>
        <w:tc>
          <w:tcPr>
            <w:tcW w:w="708" w:type="dxa"/>
            <w:vAlign w:val="center"/>
          </w:tcPr>
          <w:p w14:paraId="5725777B">
            <w:pPr>
              <w:jc w:val="center"/>
              <w:rPr>
                <w:rFonts w:ascii="宋体" w:hAnsi="宋体"/>
                <w:color w:val="auto"/>
                <w:szCs w:val="21"/>
              </w:rPr>
            </w:pPr>
          </w:p>
        </w:tc>
        <w:tc>
          <w:tcPr>
            <w:tcW w:w="513" w:type="dxa"/>
            <w:vAlign w:val="center"/>
          </w:tcPr>
          <w:p w14:paraId="0D19CA0F">
            <w:pPr>
              <w:jc w:val="center"/>
              <w:rPr>
                <w:rFonts w:ascii="宋体" w:hAnsi="宋体"/>
                <w:color w:val="auto"/>
                <w:szCs w:val="21"/>
              </w:rPr>
            </w:pPr>
          </w:p>
        </w:tc>
      </w:tr>
      <w:tr w14:paraId="59025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790FC888">
            <w:pPr>
              <w:jc w:val="center"/>
              <w:rPr>
                <w:rFonts w:ascii="宋体" w:hAnsi="宋体"/>
                <w:color w:val="auto"/>
                <w:szCs w:val="21"/>
              </w:rPr>
            </w:pPr>
          </w:p>
        </w:tc>
        <w:tc>
          <w:tcPr>
            <w:tcW w:w="709" w:type="dxa"/>
            <w:vAlign w:val="center"/>
          </w:tcPr>
          <w:p w14:paraId="35793075">
            <w:pPr>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5812" w:type="dxa"/>
          </w:tcPr>
          <w:p w14:paraId="1E26EA06">
            <w:pPr>
              <w:rPr>
                <w:rFonts w:ascii="宋体" w:cs="Tahoma"/>
                <w:color w:val="auto"/>
                <w:szCs w:val="21"/>
              </w:rPr>
            </w:pPr>
            <w:r>
              <w:rPr>
                <w:rFonts w:hint="eastAsia" w:ascii="宋体" w:cs="Tahoma"/>
                <w:color w:val="auto"/>
                <w:szCs w:val="21"/>
              </w:rPr>
              <w:t>单位负责人为同一人或者存在直接控股、管理关系的不同供应商，不得参加同一合同项下的采购活动。（提供响应供应商资格声明函，详见响应文件格式）</w:t>
            </w:r>
          </w:p>
        </w:tc>
        <w:tc>
          <w:tcPr>
            <w:tcW w:w="567" w:type="dxa"/>
            <w:vAlign w:val="center"/>
          </w:tcPr>
          <w:p w14:paraId="4D70BB73">
            <w:pPr>
              <w:jc w:val="center"/>
              <w:rPr>
                <w:rFonts w:ascii="宋体" w:hAnsi="宋体"/>
                <w:b/>
                <w:color w:val="auto"/>
                <w:szCs w:val="21"/>
              </w:rPr>
            </w:pPr>
          </w:p>
        </w:tc>
        <w:tc>
          <w:tcPr>
            <w:tcW w:w="567" w:type="dxa"/>
            <w:vAlign w:val="center"/>
          </w:tcPr>
          <w:p w14:paraId="4BD9D63A">
            <w:pPr>
              <w:jc w:val="center"/>
              <w:rPr>
                <w:rFonts w:ascii="宋体" w:hAnsi="宋体"/>
                <w:b/>
                <w:color w:val="auto"/>
                <w:szCs w:val="21"/>
              </w:rPr>
            </w:pPr>
          </w:p>
        </w:tc>
        <w:tc>
          <w:tcPr>
            <w:tcW w:w="708" w:type="dxa"/>
            <w:vAlign w:val="center"/>
          </w:tcPr>
          <w:p w14:paraId="359F80D0">
            <w:pPr>
              <w:jc w:val="center"/>
              <w:rPr>
                <w:rFonts w:ascii="宋体" w:hAnsi="宋体"/>
                <w:color w:val="auto"/>
                <w:szCs w:val="21"/>
              </w:rPr>
            </w:pPr>
          </w:p>
        </w:tc>
        <w:tc>
          <w:tcPr>
            <w:tcW w:w="513" w:type="dxa"/>
            <w:vAlign w:val="center"/>
          </w:tcPr>
          <w:p w14:paraId="57C423BB">
            <w:pPr>
              <w:jc w:val="center"/>
              <w:rPr>
                <w:rFonts w:ascii="宋体" w:hAnsi="宋体"/>
                <w:color w:val="auto"/>
                <w:szCs w:val="21"/>
              </w:rPr>
            </w:pPr>
          </w:p>
        </w:tc>
      </w:tr>
      <w:tr w14:paraId="15E2D2F2">
        <w:tblPrEx>
          <w:tblCellMar>
            <w:top w:w="0" w:type="dxa"/>
            <w:left w:w="108" w:type="dxa"/>
            <w:bottom w:w="0" w:type="dxa"/>
            <w:right w:w="108" w:type="dxa"/>
          </w:tblCellMar>
        </w:tblPrEx>
        <w:trPr>
          <w:cantSplit/>
          <w:trHeight w:val="238" w:hRule="atLeast"/>
          <w:jc w:val="center"/>
        </w:trPr>
        <w:tc>
          <w:tcPr>
            <w:tcW w:w="941" w:type="dxa"/>
            <w:vMerge w:val="continue"/>
            <w:vAlign w:val="center"/>
          </w:tcPr>
          <w:p w14:paraId="0EAD72D1">
            <w:pPr>
              <w:jc w:val="center"/>
              <w:rPr>
                <w:rFonts w:ascii="宋体" w:hAnsi="宋体"/>
                <w:color w:val="auto"/>
                <w:szCs w:val="21"/>
              </w:rPr>
            </w:pPr>
          </w:p>
        </w:tc>
        <w:tc>
          <w:tcPr>
            <w:tcW w:w="709" w:type="dxa"/>
            <w:vAlign w:val="center"/>
          </w:tcPr>
          <w:p w14:paraId="1FBE4253">
            <w:pPr>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5812" w:type="dxa"/>
          </w:tcPr>
          <w:p w14:paraId="758B4607">
            <w:pPr>
              <w:rPr>
                <w:rFonts w:ascii="宋体" w:hAnsi="宋体" w:cs="Courier New"/>
                <w:color w:val="auto"/>
                <w:szCs w:val="21"/>
              </w:rPr>
            </w:pPr>
            <w:r>
              <w:rPr>
                <w:rFonts w:hint="eastAsia" w:ascii="宋体" w:hAnsi="宋体" w:cs="Tahoma"/>
                <w:color w:val="auto"/>
                <w:szCs w:val="21"/>
              </w:rPr>
              <w:t>响应供应商未被列入“中国执行信息公开网”（ http://zxgk.court.gov.cn/shixin/）“记录失信被执行人”名单；“信用中国”网站(www.creditchina.gov.cn)“重大税收违法案件当事人名单、采购严重违法失信行为”。如查询结果未显示存在失信记录，视为不存在上述不良信用记录。（①由采购代理机构于投标截止日当天在上述网站进行查询，同时对信用信息查询记录和证据截图或下载存档；②响应供应商为分公司的，同时对该分公司所属总公司（总所）进行信用记录查询，该分公司所属总公司（总所）存在不良信用记录的，视同响应供应商存在不良信用记录；③如相关失信记录已失效，响应供应商必须提供相关证明资料。）</w:t>
            </w:r>
          </w:p>
        </w:tc>
        <w:tc>
          <w:tcPr>
            <w:tcW w:w="567" w:type="dxa"/>
            <w:vAlign w:val="center"/>
          </w:tcPr>
          <w:p w14:paraId="0D24C43F">
            <w:pPr>
              <w:jc w:val="center"/>
              <w:rPr>
                <w:rFonts w:ascii="宋体" w:hAnsi="宋体"/>
                <w:b/>
                <w:color w:val="auto"/>
                <w:szCs w:val="21"/>
              </w:rPr>
            </w:pPr>
          </w:p>
        </w:tc>
        <w:tc>
          <w:tcPr>
            <w:tcW w:w="567" w:type="dxa"/>
            <w:vAlign w:val="center"/>
          </w:tcPr>
          <w:p w14:paraId="23AF855F">
            <w:pPr>
              <w:jc w:val="center"/>
              <w:rPr>
                <w:rFonts w:ascii="宋体" w:hAnsi="宋体"/>
                <w:b/>
                <w:color w:val="auto"/>
                <w:szCs w:val="21"/>
              </w:rPr>
            </w:pPr>
          </w:p>
        </w:tc>
        <w:tc>
          <w:tcPr>
            <w:tcW w:w="708" w:type="dxa"/>
            <w:vAlign w:val="center"/>
          </w:tcPr>
          <w:p w14:paraId="3B106513">
            <w:pPr>
              <w:jc w:val="center"/>
              <w:rPr>
                <w:rFonts w:ascii="宋体" w:hAnsi="宋体"/>
                <w:color w:val="auto"/>
                <w:szCs w:val="21"/>
              </w:rPr>
            </w:pPr>
          </w:p>
        </w:tc>
        <w:tc>
          <w:tcPr>
            <w:tcW w:w="513" w:type="dxa"/>
            <w:vAlign w:val="center"/>
          </w:tcPr>
          <w:p w14:paraId="6C7DB1F8">
            <w:pPr>
              <w:jc w:val="center"/>
              <w:rPr>
                <w:rFonts w:ascii="宋体" w:hAnsi="宋体"/>
                <w:color w:val="auto"/>
                <w:szCs w:val="21"/>
              </w:rPr>
            </w:pPr>
          </w:p>
        </w:tc>
      </w:tr>
      <w:tr w14:paraId="4FCA6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1C085458">
            <w:pPr>
              <w:jc w:val="center"/>
              <w:rPr>
                <w:rFonts w:ascii="宋体" w:hAnsi="宋体"/>
                <w:color w:val="auto"/>
                <w:szCs w:val="21"/>
              </w:rPr>
            </w:pPr>
          </w:p>
        </w:tc>
        <w:tc>
          <w:tcPr>
            <w:tcW w:w="709" w:type="dxa"/>
            <w:vAlign w:val="center"/>
          </w:tcPr>
          <w:p w14:paraId="68DF8864">
            <w:pPr>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5812" w:type="dxa"/>
          </w:tcPr>
          <w:p w14:paraId="110ACD50">
            <w:pPr>
              <w:rPr>
                <w:rFonts w:ascii="宋体" w:hAnsi="宋体" w:cs="Courier New"/>
                <w:color w:val="auto"/>
                <w:szCs w:val="21"/>
              </w:rPr>
            </w:pPr>
            <w:r>
              <w:rPr>
                <w:rFonts w:hint="eastAsia" w:ascii="宋体" w:hAnsi="宋体" w:cs="Courier New"/>
                <w:color w:val="auto"/>
                <w:szCs w:val="21"/>
              </w:rPr>
              <w:t>本项目不接受联合体投标。</w:t>
            </w:r>
            <w:r>
              <w:rPr>
                <w:rFonts w:hint="eastAsia" w:ascii="宋体" w:cs="Tahoma"/>
                <w:color w:val="auto"/>
                <w:szCs w:val="21"/>
              </w:rPr>
              <w:t>（提供响应供应商资格声明函，详见响应文件格式）</w:t>
            </w:r>
          </w:p>
        </w:tc>
        <w:tc>
          <w:tcPr>
            <w:tcW w:w="567" w:type="dxa"/>
            <w:vAlign w:val="center"/>
          </w:tcPr>
          <w:p w14:paraId="3BA5E5DF">
            <w:pPr>
              <w:jc w:val="center"/>
              <w:rPr>
                <w:rFonts w:ascii="宋体" w:hAnsi="宋体"/>
                <w:b/>
                <w:color w:val="auto"/>
                <w:szCs w:val="21"/>
              </w:rPr>
            </w:pPr>
          </w:p>
        </w:tc>
        <w:tc>
          <w:tcPr>
            <w:tcW w:w="567" w:type="dxa"/>
            <w:vAlign w:val="center"/>
          </w:tcPr>
          <w:p w14:paraId="4224A815">
            <w:pPr>
              <w:jc w:val="center"/>
              <w:rPr>
                <w:rFonts w:ascii="宋体" w:hAnsi="宋体"/>
                <w:b/>
                <w:color w:val="auto"/>
                <w:szCs w:val="21"/>
              </w:rPr>
            </w:pPr>
          </w:p>
        </w:tc>
        <w:tc>
          <w:tcPr>
            <w:tcW w:w="708" w:type="dxa"/>
            <w:vAlign w:val="center"/>
          </w:tcPr>
          <w:p w14:paraId="071A41D0">
            <w:pPr>
              <w:jc w:val="center"/>
              <w:rPr>
                <w:rFonts w:ascii="宋体" w:hAnsi="宋体"/>
                <w:color w:val="auto"/>
                <w:szCs w:val="21"/>
              </w:rPr>
            </w:pPr>
          </w:p>
        </w:tc>
        <w:tc>
          <w:tcPr>
            <w:tcW w:w="513" w:type="dxa"/>
            <w:vAlign w:val="center"/>
          </w:tcPr>
          <w:p w14:paraId="2D778FCC">
            <w:pPr>
              <w:jc w:val="center"/>
              <w:rPr>
                <w:rFonts w:ascii="宋体" w:hAnsi="宋体"/>
                <w:color w:val="auto"/>
                <w:szCs w:val="21"/>
              </w:rPr>
            </w:pPr>
          </w:p>
        </w:tc>
      </w:tr>
      <w:tr w14:paraId="2173A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941" w:type="dxa"/>
            <w:vMerge w:val="continue"/>
            <w:vAlign w:val="center"/>
          </w:tcPr>
          <w:p w14:paraId="37D128BB">
            <w:pPr>
              <w:jc w:val="center"/>
              <w:rPr>
                <w:rFonts w:ascii="宋体" w:hAnsi="宋体"/>
                <w:color w:val="auto"/>
                <w:szCs w:val="21"/>
              </w:rPr>
            </w:pPr>
          </w:p>
        </w:tc>
        <w:tc>
          <w:tcPr>
            <w:tcW w:w="709" w:type="dxa"/>
            <w:vAlign w:val="center"/>
          </w:tcPr>
          <w:p w14:paraId="242A33B2">
            <w:pPr>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5812" w:type="dxa"/>
          </w:tcPr>
          <w:p w14:paraId="2019B071">
            <w:pPr>
              <w:rPr>
                <w:rFonts w:ascii="宋体" w:hAnsi="宋体" w:cs="Courier New"/>
                <w:color w:val="auto"/>
                <w:szCs w:val="21"/>
              </w:rPr>
            </w:pPr>
            <w:r>
              <w:rPr>
                <w:rFonts w:hint="eastAsia" w:ascii="宋体" w:cs="宋体"/>
                <w:color w:val="auto"/>
                <w:szCs w:val="21"/>
              </w:rPr>
              <w:t>采购包整体专门面向中小企业，货物类采购项目供应商所投产品制造商须为符合本项目采购标的对应行业政策划分标准的中小微企业，工程类、服务类采购项目供应商须为符合本项目采购标的对应行业政策划分标准的中小微企业，残疾人福利性单位、监狱企业视同小型、微型企业。专门面向中小企业采购的项目不再执行价格评审优惠的扶持政策（提供中小企业声明函）。需落实政府采购政策为：促进中小企业发展政策、支持监狱企业发展政策、支持残疾人福利性单位发展政策、采购节能产品、环境标志产品、支持脱贫攻坚相关政策等。本项目采购标的根据《国家统计局关于印发&lt;统计上大中小微型企业划分办法(2017)&gt;的通知》（国统字〔2017〕213号）对应的大中小微型企业划分标准，划分为租赁和商务服务业</w:t>
            </w:r>
            <w:r>
              <w:rPr>
                <w:rFonts w:hint="eastAsia" w:ascii="宋体" w:cs="宋体"/>
                <w:color w:val="auto"/>
                <w:szCs w:val="21"/>
                <w:lang w:eastAsia="zh-CN"/>
              </w:rPr>
              <w:t>，</w:t>
            </w:r>
            <w:r>
              <w:rPr>
                <w:rFonts w:hint="eastAsia" w:ascii="宋体" w:hAnsi="宋体" w:cs="宋体"/>
                <w:color w:val="auto"/>
                <w:szCs w:val="21"/>
                <w:lang w:eastAsia="zh-CN"/>
              </w:rPr>
              <w:t>请按该行业划分标准进行中小企业声明。</w:t>
            </w:r>
          </w:p>
        </w:tc>
        <w:tc>
          <w:tcPr>
            <w:tcW w:w="567" w:type="dxa"/>
            <w:vAlign w:val="center"/>
          </w:tcPr>
          <w:p w14:paraId="002B483A">
            <w:pPr>
              <w:jc w:val="center"/>
              <w:rPr>
                <w:rFonts w:ascii="宋体" w:hAnsi="宋体"/>
                <w:b/>
                <w:color w:val="auto"/>
                <w:szCs w:val="21"/>
              </w:rPr>
            </w:pPr>
          </w:p>
        </w:tc>
        <w:tc>
          <w:tcPr>
            <w:tcW w:w="567" w:type="dxa"/>
            <w:vAlign w:val="center"/>
          </w:tcPr>
          <w:p w14:paraId="7F464867">
            <w:pPr>
              <w:jc w:val="center"/>
              <w:rPr>
                <w:rFonts w:ascii="宋体" w:hAnsi="宋体"/>
                <w:b/>
                <w:color w:val="auto"/>
                <w:szCs w:val="21"/>
              </w:rPr>
            </w:pPr>
          </w:p>
        </w:tc>
        <w:tc>
          <w:tcPr>
            <w:tcW w:w="708" w:type="dxa"/>
            <w:vAlign w:val="center"/>
          </w:tcPr>
          <w:p w14:paraId="1083D8E2">
            <w:pPr>
              <w:jc w:val="center"/>
              <w:rPr>
                <w:rFonts w:ascii="宋体" w:hAnsi="宋体"/>
                <w:color w:val="auto"/>
                <w:szCs w:val="21"/>
              </w:rPr>
            </w:pPr>
          </w:p>
        </w:tc>
        <w:tc>
          <w:tcPr>
            <w:tcW w:w="513" w:type="dxa"/>
            <w:vAlign w:val="center"/>
          </w:tcPr>
          <w:p w14:paraId="16FA00FE">
            <w:pPr>
              <w:jc w:val="center"/>
              <w:rPr>
                <w:rFonts w:ascii="宋体" w:hAnsi="宋体"/>
                <w:color w:val="auto"/>
                <w:szCs w:val="21"/>
              </w:rPr>
            </w:pPr>
          </w:p>
        </w:tc>
      </w:tr>
      <w:tr w14:paraId="3C9A3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941" w:type="dxa"/>
            <w:vMerge w:val="restart"/>
            <w:vAlign w:val="center"/>
          </w:tcPr>
          <w:p w14:paraId="2C26F3FE">
            <w:pPr>
              <w:jc w:val="center"/>
              <w:rPr>
                <w:rFonts w:ascii="宋体" w:hAnsi="宋体"/>
                <w:b/>
                <w:color w:val="auto"/>
                <w:szCs w:val="21"/>
              </w:rPr>
            </w:pPr>
            <w:r>
              <w:rPr>
                <w:rFonts w:hint="eastAsia" w:ascii="宋体" w:hAnsi="宋体"/>
                <w:b/>
                <w:color w:val="auto"/>
                <w:szCs w:val="21"/>
              </w:rPr>
              <w:t>符合性</w:t>
            </w:r>
          </w:p>
          <w:p w14:paraId="3DF99EDC">
            <w:pPr>
              <w:jc w:val="center"/>
              <w:rPr>
                <w:rFonts w:ascii="宋体" w:hAnsi="宋体"/>
                <w:color w:val="auto"/>
                <w:szCs w:val="21"/>
              </w:rPr>
            </w:pPr>
            <w:r>
              <w:rPr>
                <w:rFonts w:hint="eastAsia" w:ascii="宋体" w:hAnsi="宋体"/>
                <w:b/>
                <w:color w:val="auto"/>
                <w:szCs w:val="21"/>
              </w:rPr>
              <w:t>文件</w:t>
            </w:r>
          </w:p>
        </w:tc>
        <w:tc>
          <w:tcPr>
            <w:tcW w:w="709" w:type="dxa"/>
            <w:vAlign w:val="center"/>
          </w:tcPr>
          <w:p w14:paraId="6E7D20E7">
            <w:pPr>
              <w:numPr>
                <w:ilvl w:val="0"/>
                <w:numId w:val="10"/>
              </w:numPr>
              <w:jc w:val="center"/>
              <w:rPr>
                <w:rFonts w:ascii="宋体" w:hAnsi="宋体"/>
                <w:color w:val="auto"/>
                <w:szCs w:val="21"/>
              </w:rPr>
            </w:pPr>
          </w:p>
        </w:tc>
        <w:tc>
          <w:tcPr>
            <w:tcW w:w="5812" w:type="dxa"/>
            <w:vAlign w:val="center"/>
          </w:tcPr>
          <w:p w14:paraId="4E2E65A4">
            <w:pPr>
              <w:snapToGrid w:val="0"/>
              <w:rPr>
                <w:rFonts w:ascii="宋体" w:hAnsi="宋体" w:cs="Courier New"/>
                <w:color w:val="auto"/>
                <w:szCs w:val="21"/>
              </w:rPr>
            </w:pPr>
            <w:r>
              <w:rPr>
                <w:rFonts w:hint="eastAsia" w:ascii="宋体" w:hAnsi="宋体" w:cs="Courier New"/>
                <w:color w:val="auto"/>
                <w:szCs w:val="21"/>
              </w:rPr>
              <w:t>磋商函</w:t>
            </w:r>
          </w:p>
        </w:tc>
        <w:tc>
          <w:tcPr>
            <w:tcW w:w="567" w:type="dxa"/>
            <w:vAlign w:val="center"/>
          </w:tcPr>
          <w:p w14:paraId="7831932F">
            <w:pPr>
              <w:jc w:val="center"/>
              <w:rPr>
                <w:rFonts w:ascii="宋体" w:hAnsi="宋体"/>
                <w:color w:val="auto"/>
                <w:szCs w:val="21"/>
              </w:rPr>
            </w:pPr>
          </w:p>
        </w:tc>
        <w:tc>
          <w:tcPr>
            <w:tcW w:w="567" w:type="dxa"/>
            <w:vAlign w:val="center"/>
          </w:tcPr>
          <w:p w14:paraId="5F9B36B9">
            <w:pPr>
              <w:jc w:val="center"/>
              <w:rPr>
                <w:rFonts w:ascii="宋体" w:hAnsi="宋体"/>
                <w:color w:val="auto"/>
                <w:szCs w:val="21"/>
              </w:rPr>
            </w:pPr>
          </w:p>
        </w:tc>
        <w:tc>
          <w:tcPr>
            <w:tcW w:w="708" w:type="dxa"/>
            <w:vAlign w:val="center"/>
          </w:tcPr>
          <w:p w14:paraId="1254C7C3">
            <w:pPr>
              <w:jc w:val="center"/>
              <w:rPr>
                <w:rFonts w:ascii="宋体" w:hAnsi="宋体"/>
                <w:color w:val="auto"/>
                <w:szCs w:val="21"/>
              </w:rPr>
            </w:pPr>
          </w:p>
        </w:tc>
        <w:tc>
          <w:tcPr>
            <w:tcW w:w="513" w:type="dxa"/>
            <w:vAlign w:val="center"/>
          </w:tcPr>
          <w:p w14:paraId="5EC07ECD">
            <w:pPr>
              <w:jc w:val="center"/>
              <w:rPr>
                <w:rFonts w:ascii="宋体" w:hAnsi="宋体"/>
                <w:color w:val="auto"/>
                <w:szCs w:val="21"/>
              </w:rPr>
            </w:pPr>
          </w:p>
        </w:tc>
      </w:tr>
      <w:tr w14:paraId="11009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 w:hRule="atLeast"/>
          <w:jc w:val="center"/>
        </w:trPr>
        <w:tc>
          <w:tcPr>
            <w:tcW w:w="941" w:type="dxa"/>
            <w:vMerge w:val="continue"/>
            <w:vAlign w:val="center"/>
          </w:tcPr>
          <w:p w14:paraId="4F1E04AA">
            <w:pPr>
              <w:ind w:left="113" w:right="113"/>
              <w:jc w:val="center"/>
              <w:rPr>
                <w:rFonts w:ascii="宋体" w:hAnsi="宋体"/>
                <w:color w:val="auto"/>
                <w:szCs w:val="21"/>
              </w:rPr>
            </w:pPr>
          </w:p>
        </w:tc>
        <w:tc>
          <w:tcPr>
            <w:tcW w:w="709" w:type="dxa"/>
            <w:vAlign w:val="center"/>
          </w:tcPr>
          <w:p w14:paraId="42C2054A">
            <w:pPr>
              <w:numPr>
                <w:ilvl w:val="0"/>
                <w:numId w:val="10"/>
              </w:numPr>
              <w:jc w:val="center"/>
              <w:rPr>
                <w:rFonts w:ascii="宋体" w:hAnsi="宋体"/>
                <w:color w:val="auto"/>
                <w:szCs w:val="21"/>
              </w:rPr>
            </w:pPr>
          </w:p>
        </w:tc>
        <w:tc>
          <w:tcPr>
            <w:tcW w:w="5812" w:type="dxa"/>
            <w:vAlign w:val="center"/>
          </w:tcPr>
          <w:p w14:paraId="4BF63EB0">
            <w:pPr>
              <w:snapToGrid w:val="0"/>
              <w:rPr>
                <w:rFonts w:ascii="宋体" w:hAnsi="宋体" w:cs="Courier New"/>
                <w:color w:val="auto"/>
                <w:szCs w:val="21"/>
              </w:rPr>
            </w:pPr>
            <w:r>
              <w:rPr>
                <w:rFonts w:hint="eastAsia" w:ascii="宋体" w:hAnsi="宋体" w:cs="Courier New"/>
                <w:color w:val="auto"/>
                <w:szCs w:val="21"/>
              </w:rPr>
              <w:t>响应供应商</w:t>
            </w:r>
            <w:r>
              <w:rPr>
                <w:rFonts w:ascii="宋体" w:hAnsi="宋体" w:cs="Courier New"/>
                <w:color w:val="auto"/>
                <w:szCs w:val="21"/>
              </w:rPr>
              <w:t>资格声明函</w:t>
            </w:r>
          </w:p>
        </w:tc>
        <w:tc>
          <w:tcPr>
            <w:tcW w:w="567" w:type="dxa"/>
            <w:vAlign w:val="center"/>
          </w:tcPr>
          <w:p w14:paraId="42A9A8CC">
            <w:pPr>
              <w:jc w:val="center"/>
              <w:rPr>
                <w:rFonts w:ascii="宋体" w:hAnsi="宋体"/>
                <w:color w:val="auto"/>
                <w:szCs w:val="21"/>
              </w:rPr>
            </w:pPr>
          </w:p>
        </w:tc>
        <w:tc>
          <w:tcPr>
            <w:tcW w:w="567" w:type="dxa"/>
            <w:vAlign w:val="center"/>
          </w:tcPr>
          <w:p w14:paraId="09644CF3">
            <w:pPr>
              <w:jc w:val="center"/>
              <w:rPr>
                <w:rFonts w:ascii="宋体" w:hAnsi="宋体"/>
                <w:color w:val="auto"/>
                <w:szCs w:val="21"/>
              </w:rPr>
            </w:pPr>
          </w:p>
        </w:tc>
        <w:tc>
          <w:tcPr>
            <w:tcW w:w="708" w:type="dxa"/>
            <w:vAlign w:val="center"/>
          </w:tcPr>
          <w:p w14:paraId="03908EAC">
            <w:pPr>
              <w:jc w:val="center"/>
              <w:rPr>
                <w:rFonts w:ascii="宋体" w:hAnsi="宋体"/>
                <w:color w:val="auto"/>
                <w:szCs w:val="21"/>
              </w:rPr>
            </w:pPr>
          </w:p>
        </w:tc>
        <w:tc>
          <w:tcPr>
            <w:tcW w:w="513" w:type="dxa"/>
            <w:vAlign w:val="center"/>
          </w:tcPr>
          <w:p w14:paraId="7F740E55">
            <w:pPr>
              <w:jc w:val="center"/>
              <w:rPr>
                <w:rFonts w:ascii="宋体" w:hAnsi="宋体"/>
                <w:color w:val="auto"/>
                <w:szCs w:val="21"/>
              </w:rPr>
            </w:pPr>
          </w:p>
        </w:tc>
      </w:tr>
      <w:tr w14:paraId="3C5A8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1" w:type="dxa"/>
            <w:vMerge w:val="continue"/>
            <w:vAlign w:val="center"/>
          </w:tcPr>
          <w:p w14:paraId="2853AA89">
            <w:pPr>
              <w:ind w:left="113" w:right="113"/>
              <w:jc w:val="center"/>
              <w:rPr>
                <w:rFonts w:ascii="宋体" w:hAnsi="宋体"/>
                <w:color w:val="auto"/>
                <w:szCs w:val="21"/>
              </w:rPr>
            </w:pPr>
          </w:p>
        </w:tc>
        <w:tc>
          <w:tcPr>
            <w:tcW w:w="709" w:type="dxa"/>
            <w:vAlign w:val="center"/>
          </w:tcPr>
          <w:p w14:paraId="0C4D6BB5">
            <w:pPr>
              <w:numPr>
                <w:ilvl w:val="0"/>
                <w:numId w:val="10"/>
              </w:numPr>
              <w:jc w:val="center"/>
              <w:rPr>
                <w:rFonts w:ascii="宋体" w:hAnsi="宋体"/>
                <w:color w:val="auto"/>
                <w:szCs w:val="21"/>
              </w:rPr>
            </w:pPr>
          </w:p>
        </w:tc>
        <w:tc>
          <w:tcPr>
            <w:tcW w:w="5812" w:type="dxa"/>
            <w:vAlign w:val="center"/>
          </w:tcPr>
          <w:p w14:paraId="602EA0DF">
            <w:pPr>
              <w:snapToGrid w:val="0"/>
              <w:rPr>
                <w:rFonts w:ascii="宋体" w:hAnsi="宋体" w:cs="Courier New"/>
                <w:color w:val="auto"/>
                <w:szCs w:val="21"/>
              </w:rPr>
            </w:pPr>
            <w:r>
              <w:rPr>
                <w:rFonts w:ascii="宋体" w:hAnsi="宋体" w:cs="Courier New"/>
                <w:color w:val="auto"/>
                <w:szCs w:val="21"/>
              </w:rPr>
              <w:t>公平竞争承诺书</w:t>
            </w:r>
          </w:p>
        </w:tc>
        <w:tc>
          <w:tcPr>
            <w:tcW w:w="567" w:type="dxa"/>
            <w:vAlign w:val="center"/>
          </w:tcPr>
          <w:p w14:paraId="415424F0">
            <w:pPr>
              <w:jc w:val="center"/>
              <w:rPr>
                <w:rFonts w:ascii="宋体" w:hAnsi="宋体"/>
                <w:color w:val="auto"/>
                <w:szCs w:val="21"/>
              </w:rPr>
            </w:pPr>
          </w:p>
        </w:tc>
        <w:tc>
          <w:tcPr>
            <w:tcW w:w="567" w:type="dxa"/>
            <w:vAlign w:val="center"/>
          </w:tcPr>
          <w:p w14:paraId="688B0FE0">
            <w:pPr>
              <w:jc w:val="center"/>
              <w:rPr>
                <w:rFonts w:ascii="宋体" w:hAnsi="宋体"/>
                <w:color w:val="auto"/>
                <w:szCs w:val="21"/>
              </w:rPr>
            </w:pPr>
          </w:p>
        </w:tc>
        <w:tc>
          <w:tcPr>
            <w:tcW w:w="708" w:type="dxa"/>
            <w:vAlign w:val="center"/>
          </w:tcPr>
          <w:p w14:paraId="5A54965B">
            <w:pPr>
              <w:jc w:val="center"/>
              <w:rPr>
                <w:rFonts w:ascii="宋体" w:hAnsi="宋体"/>
                <w:color w:val="auto"/>
                <w:szCs w:val="21"/>
              </w:rPr>
            </w:pPr>
          </w:p>
        </w:tc>
        <w:tc>
          <w:tcPr>
            <w:tcW w:w="513" w:type="dxa"/>
            <w:vAlign w:val="center"/>
          </w:tcPr>
          <w:p w14:paraId="7014FB10">
            <w:pPr>
              <w:jc w:val="center"/>
              <w:rPr>
                <w:rFonts w:ascii="宋体" w:hAnsi="宋体"/>
                <w:color w:val="auto"/>
                <w:szCs w:val="21"/>
              </w:rPr>
            </w:pPr>
          </w:p>
        </w:tc>
      </w:tr>
      <w:tr w14:paraId="48A2B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1" w:type="dxa"/>
            <w:vMerge w:val="continue"/>
            <w:vAlign w:val="center"/>
          </w:tcPr>
          <w:p w14:paraId="08696D0F">
            <w:pPr>
              <w:ind w:left="113" w:right="113"/>
              <w:jc w:val="center"/>
              <w:rPr>
                <w:rFonts w:ascii="宋体" w:hAnsi="宋体"/>
                <w:color w:val="auto"/>
                <w:szCs w:val="21"/>
              </w:rPr>
            </w:pPr>
          </w:p>
        </w:tc>
        <w:tc>
          <w:tcPr>
            <w:tcW w:w="709" w:type="dxa"/>
            <w:vAlign w:val="center"/>
          </w:tcPr>
          <w:p w14:paraId="1C13D091">
            <w:pPr>
              <w:numPr>
                <w:ilvl w:val="0"/>
                <w:numId w:val="10"/>
              </w:numPr>
              <w:jc w:val="center"/>
              <w:rPr>
                <w:rFonts w:ascii="宋体" w:hAnsi="宋体"/>
                <w:color w:val="auto"/>
                <w:szCs w:val="21"/>
              </w:rPr>
            </w:pPr>
          </w:p>
        </w:tc>
        <w:tc>
          <w:tcPr>
            <w:tcW w:w="5812" w:type="dxa"/>
            <w:vAlign w:val="center"/>
          </w:tcPr>
          <w:p w14:paraId="2CDC1636">
            <w:pPr>
              <w:snapToGrid w:val="0"/>
              <w:rPr>
                <w:rFonts w:ascii="宋体" w:hAnsi="宋体" w:cs="宋体"/>
                <w:bCs/>
                <w:color w:val="auto"/>
                <w:szCs w:val="21"/>
              </w:rPr>
            </w:pPr>
            <w:r>
              <w:rPr>
                <w:rFonts w:ascii="宋体" w:hAnsi="宋体" w:cs="Courier New"/>
                <w:color w:val="auto"/>
                <w:szCs w:val="21"/>
              </w:rPr>
              <w:t>法定代表人证明书</w:t>
            </w:r>
          </w:p>
        </w:tc>
        <w:tc>
          <w:tcPr>
            <w:tcW w:w="567" w:type="dxa"/>
            <w:vAlign w:val="center"/>
          </w:tcPr>
          <w:p w14:paraId="053D45BB">
            <w:pPr>
              <w:jc w:val="center"/>
              <w:rPr>
                <w:rFonts w:ascii="宋体" w:hAnsi="宋体"/>
                <w:color w:val="auto"/>
                <w:szCs w:val="21"/>
              </w:rPr>
            </w:pPr>
          </w:p>
        </w:tc>
        <w:tc>
          <w:tcPr>
            <w:tcW w:w="567" w:type="dxa"/>
            <w:vAlign w:val="center"/>
          </w:tcPr>
          <w:p w14:paraId="3A05D7C8">
            <w:pPr>
              <w:jc w:val="center"/>
              <w:rPr>
                <w:rFonts w:ascii="宋体" w:hAnsi="宋体"/>
                <w:color w:val="auto"/>
                <w:szCs w:val="21"/>
              </w:rPr>
            </w:pPr>
          </w:p>
        </w:tc>
        <w:tc>
          <w:tcPr>
            <w:tcW w:w="708" w:type="dxa"/>
            <w:vAlign w:val="center"/>
          </w:tcPr>
          <w:p w14:paraId="3DC1886C">
            <w:pPr>
              <w:jc w:val="center"/>
              <w:rPr>
                <w:rFonts w:ascii="宋体" w:hAnsi="宋体"/>
                <w:color w:val="auto"/>
                <w:szCs w:val="21"/>
              </w:rPr>
            </w:pPr>
          </w:p>
        </w:tc>
        <w:tc>
          <w:tcPr>
            <w:tcW w:w="513" w:type="dxa"/>
            <w:vAlign w:val="center"/>
          </w:tcPr>
          <w:p w14:paraId="32CDD81F">
            <w:pPr>
              <w:jc w:val="center"/>
              <w:rPr>
                <w:rFonts w:ascii="宋体" w:hAnsi="宋体"/>
                <w:color w:val="auto"/>
                <w:szCs w:val="21"/>
              </w:rPr>
            </w:pPr>
          </w:p>
        </w:tc>
      </w:tr>
      <w:tr w14:paraId="6A068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1" w:type="dxa"/>
            <w:vMerge w:val="continue"/>
            <w:vAlign w:val="center"/>
          </w:tcPr>
          <w:p w14:paraId="0F82B14F">
            <w:pPr>
              <w:ind w:left="113" w:right="113"/>
              <w:jc w:val="center"/>
              <w:rPr>
                <w:rFonts w:ascii="宋体" w:hAnsi="宋体"/>
                <w:color w:val="auto"/>
                <w:szCs w:val="21"/>
              </w:rPr>
            </w:pPr>
          </w:p>
        </w:tc>
        <w:tc>
          <w:tcPr>
            <w:tcW w:w="709" w:type="dxa"/>
            <w:vAlign w:val="center"/>
          </w:tcPr>
          <w:p w14:paraId="7E64FFF2">
            <w:pPr>
              <w:numPr>
                <w:ilvl w:val="0"/>
                <w:numId w:val="10"/>
              </w:numPr>
              <w:jc w:val="center"/>
              <w:rPr>
                <w:rFonts w:ascii="宋体" w:hAnsi="宋体"/>
                <w:color w:val="auto"/>
                <w:szCs w:val="21"/>
              </w:rPr>
            </w:pPr>
          </w:p>
        </w:tc>
        <w:tc>
          <w:tcPr>
            <w:tcW w:w="5812" w:type="dxa"/>
            <w:vAlign w:val="center"/>
          </w:tcPr>
          <w:p w14:paraId="298601BA">
            <w:pPr>
              <w:snapToGrid w:val="0"/>
              <w:rPr>
                <w:rFonts w:ascii="宋体" w:hAnsi="宋体" w:cs="Courier New"/>
                <w:color w:val="auto"/>
                <w:szCs w:val="21"/>
              </w:rPr>
            </w:pPr>
            <w:r>
              <w:rPr>
                <w:rFonts w:ascii="宋体" w:hAnsi="宋体" w:cs="Courier New"/>
                <w:color w:val="auto"/>
                <w:szCs w:val="21"/>
              </w:rPr>
              <w:t>法定代表人授权委托书</w:t>
            </w:r>
          </w:p>
        </w:tc>
        <w:tc>
          <w:tcPr>
            <w:tcW w:w="567" w:type="dxa"/>
            <w:vAlign w:val="center"/>
          </w:tcPr>
          <w:p w14:paraId="2715DDBE">
            <w:pPr>
              <w:jc w:val="center"/>
              <w:rPr>
                <w:rFonts w:ascii="宋体" w:hAnsi="宋体"/>
                <w:color w:val="auto"/>
                <w:szCs w:val="21"/>
              </w:rPr>
            </w:pPr>
          </w:p>
        </w:tc>
        <w:tc>
          <w:tcPr>
            <w:tcW w:w="567" w:type="dxa"/>
            <w:vAlign w:val="center"/>
          </w:tcPr>
          <w:p w14:paraId="12FDD086">
            <w:pPr>
              <w:jc w:val="center"/>
              <w:rPr>
                <w:rFonts w:ascii="宋体" w:hAnsi="宋体"/>
                <w:color w:val="auto"/>
                <w:szCs w:val="21"/>
              </w:rPr>
            </w:pPr>
          </w:p>
        </w:tc>
        <w:tc>
          <w:tcPr>
            <w:tcW w:w="708" w:type="dxa"/>
            <w:vAlign w:val="center"/>
          </w:tcPr>
          <w:p w14:paraId="3BD6478D">
            <w:pPr>
              <w:jc w:val="center"/>
              <w:rPr>
                <w:rFonts w:ascii="宋体" w:hAnsi="宋体"/>
                <w:color w:val="auto"/>
                <w:szCs w:val="21"/>
              </w:rPr>
            </w:pPr>
          </w:p>
        </w:tc>
        <w:tc>
          <w:tcPr>
            <w:tcW w:w="513" w:type="dxa"/>
            <w:vAlign w:val="center"/>
          </w:tcPr>
          <w:p w14:paraId="2F90E676">
            <w:pPr>
              <w:jc w:val="center"/>
              <w:rPr>
                <w:rFonts w:ascii="宋体" w:hAnsi="宋体"/>
                <w:color w:val="auto"/>
                <w:szCs w:val="21"/>
              </w:rPr>
            </w:pPr>
          </w:p>
        </w:tc>
      </w:tr>
      <w:tr w14:paraId="27858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1" w:type="dxa"/>
            <w:vMerge w:val="continue"/>
            <w:vAlign w:val="center"/>
          </w:tcPr>
          <w:p w14:paraId="1996F5A8">
            <w:pPr>
              <w:ind w:left="113" w:right="113"/>
              <w:jc w:val="center"/>
              <w:rPr>
                <w:rFonts w:ascii="宋体" w:hAnsi="宋体"/>
                <w:color w:val="auto"/>
                <w:szCs w:val="21"/>
              </w:rPr>
            </w:pPr>
          </w:p>
        </w:tc>
        <w:tc>
          <w:tcPr>
            <w:tcW w:w="709" w:type="dxa"/>
            <w:vAlign w:val="center"/>
          </w:tcPr>
          <w:p w14:paraId="02AEBC2C">
            <w:pPr>
              <w:numPr>
                <w:ilvl w:val="0"/>
                <w:numId w:val="10"/>
              </w:numPr>
              <w:jc w:val="center"/>
              <w:rPr>
                <w:rFonts w:ascii="宋体" w:hAnsi="宋体"/>
                <w:color w:val="auto"/>
                <w:szCs w:val="21"/>
              </w:rPr>
            </w:pPr>
          </w:p>
        </w:tc>
        <w:tc>
          <w:tcPr>
            <w:tcW w:w="5812" w:type="dxa"/>
            <w:vAlign w:val="center"/>
          </w:tcPr>
          <w:p w14:paraId="5FFC2A6C">
            <w:pPr>
              <w:snapToGrid w:val="0"/>
              <w:rPr>
                <w:rFonts w:ascii="宋体" w:hAnsi="宋体" w:cs="Courier New"/>
                <w:color w:val="auto"/>
                <w:szCs w:val="21"/>
              </w:rPr>
            </w:pPr>
            <w:r>
              <w:rPr>
                <w:rFonts w:ascii="宋体" w:hAnsi="宋体" w:cs="Courier New"/>
                <w:color w:val="auto"/>
                <w:szCs w:val="21"/>
              </w:rPr>
              <w:t>用户需求书响应差异表</w:t>
            </w:r>
          </w:p>
        </w:tc>
        <w:tc>
          <w:tcPr>
            <w:tcW w:w="567" w:type="dxa"/>
            <w:vAlign w:val="center"/>
          </w:tcPr>
          <w:p w14:paraId="346A59E3">
            <w:pPr>
              <w:jc w:val="center"/>
              <w:rPr>
                <w:rFonts w:ascii="宋体" w:hAnsi="宋体"/>
                <w:color w:val="auto"/>
                <w:szCs w:val="21"/>
              </w:rPr>
            </w:pPr>
          </w:p>
        </w:tc>
        <w:tc>
          <w:tcPr>
            <w:tcW w:w="567" w:type="dxa"/>
            <w:vAlign w:val="center"/>
          </w:tcPr>
          <w:p w14:paraId="4AFDE549">
            <w:pPr>
              <w:jc w:val="center"/>
              <w:rPr>
                <w:rFonts w:ascii="宋体" w:hAnsi="宋体"/>
                <w:color w:val="auto"/>
                <w:szCs w:val="21"/>
              </w:rPr>
            </w:pPr>
          </w:p>
        </w:tc>
        <w:tc>
          <w:tcPr>
            <w:tcW w:w="708" w:type="dxa"/>
            <w:vAlign w:val="center"/>
          </w:tcPr>
          <w:p w14:paraId="106998FB">
            <w:pPr>
              <w:jc w:val="center"/>
              <w:rPr>
                <w:rFonts w:ascii="宋体" w:hAnsi="宋体"/>
                <w:color w:val="auto"/>
                <w:szCs w:val="21"/>
              </w:rPr>
            </w:pPr>
          </w:p>
        </w:tc>
        <w:tc>
          <w:tcPr>
            <w:tcW w:w="513" w:type="dxa"/>
            <w:vAlign w:val="center"/>
          </w:tcPr>
          <w:p w14:paraId="1202D450">
            <w:pPr>
              <w:jc w:val="center"/>
              <w:rPr>
                <w:rFonts w:ascii="宋体" w:hAnsi="宋体"/>
                <w:color w:val="auto"/>
                <w:szCs w:val="21"/>
              </w:rPr>
            </w:pPr>
          </w:p>
        </w:tc>
      </w:tr>
      <w:tr w14:paraId="09CD2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1" w:type="dxa"/>
            <w:vMerge w:val="continue"/>
            <w:vAlign w:val="center"/>
          </w:tcPr>
          <w:p w14:paraId="5A5AC6B2">
            <w:pPr>
              <w:ind w:left="113" w:right="113"/>
              <w:jc w:val="center"/>
              <w:rPr>
                <w:rFonts w:ascii="宋体" w:hAnsi="宋体"/>
                <w:color w:val="auto"/>
                <w:szCs w:val="21"/>
              </w:rPr>
            </w:pPr>
          </w:p>
        </w:tc>
        <w:tc>
          <w:tcPr>
            <w:tcW w:w="709" w:type="dxa"/>
            <w:vAlign w:val="center"/>
          </w:tcPr>
          <w:p w14:paraId="67906E76">
            <w:pPr>
              <w:numPr>
                <w:ilvl w:val="0"/>
                <w:numId w:val="10"/>
              </w:numPr>
              <w:jc w:val="center"/>
              <w:rPr>
                <w:rFonts w:ascii="宋体" w:hAnsi="宋体"/>
                <w:color w:val="auto"/>
                <w:szCs w:val="21"/>
              </w:rPr>
            </w:pPr>
          </w:p>
        </w:tc>
        <w:tc>
          <w:tcPr>
            <w:tcW w:w="5812" w:type="dxa"/>
            <w:vAlign w:val="center"/>
          </w:tcPr>
          <w:p w14:paraId="064152A9">
            <w:pPr>
              <w:snapToGrid w:val="0"/>
              <w:rPr>
                <w:rFonts w:ascii="宋体" w:hAnsi="宋体" w:cs="Courier New"/>
                <w:color w:val="auto"/>
                <w:szCs w:val="21"/>
              </w:rPr>
            </w:pPr>
            <w:r>
              <w:rPr>
                <w:rFonts w:ascii="宋体" w:hAnsi="宋体" w:cs="Courier New"/>
                <w:color w:val="auto"/>
                <w:szCs w:val="21"/>
              </w:rPr>
              <w:t>招标代理服务费承诺书</w:t>
            </w:r>
          </w:p>
        </w:tc>
        <w:tc>
          <w:tcPr>
            <w:tcW w:w="567" w:type="dxa"/>
            <w:vAlign w:val="center"/>
          </w:tcPr>
          <w:p w14:paraId="6E8A8CAD">
            <w:pPr>
              <w:jc w:val="center"/>
              <w:rPr>
                <w:rFonts w:ascii="宋体" w:hAnsi="宋体"/>
                <w:color w:val="auto"/>
                <w:szCs w:val="21"/>
              </w:rPr>
            </w:pPr>
          </w:p>
        </w:tc>
        <w:tc>
          <w:tcPr>
            <w:tcW w:w="567" w:type="dxa"/>
            <w:vAlign w:val="center"/>
          </w:tcPr>
          <w:p w14:paraId="15CEBA1C">
            <w:pPr>
              <w:jc w:val="center"/>
              <w:rPr>
                <w:rFonts w:ascii="宋体" w:hAnsi="宋体"/>
                <w:color w:val="auto"/>
                <w:szCs w:val="21"/>
              </w:rPr>
            </w:pPr>
          </w:p>
        </w:tc>
        <w:tc>
          <w:tcPr>
            <w:tcW w:w="708" w:type="dxa"/>
            <w:vAlign w:val="center"/>
          </w:tcPr>
          <w:p w14:paraId="1CA37C67">
            <w:pPr>
              <w:jc w:val="center"/>
              <w:rPr>
                <w:rFonts w:ascii="宋体" w:hAnsi="宋体"/>
                <w:color w:val="auto"/>
                <w:szCs w:val="21"/>
              </w:rPr>
            </w:pPr>
          </w:p>
        </w:tc>
        <w:tc>
          <w:tcPr>
            <w:tcW w:w="513" w:type="dxa"/>
            <w:vAlign w:val="center"/>
          </w:tcPr>
          <w:p w14:paraId="374772B1">
            <w:pPr>
              <w:jc w:val="center"/>
              <w:rPr>
                <w:rFonts w:ascii="宋体" w:hAnsi="宋体"/>
                <w:color w:val="auto"/>
                <w:szCs w:val="21"/>
              </w:rPr>
            </w:pPr>
          </w:p>
        </w:tc>
      </w:tr>
      <w:tr w14:paraId="371BC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1" w:type="dxa"/>
            <w:vMerge w:val="continue"/>
            <w:vAlign w:val="center"/>
          </w:tcPr>
          <w:p w14:paraId="4853DD51">
            <w:pPr>
              <w:ind w:left="113" w:right="113"/>
              <w:jc w:val="center"/>
              <w:rPr>
                <w:rFonts w:ascii="宋体" w:hAnsi="宋体"/>
                <w:color w:val="auto"/>
                <w:szCs w:val="21"/>
              </w:rPr>
            </w:pPr>
          </w:p>
        </w:tc>
        <w:tc>
          <w:tcPr>
            <w:tcW w:w="709" w:type="dxa"/>
            <w:vAlign w:val="center"/>
          </w:tcPr>
          <w:p w14:paraId="404370CD">
            <w:pPr>
              <w:numPr>
                <w:ilvl w:val="0"/>
                <w:numId w:val="10"/>
              </w:numPr>
              <w:jc w:val="center"/>
              <w:rPr>
                <w:rFonts w:ascii="宋体" w:hAnsi="宋体"/>
                <w:color w:val="auto"/>
                <w:szCs w:val="21"/>
              </w:rPr>
            </w:pPr>
          </w:p>
        </w:tc>
        <w:tc>
          <w:tcPr>
            <w:tcW w:w="5812" w:type="dxa"/>
            <w:vAlign w:val="center"/>
          </w:tcPr>
          <w:p w14:paraId="0C4A3ECE">
            <w:pPr>
              <w:snapToGrid w:val="0"/>
              <w:rPr>
                <w:rFonts w:ascii="宋体" w:hAnsi="宋体" w:cs="Courier New"/>
                <w:color w:val="auto"/>
                <w:szCs w:val="21"/>
              </w:rPr>
            </w:pPr>
            <w:r>
              <w:rPr>
                <w:rFonts w:ascii="宋体" w:hAnsi="宋体" w:cs="Courier New"/>
                <w:color w:val="auto"/>
                <w:szCs w:val="21"/>
              </w:rPr>
              <w:t>中小企业声明函（如需）</w:t>
            </w:r>
          </w:p>
        </w:tc>
        <w:tc>
          <w:tcPr>
            <w:tcW w:w="567" w:type="dxa"/>
            <w:vAlign w:val="center"/>
          </w:tcPr>
          <w:p w14:paraId="72E81D04">
            <w:pPr>
              <w:jc w:val="center"/>
              <w:rPr>
                <w:rFonts w:ascii="宋体" w:hAnsi="宋体"/>
                <w:color w:val="auto"/>
                <w:szCs w:val="21"/>
              </w:rPr>
            </w:pPr>
          </w:p>
        </w:tc>
        <w:tc>
          <w:tcPr>
            <w:tcW w:w="567" w:type="dxa"/>
            <w:vAlign w:val="center"/>
          </w:tcPr>
          <w:p w14:paraId="7AC28FF2">
            <w:pPr>
              <w:jc w:val="center"/>
              <w:rPr>
                <w:rFonts w:ascii="宋体" w:hAnsi="宋体"/>
                <w:color w:val="auto"/>
                <w:szCs w:val="21"/>
              </w:rPr>
            </w:pPr>
          </w:p>
        </w:tc>
        <w:tc>
          <w:tcPr>
            <w:tcW w:w="708" w:type="dxa"/>
            <w:vAlign w:val="center"/>
          </w:tcPr>
          <w:p w14:paraId="4B5ED4DD">
            <w:pPr>
              <w:jc w:val="center"/>
              <w:rPr>
                <w:rFonts w:ascii="宋体" w:hAnsi="宋体"/>
                <w:color w:val="auto"/>
                <w:szCs w:val="21"/>
              </w:rPr>
            </w:pPr>
          </w:p>
        </w:tc>
        <w:tc>
          <w:tcPr>
            <w:tcW w:w="513" w:type="dxa"/>
            <w:vAlign w:val="center"/>
          </w:tcPr>
          <w:p w14:paraId="3B28C989">
            <w:pPr>
              <w:jc w:val="center"/>
              <w:rPr>
                <w:rFonts w:ascii="宋体" w:hAnsi="宋体"/>
                <w:color w:val="auto"/>
                <w:szCs w:val="21"/>
              </w:rPr>
            </w:pPr>
          </w:p>
        </w:tc>
      </w:tr>
      <w:tr w14:paraId="00643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41" w:type="dxa"/>
            <w:vMerge w:val="continue"/>
            <w:vAlign w:val="center"/>
          </w:tcPr>
          <w:p w14:paraId="77C1DCDF">
            <w:pPr>
              <w:ind w:left="113" w:right="113"/>
              <w:jc w:val="center"/>
              <w:rPr>
                <w:rFonts w:ascii="宋体" w:hAnsi="宋体"/>
                <w:color w:val="auto"/>
                <w:szCs w:val="21"/>
              </w:rPr>
            </w:pPr>
          </w:p>
        </w:tc>
        <w:tc>
          <w:tcPr>
            <w:tcW w:w="709" w:type="dxa"/>
            <w:vAlign w:val="center"/>
          </w:tcPr>
          <w:p w14:paraId="1E5D9A4A">
            <w:pPr>
              <w:numPr>
                <w:ilvl w:val="0"/>
                <w:numId w:val="10"/>
              </w:numPr>
              <w:jc w:val="center"/>
              <w:rPr>
                <w:rFonts w:ascii="宋体" w:hAnsi="宋体"/>
                <w:color w:val="auto"/>
                <w:szCs w:val="21"/>
              </w:rPr>
            </w:pPr>
          </w:p>
        </w:tc>
        <w:tc>
          <w:tcPr>
            <w:tcW w:w="5812" w:type="dxa"/>
            <w:vAlign w:val="center"/>
          </w:tcPr>
          <w:p w14:paraId="119228D5">
            <w:pPr>
              <w:snapToGrid w:val="0"/>
              <w:rPr>
                <w:rFonts w:ascii="宋体" w:hAnsi="宋体" w:cs="Courier New"/>
                <w:color w:val="auto"/>
                <w:szCs w:val="21"/>
              </w:rPr>
            </w:pPr>
            <w:r>
              <w:rPr>
                <w:rFonts w:ascii="宋体" w:hAnsi="宋体" w:cs="Courier New"/>
                <w:color w:val="auto"/>
                <w:szCs w:val="21"/>
              </w:rPr>
              <w:t>残疾人福利性单位声明函（如需）</w:t>
            </w:r>
          </w:p>
        </w:tc>
        <w:tc>
          <w:tcPr>
            <w:tcW w:w="567" w:type="dxa"/>
            <w:vAlign w:val="center"/>
          </w:tcPr>
          <w:p w14:paraId="54CBD47A">
            <w:pPr>
              <w:jc w:val="center"/>
              <w:rPr>
                <w:rFonts w:ascii="宋体" w:hAnsi="宋体"/>
                <w:color w:val="auto"/>
                <w:szCs w:val="21"/>
              </w:rPr>
            </w:pPr>
          </w:p>
        </w:tc>
        <w:tc>
          <w:tcPr>
            <w:tcW w:w="567" w:type="dxa"/>
            <w:vAlign w:val="center"/>
          </w:tcPr>
          <w:p w14:paraId="423E3BE4">
            <w:pPr>
              <w:jc w:val="center"/>
              <w:rPr>
                <w:rFonts w:ascii="宋体" w:hAnsi="宋体"/>
                <w:color w:val="auto"/>
                <w:szCs w:val="21"/>
              </w:rPr>
            </w:pPr>
          </w:p>
        </w:tc>
        <w:tc>
          <w:tcPr>
            <w:tcW w:w="708" w:type="dxa"/>
            <w:vAlign w:val="center"/>
          </w:tcPr>
          <w:p w14:paraId="2F77A6D6">
            <w:pPr>
              <w:jc w:val="center"/>
              <w:rPr>
                <w:rFonts w:ascii="宋体" w:hAnsi="宋体"/>
                <w:color w:val="auto"/>
                <w:szCs w:val="21"/>
              </w:rPr>
            </w:pPr>
          </w:p>
        </w:tc>
        <w:tc>
          <w:tcPr>
            <w:tcW w:w="513" w:type="dxa"/>
            <w:vAlign w:val="center"/>
          </w:tcPr>
          <w:p w14:paraId="4BF8075E">
            <w:pPr>
              <w:jc w:val="center"/>
              <w:rPr>
                <w:rFonts w:ascii="宋体" w:hAnsi="宋体"/>
                <w:color w:val="auto"/>
                <w:szCs w:val="21"/>
              </w:rPr>
            </w:pPr>
          </w:p>
        </w:tc>
      </w:tr>
      <w:tr w14:paraId="2F7F0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9" w:hRule="atLeast"/>
          <w:jc w:val="center"/>
        </w:trPr>
        <w:tc>
          <w:tcPr>
            <w:tcW w:w="941" w:type="dxa"/>
            <w:vMerge w:val="continue"/>
            <w:vAlign w:val="center"/>
          </w:tcPr>
          <w:p w14:paraId="6BBBC90A">
            <w:pPr>
              <w:ind w:left="113" w:right="113"/>
              <w:jc w:val="center"/>
              <w:rPr>
                <w:rFonts w:ascii="宋体" w:hAnsi="宋体"/>
                <w:color w:val="auto"/>
                <w:szCs w:val="21"/>
              </w:rPr>
            </w:pPr>
          </w:p>
        </w:tc>
        <w:tc>
          <w:tcPr>
            <w:tcW w:w="709" w:type="dxa"/>
            <w:vAlign w:val="center"/>
          </w:tcPr>
          <w:p w14:paraId="3036A382">
            <w:pPr>
              <w:numPr>
                <w:ilvl w:val="0"/>
                <w:numId w:val="10"/>
              </w:numPr>
              <w:jc w:val="center"/>
              <w:rPr>
                <w:rFonts w:ascii="宋体" w:hAnsi="宋体"/>
                <w:color w:val="auto"/>
                <w:szCs w:val="21"/>
              </w:rPr>
            </w:pPr>
          </w:p>
        </w:tc>
        <w:tc>
          <w:tcPr>
            <w:tcW w:w="5812" w:type="dxa"/>
            <w:vAlign w:val="center"/>
          </w:tcPr>
          <w:p w14:paraId="39CAFE07">
            <w:pPr>
              <w:snapToGrid w:val="0"/>
              <w:rPr>
                <w:rFonts w:ascii="宋体" w:hAnsi="宋体" w:cs="Courier New"/>
                <w:color w:val="auto"/>
                <w:szCs w:val="21"/>
              </w:rPr>
            </w:pPr>
            <w:r>
              <w:rPr>
                <w:rFonts w:ascii="宋体" w:hAnsi="宋体" w:cs="Courier New"/>
                <w:color w:val="auto"/>
                <w:szCs w:val="21"/>
              </w:rPr>
              <w:t>监狱企业的证明文件（如需）</w:t>
            </w:r>
          </w:p>
        </w:tc>
        <w:tc>
          <w:tcPr>
            <w:tcW w:w="567" w:type="dxa"/>
            <w:vAlign w:val="center"/>
          </w:tcPr>
          <w:p w14:paraId="08EAA069">
            <w:pPr>
              <w:jc w:val="center"/>
              <w:rPr>
                <w:rFonts w:ascii="宋体" w:hAnsi="宋体"/>
                <w:color w:val="auto"/>
                <w:szCs w:val="21"/>
              </w:rPr>
            </w:pPr>
          </w:p>
        </w:tc>
        <w:tc>
          <w:tcPr>
            <w:tcW w:w="567" w:type="dxa"/>
            <w:vAlign w:val="center"/>
          </w:tcPr>
          <w:p w14:paraId="5859B5AA">
            <w:pPr>
              <w:jc w:val="center"/>
              <w:rPr>
                <w:rFonts w:ascii="宋体" w:hAnsi="宋体"/>
                <w:color w:val="auto"/>
                <w:szCs w:val="21"/>
              </w:rPr>
            </w:pPr>
          </w:p>
        </w:tc>
        <w:tc>
          <w:tcPr>
            <w:tcW w:w="708" w:type="dxa"/>
            <w:vAlign w:val="center"/>
          </w:tcPr>
          <w:p w14:paraId="664E347C">
            <w:pPr>
              <w:jc w:val="center"/>
              <w:rPr>
                <w:rFonts w:ascii="宋体" w:hAnsi="宋体"/>
                <w:color w:val="auto"/>
                <w:szCs w:val="21"/>
              </w:rPr>
            </w:pPr>
          </w:p>
        </w:tc>
        <w:tc>
          <w:tcPr>
            <w:tcW w:w="513" w:type="dxa"/>
            <w:vAlign w:val="center"/>
          </w:tcPr>
          <w:p w14:paraId="57B0858D">
            <w:pPr>
              <w:jc w:val="center"/>
              <w:rPr>
                <w:rFonts w:ascii="宋体" w:hAnsi="宋体"/>
                <w:color w:val="auto"/>
                <w:szCs w:val="21"/>
              </w:rPr>
            </w:pPr>
          </w:p>
        </w:tc>
      </w:tr>
      <w:tr w14:paraId="0D61A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941" w:type="dxa"/>
            <w:vMerge w:val="restart"/>
            <w:vAlign w:val="center"/>
          </w:tcPr>
          <w:p w14:paraId="13B2C5BA">
            <w:pPr>
              <w:ind w:right="113"/>
              <w:jc w:val="center"/>
              <w:rPr>
                <w:rFonts w:ascii="宋体" w:hAnsi="宋体"/>
                <w:b/>
                <w:color w:val="auto"/>
                <w:szCs w:val="21"/>
              </w:rPr>
            </w:pPr>
            <w:r>
              <w:rPr>
                <w:rFonts w:ascii="宋体" w:hAnsi="宋体"/>
                <w:b/>
                <w:color w:val="auto"/>
                <w:szCs w:val="21"/>
              </w:rPr>
              <w:t>技术</w:t>
            </w:r>
          </w:p>
          <w:p w14:paraId="58800A8F">
            <w:pPr>
              <w:ind w:right="113"/>
              <w:jc w:val="center"/>
              <w:rPr>
                <w:rFonts w:ascii="宋体" w:hAnsi="宋体"/>
                <w:b/>
                <w:color w:val="auto"/>
                <w:szCs w:val="21"/>
              </w:rPr>
            </w:pPr>
            <w:r>
              <w:rPr>
                <w:rFonts w:hint="eastAsia" w:ascii="宋体" w:hAnsi="宋体"/>
                <w:b/>
                <w:color w:val="auto"/>
                <w:szCs w:val="21"/>
              </w:rPr>
              <w:t>文件</w:t>
            </w:r>
          </w:p>
        </w:tc>
        <w:tc>
          <w:tcPr>
            <w:tcW w:w="709" w:type="dxa"/>
            <w:vAlign w:val="center"/>
          </w:tcPr>
          <w:p w14:paraId="7BC5FE85">
            <w:pPr>
              <w:numPr>
                <w:ilvl w:val="0"/>
                <w:numId w:val="11"/>
              </w:numPr>
              <w:jc w:val="center"/>
              <w:rPr>
                <w:rFonts w:ascii="宋体" w:hAnsi="宋体"/>
                <w:color w:val="auto"/>
                <w:szCs w:val="21"/>
              </w:rPr>
            </w:pPr>
          </w:p>
        </w:tc>
        <w:tc>
          <w:tcPr>
            <w:tcW w:w="5812" w:type="dxa"/>
            <w:vAlign w:val="center"/>
          </w:tcPr>
          <w:p w14:paraId="53717EB0">
            <w:pPr>
              <w:snapToGrid w:val="0"/>
              <w:rPr>
                <w:rFonts w:ascii="宋体" w:hAnsi="宋体" w:cs="Courier New"/>
                <w:color w:val="auto"/>
                <w:szCs w:val="21"/>
              </w:rPr>
            </w:pPr>
            <w:r>
              <w:rPr>
                <w:color w:val="auto"/>
              </w:rPr>
              <w:t>项目理解程度</w:t>
            </w:r>
          </w:p>
        </w:tc>
        <w:tc>
          <w:tcPr>
            <w:tcW w:w="567" w:type="dxa"/>
            <w:vAlign w:val="center"/>
          </w:tcPr>
          <w:p w14:paraId="61B53087">
            <w:pPr>
              <w:jc w:val="center"/>
              <w:rPr>
                <w:rFonts w:ascii="宋体" w:hAnsi="宋体"/>
                <w:color w:val="auto"/>
                <w:szCs w:val="21"/>
              </w:rPr>
            </w:pPr>
          </w:p>
        </w:tc>
        <w:tc>
          <w:tcPr>
            <w:tcW w:w="567" w:type="dxa"/>
            <w:vAlign w:val="center"/>
          </w:tcPr>
          <w:p w14:paraId="66BE10DB">
            <w:pPr>
              <w:jc w:val="center"/>
              <w:rPr>
                <w:rFonts w:ascii="宋体" w:hAnsi="宋体"/>
                <w:color w:val="auto"/>
                <w:szCs w:val="21"/>
              </w:rPr>
            </w:pPr>
          </w:p>
        </w:tc>
        <w:tc>
          <w:tcPr>
            <w:tcW w:w="708" w:type="dxa"/>
            <w:vAlign w:val="center"/>
          </w:tcPr>
          <w:p w14:paraId="4BA945C2">
            <w:pPr>
              <w:jc w:val="center"/>
              <w:rPr>
                <w:rFonts w:ascii="宋体" w:hAnsi="宋体"/>
                <w:color w:val="auto"/>
                <w:szCs w:val="21"/>
              </w:rPr>
            </w:pPr>
          </w:p>
        </w:tc>
        <w:tc>
          <w:tcPr>
            <w:tcW w:w="513" w:type="dxa"/>
            <w:vAlign w:val="center"/>
          </w:tcPr>
          <w:p w14:paraId="3EF21B16">
            <w:pPr>
              <w:jc w:val="center"/>
              <w:rPr>
                <w:rFonts w:ascii="宋体" w:hAnsi="宋体"/>
                <w:color w:val="auto"/>
                <w:szCs w:val="21"/>
              </w:rPr>
            </w:pPr>
          </w:p>
        </w:tc>
      </w:tr>
      <w:tr w14:paraId="5D12A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941" w:type="dxa"/>
            <w:vMerge w:val="continue"/>
            <w:vAlign w:val="center"/>
          </w:tcPr>
          <w:p w14:paraId="31F3F4CC">
            <w:pPr>
              <w:ind w:right="113"/>
              <w:jc w:val="center"/>
              <w:rPr>
                <w:rFonts w:ascii="宋体" w:hAnsi="宋体"/>
                <w:b/>
                <w:color w:val="auto"/>
                <w:szCs w:val="21"/>
              </w:rPr>
            </w:pPr>
          </w:p>
        </w:tc>
        <w:tc>
          <w:tcPr>
            <w:tcW w:w="709" w:type="dxa"/>
            <w:vAlign w:val="center"/>
          </w:tcPr>
          <w:p w14:paraId="4AA540E4">
            <w:pPr>
              <w:numPr>
                <w:ilvl w:val="0"/>
                <w:numId w:val="11"/>
              </w:numPr>
              <w:jc w:val="center"/>
              <w:rPr>
                <w:rFonts w:ascii="宋体" w:hAnsi="宋体"/>
                <w:color w:val="auto"/>
                <w:szCs w:val="21"/>
              </w:rPr>
            </w:pPr>
          </w:p>
        </w:tc>
        <w:tc>
          <w:tcPr>
            <w:tcW w:w="5812" w:type="dxa"/>
            <w:vAlign w:val="center"/>
          </w:tcPr>
          <w:p w14:paraId="37ACA14F">
            <w:pPr>
              <w:snapToGrid w:val="0"/>
              <w:rPr>
                <w:rFonts w:ascii="宋体" w:hAnsi="宋体" w:cs="Courier New"/>
                <w:color w:val="auto"/>
                <w:szCs w:val="21"/>
              </w:rPr>
            </w:pPr>
            <w:r>
              <w:rPr>
                <w:color w:val="auto"/>
              </w:rPr>
              <w:t>对重点难点分析及对策</w:t>
            </w:r>
          </w:p>
        </w:tc>
        <w:tc>
          <w:tcPr>
            <w:tcW w:w="567" w:type="dxa"/>
            <w:vAlign w:val="center"/>
          </w:tcPr>
          <w:p w14:paraId="51C5CF0C">
            <w:pPr>
              <w:jc w:val="center"/>
              <w:rPr>
                <w:rFonts w:ascii="宋体" w:hAnsi="宋体"/>
                <w:color w:val="auto"/>
                <w:szCs w:val="21"/>
              </w:rPr>
            </w:pPr>
          </w:p>
        </w:tc>
        <w:tc>
          <w:tcPr>
            <w:tcW w:w="567" w:type="dxa"/>
            <w:vAlign w:val="center"/>
          </w:tcPr>
          <w:p w14:paraId="1ED66801">
            <w:pPr>
              <w:jc w:val="center"/>
              <w:rPr>
                <w:rFonts w:ascii="宋体" w:hAnsi="宋体"/>
                <w:color w:val="auto"/>
                <w:szCs w:val="21"/>
              </w:rPr>
            </w:pPr>
          </w:p>
        </w:tc>
        <w:tc>
          <w:tcPr>
            <w:tcW w:w="708" w:type="dxa"/>
            <w:vAlign w:val="center"/>
          </w:tcPr>
          <w:p w14:paraId="7991B4F6">
            <w:pPr>
              <w:jc w:val="center"/>
              <w:rPr>
                <w:rFonts w:ascii="宋体" w:hAnsi="宋体"/>
                <w:color w:val="auto"/>
                <w:szCs w:val="21"/>
              </w:rPr>
            </w:pPr>
          </w:p>
        </w:tc>
        <w:tc>
          <w:tcPr>
            <w:tcW w:w="513" w:type="dxa"/>
            <w:vAlign w:val="center"/>
          </w:tcPr>
          <w:p w14:paraId="275B252E">
            <w:pPr>
              <w:jc w:val="center"/>
              <w:rPr>
                <w:rFonts w:ascii="宋体" w:hAnsi="宋体"/>
                <w:color w:val="auto"/>
                <w:szCs w:val="21"/>
              </w:rPr>
            </w:pPr>
          </w:p>
        </w:tc>
      </w:tr>
      <w:tr w14:paraId="1BBD2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941" w:type="dxa"/>
            <w:vMerge w:val="continue"/>
            <w:vAlign w:val="center"/>
          </w:tcPr>
          <w:p w14:paraId="211E2170">
            <w:pPr>
              <w:ind w:right="113"/>
              <w:jc w:val="center"/>
              <w:rPr>
                <w:rFonts w:ascii="宋体" w:hAnsi="宋体"/>
                <w:b/>
                <w:color w:val="auto"/>
                <w:szCs w:val="21"/>
              </w:rPr>
            </w:pPr>
          </w:p>
        </w:tc>
        <w:tc>
          <w:tcPr>
            <w:tcW w:w="709" w:type="dxa"/>
            <w:vAlign w:val="center"/>
          </w:tcPr>
          <w:p w14:paraId="4AAC3944">
            <w:pPr>
              <w:numPr>
                <w:ilvl w:val="0"/>
                <w:numId w:val="11"/>
              </w:numPr>
              <w:jc w:val="center"/>
              <w:rPr>
                <w:rFonts w:ascii="宋体" w:hAnsi="宋体"/>
                <w:color w:val="auto"/>
                <w:szCs w:val="21"/>
              </w:rPr>
            </w:pPr>
          </w:p>
        </w:tc>
        <w:tc>
          <w:tcPr>
            <w:tcW w:w="5812" w:type="dxa"/>
            <w:vAlign w:val="center"/>
          </w:tcPr>
          <w:p w14:paraId="509A5EAB">
            <w:pPr>
              <w:snapToGrid w:val="0"/>
              <w:rPr>
                <w:rFonts w:ascii="宋体" w:hAnsi="宋体" w:cs="Courier New"/>
                <w:color w:val="auto"/>
                <w:szCs w:val="21"/>
              </w:rPr>
            </w:pPr>
            <w:r>
              <w:rPr>
                <w:color w:val="auto"/>
              </w:rPr>
              <w:t>组织方案</w:t>
            </w:r>
          </w:p>
        </w:tc>
        <w:tc>
          <w:tcPr>
            <w:tcW w:w="567" w:type="dxa"/>
            <w:vAlign w:val="center"/>
          </w:tcPr>
          <w:p w14:paraId="0A01E842">
            <w:pPr>
              <w:jc w:val="center"/>
              <w:rPr>
                <w:rFonts w:ascii="宋体" w:hAnsi="宋体"/>
                <w:color w:val="auto"/>
                <w:szCs w:val="21"/>
              </w:rPr>
            </w:pPr>
          </w:p>
        </w:tc>
        <w:tc>
          <w:tcPr>
            <w:tcW w:w="567" w:type="dxa"/>
            <w:vAlign w:val="center"/>
          </w:tcPr>
          <w:p w14:paraId="5F9357B5">
            <w:pPr>
              <w:jc w:val="center"/>
              <w:rPr>
                <w:rFonts w:ascii="宋体" w:hAnsi="宋体"/>
                <w:color w:val="auto"/>
                <w:szCs w:val="21"/>
              </w:rPr>
            </w:pPr>
          </w:p>
        </w:tc>
        <w:tc>
          <w:tcPr>
            <w:tcW w:w="708" w:type="dxa"/>
            <w:vAlign w:val="center"/>
          </w:tcPr>
          <w:p w14:paraId="26162C81">
            <w:pPr>
              <w:jc w:val="center"/>
              <w:rPr>
                <w:rFonts w:ascii="宋体" w:hAnsi="宋体"/>
                <w:color w:val="auto"/>
                <w:szCs w:val="21"/>
              </w:rPr>
            </w:pPr>
          </w:p>
        </w:tc>
        <w:tc>
          <w:tcPr>
            <w:tcW w:w="513" w:type="dxa"/>
            <w:vAlign w:val="center"/>
          </w:tcPr>
          <w:p w14:paraId="21E22FC1">
            <w:pPr>
              <w:jc w:val="center"/>
              <w:rPr>
                <w:rFonts w:ascii="宋体" w:hAnsi="宋体"/>
                <w:color w:val="auto"/>
                <w:szCs w:val="21"/>
              </w:rPr>
            </w:pPr>
          </w:p>
        </w:tc>
      </w:tr>
      <w:tr w14:paraId="6AAB6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941" w:type="dxa"/>
            <w:vMerge w:val="continue"/>
            <w:vAlign w:val="center"/>
          </w:tcPr>
          <w:p w14:paraId="40AE71C9">
            <w:pPr>
              <w:ind w:right="113"/>
              <w:jc w:val="center"/>
              <w:rPr>
                <w:rFonts w:ascii="宋体" w:hAnsi="宋体"/>
                <w:b/>
                <w:color w:val="auto"/>
                <w:szCs w:val="21"/>
              </w:rPr>
            </w:pPr>
          </w:p>
        </w:tc>
        <w:tc>
          <w:tcPr>
            <w:tcW w:w="709" w:type="dxa"/>
            <w:vAlign w:val="center"/>
          </w:tcPr>
          <w:p w14:paraId="2BDBC826">
            <w:pPr>
              <w:numPr>
                <w:ilvl w:val="0"/>
                <w:numId w:val="11"/>
              </w:numPr>
              <w:jc w:val="center"/>
              <w:rPr>
                <w:rFonts w:ascii="宋体" w:hAnsi="宋体"/>
                <w:color w:val="auto"/>
                <w:szCs w:val="21"/>
              </w:rPr>
            </w:pPr>
          </w:p>
        </w:tc>
        <w:tc>
          <w:tcPr>
            <w:tcW w:w="5812" w:type="dxa"/>
            <w:vAlign w:val="center"/>
          </w:tcPr>
          <w:p w14:paraId="6A3E3A9B">
            <w:pPr>
              <w:snapToGrid w:val="0"/>
              <w:rPr>
                <w:rFonts w:ascii="宋体" w:hAnsi="宋体" w:cs="Courier New"/>
                <w:color w:val="auto"/>
                <w:szCs w:val="21"/>
              </w:rPr>
            </w:pPr>
            <w:r>
              <w:rPr>
                <w:color w:val="auto"/>
              </w:rPr>
              <w:t>服务方案</w:t>
            </w:r>
          </w:p>
        </w:tc>
        <w:tc>
          <w:tcPr>
            <w:tcW w:w="567" w:type="dxa"/>
            <w:vAlign w:val="center"/>
          </w:tcPr>
          <w:p w14:paraId="01B13770">
            <w:pPr>
              <w:jc w:val="center"/>
              <w:rPr>
                <w:rFonts w:ascii="宋体" w:hAnsi="宋体"/>
                <w:color w:val="auto"/>
                <w:szCs w:val="21"/>
              </w:rPr>
            </w:pPr>
          </w:p>
        </w:tc>
        <w:tc>
          <w:tcPr>
            <w:tcW w:w="567" w:type="dxa"/>
            <w:vAlign w:val="center"/>
          </w:tcPr>
          <w:p w14:paraId="7594C471">
            <w:pPr>
              <w:jc w:val="center"/>
              <w:rPr>
                <w:rFonts w:ascii="宋体" w:hAnsi="宋体"/>
                <w:color w:val="auto"/>
                <w:szCs w:val="21"/>
              </w:rPr>
            </w:pPr>
          </w:p>
        </w:tc>
        <w:tc>
          <w:tcPr>
            <w:tcW w:w="708" w:type="dxa"/>
            <w:vAlign w:val="center"/>
          </w:tcPr>
          <w:p w14:paraId="6E969EBB">
            <w:pPr>
              <w:jc w:val="center"/>
              <w:rPr>
                <w:rFonts w:ascii="宋体" w:hAnsi="宋体"/>
                <w:color w:val="auto"/>
                <w:szCs w:val="21"/>
              </w:rPr>
            </w:pPr>
          </w:p>
        </w:tc>
        <w:tc>
          <w:tcPr>
            <w:tcW w:w="513" w:type="dxa"/>
            <w:vAlign w:val="center"/>
          </w:tcPr>
          <w:p w14:paraId="5115F56C">
            <w:pPr>
              <w:jc w:val="center"/>
              <w:rPr>
                <w:rFonts w:ascii="宋体" w:hAnsi="宋体"/>
                <w:color w:val="auto"/>
                <w:szCs w:val="21"/>
              </w:rPr>
            </w:pPr>
          </w:p>
        </w:tc>
      </w:tr>
      <w:tr w14:paraId="75069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1" w:type="dxa"/>
            <w:vMerge w:val="continue"/>
            <w:vAlign w:val="center"/>
          </w:tcPr>
          <w:p w14:paraId="46536D51">
            <w:pPr>
              <w:ind w:left="113" w:right="113"/>
              <w:jc w:val="center"/>
              <w:rPr>
                <w:rFonts w:ascii="宋体" w:hAnsi="宋体"/>
                <w:b/>
                <w:color w:val="auto"/>
                <w:szCs w:val="21"/>
              </w:rPr>
            </w:pPr>
          </w:p>
        </w:tc>
        <w:tc>
          <w:tcPr>
            <w:tcW w:w="709" w:type="dxa"/>
            <w:vAlign w:val="center"/>
          </w:tcPr>
          <w:p w14:paraId="0104E9DD">
            <w:pPr>
              <w:numPr>
                <w:ilvl w:val="0"/>
                <w:numId w:val="11"/>
              </w:numPr>
              <w:jc w:val="center"/>
              <w:rPr>
                <w:rFonts w:ascii="宋体" w:hAnsi="宋体"/>
                <w:color w:val="auto"/>
                <w:szCs w:val="21"/>
              </w:rPr>
            </w:pPr>
          </w:p>
        </w:tc>
        <w:tc>
          <w:tcPr>
            <w:tcW w:w="5812" w:type="dxa"/>
            <w:vAlign w:val="center"/>
          </w:tcPr>
          <w:p w14:paraId="1EF5D59B">
            <w:pPr>
              <w:snapToGrid w:val="0"/>
              <w:rPr>
                <w:rFonts w:ascii="宋体" w:hAnsi="宋体" w:cs="Courier New"/>
                <w:color w:val="auto"/>
                <w:szCs w:val="21"/>
              </w:rPr>
            </w:pPr>
            <w:r>
              <w:rPr>
                <w:color w:val="auto"/>
              </w:rPr>
              <w:t>保障措施</w:t>
            </w:r>
          </w:p>
        </w:tc>
        <w:tc>
          <w:tcPr>
            <w:tcW w:w="567" w:type="dxa"/>
            <w:vAlign w:val="center"/>
          </w:tcPr>
          <w:p w14:paraId="539AD100">
            <w:pPr>
              <w:jc w:val="center"/>
              <w:rPr>
                <w:rFonts w:ascii="宋体" w:hAnsi="宋体"/>
                <w:color w:val="auto"/>
                <w:szCs w:val="21"/>
              </w:rPr>
            </w:pPr>
          </w:p>
        </w:tc>
        <w:tc>
          <w:tcPr>
            <w:tcW w:w="567" w:type="dxa"/>
            <w:vAlign w:val="center"/>
          </w:tcPr>
          <w:p w14:paraId="4A9E4099">
            <w:pPr>
              <w:jc w:val="center"/>
              <w:rPr>
                <w:rFonts w:ascii="宋体" w:hAnsi="宋体"/>
                <w:color w:val="auto"/>
                <w:szCs w:val="21"/>
              </w:rPr>
            </w:pPr>
          </w:p>
        </w:tc>
        <w:tc>
          <w:tcPr>
            <w:tcW w:w="708" w:type="dxa"/>
            <w:vAlign w:val="center"/>
          </w:tcPr>
          <w:p w14:paraId="4E2D4213">
            <w:pPr>
              <w:jc w:val="center"/>
              <w:rPr>
                <w:rFonts w:ascii="宋体" w:hAnsi="宋体"/>
                <w:color w:val="auto"/>
                <w:szCs w:val="21"/>
              </w:rPr>
            </w:pPr>
          </w:p>
        </w:tc>
        <w:tc>
          <w:tcPr>
            <w:tcW w:w="513" w:type="dxa"/>
            <w:vAlign w:val="center"/>
          </w:tcPr>
          <w:p w14:paraId="584351E7">
            <w:pPr>
              <w:jc w:val="center"/>
              <w:rPr>
                <w:rFonts w:ascii="宋体" w:hAnsi="宋体"/>
                <w:color w:val="auto"/>
                <w:szCs w:val="21"/>
              </w:rPr>
            </w:pPr>
          </w:p>
        </w:tc>
      </w:tr>
      <w:tr w14:paraId="0340D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41" w:type="dxa"/>
            <w:vMerge w:val="continue"/>
            <w:vAlign w:val="center"/>
          </w:tcPr>
          <w:p w14:paraId="334749AC">
            <w:pPr>
              <w:ind w:left="113" w:right="113"/>
              <w:jc w:val="center"/>
              <w:rPr>
                <w:rFonts w:ascii="宋体" w:hAnsi="宋体"/>
                <w:b/>
                <w:color w:val="auto"/>
                <w:szCs w:val="21"/>
              </w:rPr>
            </w:pPr>
          </w:p>
        </w:tc>
        <w:tc>
          <w:tcPr>
            <w:tcW w:w="709" w:type="dxa"/>
            <w:vAlign w:val="center"/>
          </w:tcPr>
          <w:p w14:paraId="702EA216">
            <w:pPr>
              <w:numPr>
                <w:ilvl w:val="0"/>
                <w:numId w:val="11"/>
              </w:numPr>
              <w:jc w:val="center"/>
              <w:rPr>
                <w:rFonts w:ascii="宋体" w:hAnsi="宋体"/>
                <w:color w:val="auto"/>
                <w:szCs w:val="21"/>
              </w:rPr>
            </w:pPr>
          </w:p>
        </w:tc>
        <w:tc>
          <w:tcPr>
            <w:tcW w:w="5812" w:type="dxa"/>
            <w:vAlign w:val="center"/>
          </w:tcPr>
          <w:p w14:paraId="75869457">
            <w:pPr>
              <w:snapToGrid w:val="0"/>
              <w:rPr>
                <w:color w:val="auto"/>
              </w:rPr>
            </w:pPr>
            <w:r>
              <w:rPr>
                <w:rFonts w:hint="eastAsia" w:ascii="宋体" w:hAnsi="宋体" w:eastAsia="宋体" w:cs="Courier New"/>
                <w:color w:val="auto"/>
                <w:szCs w:val="21"/>
              </w:rPr>
              <w:t>响应供应商认为需要提供的其他</w:t>
            </w:r>
            <w:r>
              <w:rPr>
                <w:rFonts w:hint="eastAsia" w:ascii="宋体" w:hAnsi="宋体" w:cs="Courier New"/>
                <w:color w:val="auto"/>
                <w:szCs w:val="21"/>
                <w:lang w:val="en-US" w:eastAsia="zh-CN"/>
              </w:rPr>
              <w:t>技术</w:t>
            </w:r>
            <w:r>
              <w:rPr>
                <w:rFonts w:hint="eastAsia" w:ascii="宋体" w:hAnsi="宋体" w:eastAsia="宋体" w:cs="Courier New"/>
                <w:color w:val="auto"/>
                <w:szCs w:val="21"/>
              </w:rPr>
              <w:t>资料</w:t>
            </w:r>
          </w:p>
        </w:tc>
        <w:tc>
          <w:tcPr>
            <w:tcW w:w="567" w:type="dxa"/>
            <w:vAlign w:val="center"/>
          </w:tcPr>
          <w:p w14:paraId="7F87EA7B">
            <w:pPr>
              <w:jc w:val="center"/>
              <w:rPr>
                <w:rFonts w:ascii="宋体" w:hAnsi="宋体"/>
                <w:color w:val="auto"/>
                <w:szCs w:val="21"/>
              </w:rPr>
            </w:pPr>
          </w:p>
        </w:tc>
        <w:tc>
          <w:tcPr>
            <w:tcW w:w="567" w:type="dxa"/>
            <w:vAlign w:val="center"/>
          </w:tcPr>
          <w:p w14:paraId="2C361134">
            <w:pPr>
              <w:jc w:val="center"/>
              <w:rPr>
                <w:rFonts w:ascii="宋体" w:hAnsi="宋体"/>
                <w:color w:val="auto"/>
                <w:szCs w:val="21"/>
              </w:rPr>
            </w:pPr>
          </w:p>
        </w:tc>
        <w:tc>
          <w:tcPr>
            <w:tcW w:w="708" w:type="dxa"/>
            <w:vAlign w:val="center"/>
          </w:tcPr>
          <w:p w14:paraId="141DD190">
            <w:pPr>
              <w:jc w:val="center"/>
              <w:rPr>
                <w:rFonts w:ascii="宋体" w:hAnsi="宋体"/>
                <w:color w:val="auto"/>
                <w:szCs w:val="21"/>
              </w:rPr>
            </w:pPr>
          </w:p>
        </w:tc>
        <w:tc>
          <w:tcPr>
            <w:tcW w:w="513" w:type="dxa"/>
            <w:vAlign w:val="center"/>
          </w:tcPr>
          <w:p w14:paraId="3074967E">
            <w:pPr>
              <w:jc w:val="center"/>
              <w:rPr>
                <w:rFonts w:ascii="宋体" w:hAnsi="宋体"/>
                <w:color w:val="auto"/>
                <w:szCs w:val="21"/>
              </w:rPr>
            </w:pPr>
          </w:p>
        </w:tc>
      </w:tr>
      <w:tr w14:paraId="5C5B9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941" w:type="dxa"/>
            <w:vMerge w:val="restart"/>
            <w:tcBorders>
              <w:top w:val="single" w:color="auto" w:sz="4" w:space="0"/>
            </w:tcBorders>
            <w:vAlign w:val="center"/>
          </w:tcPr>
          <w:p w14:paraId="1E26C447">
            <w:pPr>
              <w:jc w:val="center"/>
              <w:rPr>
                <w:rFonts w:ascii="宋体" w:hAnsi="宋体"/>
                <w:b/>
                <w:color w:val="auto"/>
                <w:szCs w:val="21"/>
              </w:rPr>
            </w:pPr>
            <w:r>
              <w:rPr>
                <w:rFonts w:ascii="宋体" w:hAnsi="宋体"/>
                <w:b/>
                <w:color w:val="auto"/>
                <w:szCs w:val="21"/>
              </w:rPr>
              <w:t>商务</w:t>
            </w:r>
          </w:p>
          <w:p w14:paraId="16EFB38D">
            <w:pPr>
              <w:jc w:val="center"/>
              <w:rPr>
                <w:rFonts w:ascii="宋体" w:hAnsi="宋体"/>
                <w:b/>
                <w:color w:val="auto"/>
                <w:szCs w:val="21"/>
              </w:rPr>
            </w:pPr>
            <w:r>
              <w:rPr>
                <w:rFonts w:hint="eastAsia" w:ascii="宋体" w:hAnsi="宋体"/>
                <w:b/>
                <w:color w:val="auto"/>
                <w:szCs w:val="21"/>
              </w:rPr>
              <w:t>文件</w:t>
            </w:r>
          </w:p>
        </w:tc>
        <w:tc>
          <w:tcPr>
            <w:tcW w:w="709" w:type="dxa"/>
            <w:vAlign w:val="center"/>
          </w:tcPr>
          <w:p w14:paraId="5995A831">
            <w:pPr>
              <w:numPr>
                <w:ilvl w:val="0"/>
                <w:numId w:val="12"/>
              </w:numPr>
              <w:jc w:val="center"/>
              <w:rPr>
                <w:rFonts w:ascii="宋体" w:hAnsi="宋体"/>
                <w:color w:val="auto"/>
                <w:szCs w:val="21"/>
              </w:rPr>
            </w:pPr>
          </w:p>
        </w:tc>
        <w:tc>
          <w:tcPr>
            <w:tcW w:w="5812" w:type="dxa"/>
            <w:vAlign w:val="center"/>
          </w:tcPr>
          <w:p w14:paraId="1B76F067">
            <w:pPr>
              <w:snapToGrid w:val="0"/>
              <w:rPr>
                <w:rFonts w:hint="eastAsia" w:ascii="宋体" w:hAnsi="宋体" w:eastAsia="宋体" w:cs="Courier New"/>
                <w:color w:val="auto"/>
                <w:szCs w:val="21"/>
              </w:rPr>
            </w:pPr>
            <w:r>
              <w:rPr>
                <w:color w:val="auto"/>
              </w:rPr>
              <w:t>同类项目业绩</w:t>
            </w:r>
          </w:p>
        </w:tc>
        <w:tc>
          <w:tcPr>
            <w:tcW w:w="567" w:type="dxa"/>
            <w:vAlign w:val="center"/>
          </w:tcPr>
          <w:p w14:paraId="3BAEC33C">
            <w:pPr>
              <w:jc w:val="center"/>
              <w:rPr>
                <w:rFonts w:ascii="宋体" w:hAnsi="宋体"/>
                <w:color w:val="auto"/>
                <w:szCs w:val="21"/>
              </w:rPr>
            </w:pPr>
          </w:p>
        </w:tc>
        <w:tc>
          <w:tcPr>
            <w:tcW w:w="567" w:type="dxa"/>
            <w:vAlign w:val="center"/>
          </w:tcPr>
          <w:p w14:paraId="2BB98F7D">
            <w:pPr>
              <w:jc w:val="center"/>
              <w:rPr>
                <w:rFonts w:ascii="宋体" w:hAnsi="宋体"/>
                <w:color w:val="auto"/>
                <w:szCs w:val="21"/>
              </w:rPr>
            </w:pPr>
          </w:p>
        </w:tc>
        <w:tc>
          <w:tcPr>
            <w:tcW w:w="708" w:type="dxa"/>
            <w:vAlign w:val="center"/>
          </w:tcPr>
          <w:p w14:paraId="40D50B95">
            <w:pPr>
              <w:jc w:val="center"/>
              <w:rPr>
                <w:rFonts w:ascii="宋体" w:hAnsi="宋体"/>
                <w:color w:val="auto"/>
                <w:szCs w:val="21"/>
              </w:rPr>
            </w:pPr>
          </w:p>
        </w:tc>
        <w:tc>
          <w:tcPr>
            <w:tcW w:w="513" w:type="dxa"/>
            <w:vAlign w:val="center"/>
          </w:tcPr>
          <w:p w14:paraId="63F97E39">
            <w:pPr>
              <w:jc w:val="center"/>
              <w:rPr>
                <w:rFonts w:ascii="宋体" w:hAnsi="宋体"/>
                <w:color w:val="auto"/>
                <w:szCs w:val="21"/>
              </w:rPr>
            </w:pPr>
          </w:p>
        </w:tc>
      </w:tr>
      <w:tr w14:paraId="3F83A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941" w:type="dxa"/>
            <w:vMerge w:val="continue"/>
            <w:tcBorders>
              <w:top w:val="single" w:color="auto" w:sz="4" w:space="0"/>
            </w:tcBorders>
            <w:vAlign w:val="center"/>
          </w:tcPr>
          <w:p w14:paraId="78A72740">
            <w:pPr>
              <w:jc w:val="center"/>
              <w:rPr>
                <w:rFonts w:ascii="宋体" w:hAnsi="宋体"/>
                <w:b/>
                <w:color w:val="auto"/>
                <w:szCs w:val="21"/>
              </w:rPr>
            </w:pPr>
          </w:p>
        </w:tc>
        <w:tc>
          <w:tcPr>
            <w:tcW w:w="709" w:type="dxa"/>
            <w:vAlign w:val="center"/>
          </w:tcPr>
          <w:p w14:paraId="7DC31555">
            <w:pPr>
              <w:numPr>
                <w:ilvl w:val="0"/>
                <w:numId w:val="12"/>
              </w:numPr>
              <w:jc w:val="center"/>
              <w:rPr>
                <w:rFonts w:ascii="宋体" w:hAnsi="宋体"/>
                <w:color w:val="auto"/>
                <w:szCs w:val="21"/>
              </w:rPr>
            </w:pPr>
          </w:p>
        </w:tc>
        <w:tc>
          <w:tcPr>
            <w:tcW w:w="5812" w:type="dxa"/>
            <w:vAlign w:val="center"/>
          </w:tcPr>
          <w:p w14:paraId="15560762">
            <w:pPr>
              <w:snapToGrid w:val="0"/>
              <w:rPr>
                <w:rFonts w:hint="eastAsia" w:ascii="宋体" w:hAnsi="宋体" w:eastAsia="宋体" w:cs="Courier New"/>
                <w:color w:val="auto"/>
                <w:szCs w:val="21"/>
              </w:rPr>
            </w:pPr>
            <w:r>
              <w:rPr>
                <w:rFonts w:hint="eastAsia"/>
                <w:color w:val="auto"/>
                <w:lang w:val="en-US" w:eastAsia="zh-CN"/>
              </w:rPr>
              <w:t>履约能力</w:t>
            </w:r>
          </w:p>
        </w:tc>
        <w:tc>
          <w:tcPr>
            <w:tcW w:w="567" w:type="dxa"/>
            <w:vAlign w:val="center"/>
          </w:tcPr>
          <w:p w14:paraId="46B98729">
            <w:pPr>
              <w:jc w:val="center"/>
              <w:rPr>
                <w:rFonts w:ascii="宋体" w:hAnsi="宋体"/>
                <w:color w:val="auto"/>
                <w:szCs w:val="21"/>
              </w:rPr>
            </w:pPr>
          </w:p>
        </w:tc>
        <w:tc>
          <w:tcPr>
            <w:tcW w:w="567" w:type="dxa"/>
            <w:vAlign w:val="center"/>
          </w:tcPr>
          <w:p w14:paraId="34E15988">
            <w:pPr>
              <w:jc w:val="center"/>
              <w:rPr>
                <w:rFonts w:ascii="宋体" w:hAnsi="宋体"/>
                <w:color w:val="auto"/>
                <w:szCs w:val="21"/>
              </w:rPr>
            </w:pPr>
          </w:p>
        </w:tc>
        <w:tc>
          <w:tcPr>
            <w:tcW w:w="708" w:type="dxa"/>
            <w:vAlign w:val="center"/>
          </w:tcPr>
          <w:p w14:paraId="78B89713">
            <w:pPr>
              <w:jc w:val="center"/>
              <w:rPr>
                <w:rFonts w:ascii="宋体" w:hAnsi="宋体"/>
                <w:color w:val="auto"/>
                <w:szCs w:val="21"/>
              </w:rPr>
            </w:pPr>
          </w:p>
        </w:tc>
        <w:tc>
          <w:tcPr>
            <w:tcW w:w="513" w:type="dxa"/>
            <w:vAlign w:val="center"/>
          </w:tcPr>
          <w:p w14:paraId="7406EA9E">
            <w:pPr>
              <w:jc w:val="center"/>
              <w:rPr>
                <w:rFonts w:ascii="宋体" w:hAnsi="宋体"/>
                <w:color w:val="auto"/>
                <w:szCs w:val="21"/>
              </w:rPr>
            </w:pPr>
          </w:p>
        </w:tc>
      </w:tr>
      <w:tr w14:paraId="1C108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941" w:type="dxa"/>
            <w:vMerge w:val="continue"/>
            <w:tcBorders>
              <w:top w:val="single" w:color="auto" w:sz="4" w:space="0"/>
            </w:tcBorders>
            <w:vAlign w:val="center"/>
          </w:tcPr>
          <w:p w14:paraId="7C0C1CC8">
            <w:pPr>
              <w:jc w:val="center"/>
              <w:rPr>
                <w:rFonts w:ascii="宋体" w:hAnsi="宋体"/>
                <w:b/>
                <w:color w:val="auto"/>
                <w:szCs w:val="21"/>
              </w:rPr>
            </w:pPr>
          </w:p>
        </w:tc>
        <w:tc>
          <w:tcPr>
            <w:tcW w:w="709" w:type="dxa"/>
            <w:vAlign w:val="center"/>
          </w:tcPr>
          <w:p w14:paraId="1721AFE7">
            <w:pPr>
              <w:numPr>
                <w:ilvl w:val="0"/>
                <w:numId w:val="12"/>
              </w:numPr>
              <w:jc w:val="center"/>
              <w:rPr>
                <w:rFonts w:ascii="宋体" w:hAnsi="宋体"/>
                <w:color w:val="auto"/>
                <w:szCs w:val="21"/>
              </w:rPr>
            </w:pPr>
          </w:p>
        </w:tc>
        <w:tc>
          <w:tcPr>
            <w:tcW w:w="5812" w:type="dxa"/>
            <w:vAlign w:val="center"/>
          </w:tcPr>
          <w:p w14:paraId="44AC7C27">
            <w:pPr>
              <w:snapToGrid w:val="0"/>
              <w:rPr>
                <w:rFonts w:hint="eastAsia" w:ascii="宋体" w:hAnsi="宋体" w:eastAsia="宋体" w:cs="Courier New"/>
                <w:color w:val="auto"/>
                <w:szCs w:val="21"/>
              </w:rPr>
            </w:pPr>
            <w:r>
              <w:rPr>
                <w:color w:val="auto"/>
              </w:rPr>
              <w:t>拟投入本项目的项目负责人情况</w:t>
            </w:r>
          </w:p>
        </w:tc>
        <w:tc>
          <w:tcPr>
            <w:tcW w:w="567" w:type="dxa"/>
            <w:vAlign w:val="center"/>
          </w:tcPr>
          <w:p w14:paraId="1CF3B16F">
            <w:pPr>
              <w:jc w:val="center"/>
              <w:rPr>
                <w:rFonts w:ascii="宋体" w:hAnsi="宋体"/>
                <w:color w:val="auto"/>
                <w:szCs w:val="21"/>
              </w:rPr>
            </w:pPr>
          </w:p>
        </w:tc>
        <w:tc>
          <w:tcPr>
            <w:tcW w:w="567" w:type="dxa"/>
            <w:vAlign w:val="center"/>
          </w:tcPr>
          <w:p w14:paraId="02B8C959">
            <w:pPr>
              <w:jc w:val="center"/>
              <w:rPr>
                <w:rFonts w:ascii="宋体" w:hAnsi="宋体"/>
                <w:color w:val="auto"/>
                <w:szCs w:val="21"/>
              </w:rPr>
            </w:pPr>
          </w:p>
        </w:tc>
        <w:tc>
          <w:tcPr>
            <w:tcW w:w="708" w:type="dxa"/>
            <w:vAlign w:val="center"/>
          </w:tcPr>
          <w:p w14:paraId="429878DE">
            <w:pPr>
              <w:jc w:val="center"/>
              <w:rPr>
                <w:rFonts w:ascii="宋体" w:hAnsi="宋体"/>
                <w:color w:val="auto"/>
                <w:szCs w:val="21"/>
              </w:rPr>
            </w:pPr>
          </w:p>
        </w:tc>
        <w:tc>
          <w:tcPr>
            <w:tcW w:w="513" w:type="dxa"/>
            <w:vAlign w:val="center"/>
          </w:tcPr>
          <w:p w14:paraId="04A909F5">
            <w:pPr>
              <w:jc w:val="center"/>
              <w:rPr>
                <w:rFonts w:ascii="宋体" w:hAnsi="宋体"/>
                <w:color w:val="auto"/>
                <w:szCs w:val="21"/>
              </w:rPr>
            </w:pPr>
          </w:p>
        </w:tc>
      </w:tr>
      <w:tr w14:paraId="23DD5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941" w:type="dxa"/>
            <w:vMerge w:val="continue"/>
            <w:tcBorders>
              <w:top w:val="single" w:color="auto" w:sz="4" w:space="0"/>
            </w:tcBorders>
            <w:vAlign w:val="center"/>
          </w:tcPr>
          <w:p w14:paraId="6AD9D75D">
            <w:pPr>
              <w:jc w:val="center"/>
              <w:rPr>
                <w:rFonts w:ascii="宋体" w:hAnsi="宋体"/>
                <w:b/>
                <w:color w:val="auto"/>
                <w:szCs w:val="21"/>
              </w:rPr>
            </w:pPr>
          </w:p>
        </w:tc>
        <w:tc>
          <w:tcPr>
            <w:tcW w:w="709" w:type="dxa"/>
            <w:vAlign w:val="center"/>
          </w:tcPr>
          <w:p w14:paraId="3DAD5DCD">
            <w:pPr>
              <w:numPr>
                <w:ilvl w:val="0"/>
                <w:numId w:val="12"/>
              </w:numPr>
              <w:jc w:val="center"/>
              <w:rPr>
                <w:rFonts w:ascii="宋体" w:hAnsi="宋体"/>
                <w:color w:val="auto"/>
                <w:szCs w:val="21"/>
              </w:rPr>
            </w:pPr>
          </w:p>
        </w:tc>
        <w:tc>
          <w:tcPr>
            <w:tcW w:w="5812" w:type="dxa"/>
            <w:vAlign w:val="center"/>
          </w:tcPr>
          <w:p w14:paraId="76CD28CB">
            <w:pPr>
              <w:snapToGrid w:val="0"/>
              <w:rPr>
                <w:rFonts w:hint="eastAsia" w:ascii="宋体" w:hAnsi="宋体" w:eastAsia="宋体" w:cs="Courier New"/>
                <w:color w:val="auto"/>
                <w:szCs w:val="21"/>
              </w:rPr>
            </w:pPr>
            <w:r>
              <w:rPr>
                <w:color w:val="auto"/>
              </w:rPr>
              <w:t>拟投入本项目的项目团队情况</w:t>
            </w:r>
          </w:p>
        </w:tc>
        <w:tc>
          <w:tcPr>
            <w:tcW w:w="567" w:type="dxa"/>
            <w:vAlign w:val="center"/>
          </w:tcPr>
          <w:p w14:paraId="55695975">
            <w:pPr>
              <w:jc w:val="center"/>
              <w:rPr>
                <w:rFonts w:ascii="宋体" w:hAnsi="宋体"/>
                <w:color w:val="auto"/>
                <w:szCs w:val="21"/>
              </w:rPr>
            </w:pPr>
          </w:p>
        </w:tc>
        <w:tc>
          <w:tcPr>
            <w:tcW w:w="567" w:type="dxa"/>
            <w:vAlign w:val="center"/>
          </w:tcPr>
          <w:p w14:paraId="0C534A49">
            <w:pPr>
              <w:jc w:val="center"/>
              <w:rPr>
                <w:rFonts w:ascii="宋体" w:hAnsi="宋体"/>
                <w:color w:val="auto"/>
                <w:szCs w:val="21"/>
              </w:rPr>
            </w:pPr>
          </w:p>
        </w:tc>
        <w:tc>
          <w:tcPr>
            <w:tcW w:w="708" w:type="dxa"/>
            <w:vAlign w:val="center"/>
          </w:tcPr>
          <w:p w14:paraId="5E7BB6B6">
            <w:pPr>
              <w:jc w:val="center"/>
              <w:rPr>
                <w:rFonts w:ascii="宋体" w:hAnsi="宋体"/>
                <w:color w:val="auto"/>
                <w:szCs w:val="21"/>
              </w:rPr>
            </w:pPr>
          </w:p>
        </w:tc>
        <w:tc>
          <w:tcPr>
            <w:tcW w:w="513" w:type="dxa"/>
            <w:vAlign w:val="center"/>
          </w:tcPr>
          <w:p w14:paraId="0E090A97">
            <w:pPr>
              <w:jc w:val="center"/>
              <w:rPr>
                <w:rFonts w:ascii="宋体" w:hAnsi="宋体"/>
                <w:color w:val="auto"/>
                <w:szCs w:val="21"/>
              </w:rPr>
            </w:pPr>
          </w:p>
        </w:tc>
      </w:tr>
      <w:tr w14:paraId="4728B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941" w:type="dxa"/>
            <w:vMerge w:val="continue"/>
            <w:tcBorders>
              <w:top w:val="single" w:color="auto" w:sz="4" w:space="0"/>
            </w:tcBorders>
            <w:vAlign w:val="center"/>
          </w:tcPr>
          <w:p w14:paraId="638CD393">
            <w:pPr>
              <w:jc w:val="center"/>
              <w:rPr>
                <w:rFonts w:ascii="宋体" w:hAnsi="宋体"/>
                <w:b/>
                <w:color w:val="auto"/>
                <w:szCs w:val="21"/>
              </w:rPr>
            </w:pPr>
          </w:p>
        </w:tc>
        <w:tc>
          <w:tcPr>
            <w:tcW w:w="709" w:type="dxa"/>
            <w:vAlign w:val="center"/>
          </w:tcPr>
          <w:p w14:paraId="60E6A24F">
            <w:pPr>
              <w:numPr>
                <w:ilvl w:val="0"/>
                <w:numId w:val="12"/>
              </w:numPr>
              <w:jc w:val="center"/>
              <w:rPr>
                <w:rFonts w:ascii="宋体" w:hAnsi="宋体"/>
                <w:color w:val="auto"/>
                <w:szCs w:val="21"/>
              </w:rPr>
            </w:pPr>
          </w:p>
        </w:tc>
        <w:tc>
          <w:tcPr>
            <w:tcW w:w="5812" w:type="dxa"/>
            <w:vAlign w:val="center"/>
          </w:tcPr>
          <w:p w14:paraId="79C4AEAC">
            <w:pPr>
              <w:snapToGrid w:val="0"/>
              <w:rPr>
                <w:rFonts w:hint="eastAsia" w:ascii="宋体" w:hAnsi="宋体" w:eastAsia="宋体" w:cs="Courier New"/>
                <w:color w:val="auto"/>
                <w:szCs w:val="21"/>
              </w:rPr>
            </w:pPr>
            <w:r>
              <w:rPr>
                <w:rFonts w:hint="eastAsia"/>
                <w:color w:val="auto"/>
              </w:rPr>
              <w:t>需求响应程度</w:t>
            </w:r>
          </w:p>
        </w:tc>
        <w:tc>
          <w:tcPr>
            <w:tcW w:w="567" w:type="dxa"/>
            <w:vAlign w:val="center"/>
          </w:tcPr>
          <w:p w14:paraId="4B3FE10E">
            <w:pPr>
              <w:jc w:val="center"/>
              <w:rPr>
                <w:rFonts w:ascii="宋体" w:hAnsi="宋体"/>
                <w:color w:val="auto"/>
                <w:szCs w:val="21"/>
              </w:rPr>
            </w:pPr>
          </w:p>
        </w:tc>
        <w:tc>
          <w:tcPr>
            <w:tcW w:w="567" w:type="dxa"/>
            <w:vAlign w:val="center"/>
          </w:tcPr>
          <w:p w14:paraId="35A640FD">
            <w:pPr>
              <w:jc w:val="center"/>
              <w:rPr>
                <w:rFonts w:ascii="宋体" w:hAnsi="宋体"/>
                <w:color w:val="auto"/>
                <w:szCs w:val="21"/>
              </w:rPr>
            </w:pPr>
          </w:p>
        </w:tc>
        <w:tc>
          <w:tcPr>
            <w:tcW w:w="708" w:type="dxa"/>
            <w:vAlign w:val="center"/>
          </w:tcPr>
          <w:p w14:paraId="4A9A2BBD">
            <w:pPr>
              <w:jc w:val="center"/>
              <w:rPr>
                <w:rFonts w:ascii="宋体" w:hAnsi="宋体"/>
                <w:color w:val="auto"/>
                <w:szCs w:val="21"/>
              </w:rPr>
            </w:pPr>
          </w:p>
        </w:tc>
        <w:tc>
          <w:tcPr>
            <w:tcW w:w="513" w:type="dxa"/>
            <w:vAlign w:val="center"/>
          </w:tcPr>
          <w:p w14:paraId="59DC29F8">
            <w:pPr>
              <w:jc w:val="center"/>
              <w:rPr>
                <w:rFonts w:ascii="宋体" w:hAnsi="宋体"/>
                <w:color w:val="auto"/>
                <w:szCs w:val="21"/>
              </w:rPr>
            </w:pPr>
          </w:p>
        </w:tc>
      </w:tr>
      <w:tr w14:paraId="235FF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3" w:hRule="atLeast"/>
          <w:jc w:val="center"/>
        </w:trPr>
        <w:tc>
          <w:tcPr>
            <w:tcW w:w="941" w:type="dxa"/>
            <w:vMerge w:val="continue"/>
            <w:vAlign w:val="center"/>
          </w:tcPr>
          <w:p w14:paraId="73325E2A">
            <w:pPr>
              <w:jc w:val="center"/>
              <w:rPr>
                <w:rFonts w:ascii="宋体" w:hAnsi="宋体"/>
                <w:b/>
                <w:color w:val="auto"/>
                <w:szCs w:val="21"/>
              </w:rPr>
            </w:pPr>
          </w:p>
        </w:tc>
        <w:tc>
          <w:tcPr>
            <w:tcW w:w="709" w:type="dxa"/>
            <w:vAlign w:val="center"/>
          </w:tcPr>
          <w:p w14:paraId="18C3B7B6">
            <w:pPr>
              <w:numPr>
                <w:ilvl w:val="0"/>
                <w:numId w:val="12"/>
              </w:numPr>
              <w:jc w:val="center"/>
              <w:rPr>
                <w:rFonts w:ascii="宋体" w:hAnsi="宋体"/>
                <w:color w:val="auto"/>
                <w:szCs w:val="21"/>
              </w:rPr>
            </w:pPr>
          </w:p>
        </w:tc>
        <w:tc>
          <w:tcPr>
            <w:tcW w:w="5812" w:type="dxa"/>
            <w:vAlign w:val="center"/>
          </w:tcPr>
          <w:p w14:paraId="7671B717">
            <w:pPr>
              <w:snapToGrid w:val="0"/>
              <w:rPr>
                <w:rFonts w:hint="eastAsia" w:ascii="宋体" w:hAnsi="宋体" w:eastAsia="宋体" w:cs="Courier New"/>
                <w:color w:val="auto"/>
                <w:szCs w:val="21"/>
              </w:rPr>
            </w:pPr>
            <w:r>
              <w:rPr>
                <w:rFonts w:hint="eastAsia" w:ascii="宋体" w:hAnsi="宋体" w:eastAsia="宋体" w:cs="Courier New"/>
                <w:color w:val="auto"/>
                <w:szCs w:val="21"/>
              </w:rPr>
              <w:t>响应供应商认为需要提供的其他商务资料</w:t>
            </w:r>
          </w:p>
        </w:tc>
        <w:tc>
          <w:tcPr>
            <w:tcW w:w="567" w:type="dxa"/>
            <w:vAlign w:val="center"/>
          </w:tcPr>
          <w:p w14:paraId="6B65CD4D">
            <w:pPr>
              <w:jc w:val="center"/>
              <w:rPr>
                <w:rFonts w:ascii="宋体" w:hAnsi="宋体"/>
                <w:color w:val="auto"/>
                <w:szCs w:val="21"/>
              </w:rPr>
            </w:pPr>
          </w:p>
        </w:tc>
        <w:tc>
          <w:tcPr>
            <w:tcW w:w="567" w:type="dxa"/>
            <w:vAlign w:val="center"/>
          </w:tcPr>
          <w:p w14:paraId="0EDBEA08">
            <w:pPr>
              <w:jc w:val="center"/>
              <w:rPr>
                <w:rFonts w:ascii="宋体" w:hAnsi="宋体"/>
                <w:color w:val="auto"/>
                <w:szCs w:val="21"/>
              </w:rPr>
            </w:pPr>
          </w:p>
        </w:tc>
        <w:tc>
          <w:tcPr>
            <w:tcW w:w="708" w:type="dxa"/>
            <w:vAlign w:val="center"/>
          </w:tcPr>
          <w:p w14:paraId="7AC013CE">
            <w:pPr>
              <w:jc w:val="center"/>
              <w:rPr>
                <w:rFonts w:ascii="宋体" w:hAnsi="宋体"/>
                <w:color w:val="auto"/>
                <w:szCs w:val="21"/>
              </w:rPr>
            </w:pPr>
          </w:p>
        </w:tc>
        <w:tc>
          <w:tcPr>
            <w:tcW w:w="513" w:type="dxa"/>
            <w:vAlign w:val="center"/>
          </w:tcPr>
          <w:p w14:paraId="65A0FE31">
            <w:pPr>
              <w:jc w:val="center"/>
              <w:rPr>
                <w:rFonts w:ascii="宋体" w:hAnsi="宋体"/>
                <w:color w:val="auto"/>
                <w:szCs w:val="21"/>
              </w:rPr>
            </w:pPr>
          </w:p>
        </w:tc>
      </w:tr>
      <w:tr w14:paraId="4A419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 w:hRule="atLeast"/>
          <w:jc w:val="center"/>
        </w:trPr>
        <w:tc>
          <w:tcPr>
            <w:tcW w:w="941" w:type="dxa"/>
            <w:vMerge w:val="restart"/>
            <w:tcBorders>
              <w:top w:val="single" w:color="auto" w:sz="4" w:space="0"/>
            </w:tcBorders>
            <w:vAlign w:val="center"/>
          </w:tcPr>
          <w:p w14:paraId="64155F6B">
            <w:pPr>
              <w:jc w:val="center"/>
              <w:rPr>
                <w:rFonts w:ascii="宋体" w:hAnsi="宋体"/>
                <w:b/>
                <w:color w:val="auto"/>
                <w:szCs w:val="21"/>
              </w:rPr>
            </w:pPr>
            <w:r>
              <w:rPr>
                <w:rFonts w:hint="eastAsia" w:ascii="宋体" w:hAnsi="宋体"/>
                <w:b/>
                <w:color w:val="auto"/>
                <w:szCs w:val="21"/>
              </w:rPr>
              <w:t>价格</w:t>
            </w:r>
          </w:p>
          <w:p w14:paraId="658F3A97">
            <w:pPr>
              <w:jc w:val="center"/>
              <w:rPr>
                <w:rFonts w:ascii="宋体" w:hAnsi="宋体"/>
                <w:b/>
                <w:color w:val="auto"/>
                <w:szCs w:val="21"/>
              </w:rPr>
            </w:pPr>
            <w:r>
              <w:rPr>
                <w:rFonts w:hint="eastAsia" w:ascii="宋体" w:hAnsi="宋体"/>
                <w:b/>
                <w:color w:val="auto"/>
                <w:szCs w:val="21"/>
              </w:rPr>
              <w:t>文件</w:t>
            </w:r>
          </w:p>
        </w:tc>
        <w:tc>
          <w:tcPr>
            <w:tcW w:w="709" w:type="dxa"/>
            <w:vAlign w:val="center"/>
          </w:tcPr>
          <w:p w14:paraId="295621B9">
            <w:pPr>
              <w:numPr>
                <w:ilvl w:val="0"/>
                <w:numId w:val="13"/>
              </w:numPr>
              <w:jc w:val="center"/>
              <w:rPr>
                <w:rFonts w:ascii="宋体" w:hAnsi="宋体"/>
                <w:color w:val="auto"/>
                <w:szCs w:val="21"/>
              </w:rPr>
            </w:pPr>
          </w:p>
        </w:tc>
        <w:tc>
          <w:tcPr>
            <w:tcW w:w="5812" w:type="dxa"/>
            <w:vAlign w:val="center"/>
          </w:tcPr>
          <w:p w14:paraId="4A24A04A">
            <w:pPr>
              <w:textAlignment w:val="baseline"/>
              <w:rPr>
                <w:rFonts w:ascii="宋体" w:hAnsi="宋体"/>
                <w:color w:val="auto"/>
                <w:szCs w:val="21"/>
              </w:rPr>
            </w:pPr>
            <w:r>
              <w:rPr>
                <w:rFonts w:ascii="宋体" w:hAnsi="宋体"/>
                <w:color w:val="auto"/>
                <w:szCs w:val="21"/>
              </w:rPr>
              <w:t>报价一览表（首次报价）</w:t>
            </w:r>
          </w:p>
        </w:tc>
        <w:tc>
          <w:tcPr>
            <w:tcW w:w="567" w:type="dxa"/>
            <w:vAlign w:val="center"/>
          </w:tcPr>
          <w:p w14:paraId="01C600F2">
            <w:pPr>
              <w:jc w:val="center"/>
              <w:rPr>
                <w:rFonts w:ascii="宋体" w:hAnsi="宋体"/>
                <w:color w:val="auto"/>
                <w:szCs w:val="21"/>
              </w:rPr>
            </w:pPr>
          </w:p>
        </w:tc>
        <w:tc>
          <w:tcPr>
            <w:tcW w:w="567" w:type="dxa"/>
            <w:vAlign w:val="center"/>
          </w:tcPr>
          <w:p w14:paraId="3C73ED9C">
            <w:pPr>
              <w:jc w:val="center"/>
              <w:rPr>
                <w:rFonts w:ascii="宋体" w:hAnsi="宋体"/>
                <w:color w:val="auto"/>
                <w:szCs w:val="21"/>
              </w:rPr>
            </w:pPr>
          </w:p>
        </w:tc>
        <w:tc>
          <w:tcPr>
            <w:tcW w:w="708" w:type="dxa"/>
            <w:vAlign w:val="center"/>
          </w:tcPr>
          <w:p w14:paraId="052086A2">
            <w:pPr>
              <w:jc w:val="center"/>
              <w:rPr>
                <w:rFonts w:ascii="宋体" w:hAnsi="宋体"/>
                <w:color w:val="auto"/>
                <w:szCs w:val="21"/>
              </w:rPr>
            </w:pPr>
          </w:p>
        </w:tc>
        <w:tc>
          <w:tcPr>
            <w:tcW w:w="513" w:type="dxa"/>
            <w:vAlign w:val="center"/>
          </w:tcPr>
          <w:p w14:paraId="2891C208">
            <w:pPr>
              <w:jc w:val="center"/>
              <w:rPr>
                <w:rFonts w:ascii="宋体" w:hAnsi="宋体"/>
                <w:color w:val="auto"/>
                <w:szCs w:val="21"/>
              </w:rPr>
            </w:pPr>
          </w:p>
        </w:tc>
      </w:tr>
      <w:tr w14:paraId="15130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jc w:val="center"/>
        </w:trPr>
        <w:tc>
          <w:tcPr>
            <w:tcW w:w="941" w:type="dxa"/>
            <w:vMerge w:val="continue"/>
            <w:tcBorders>
              <w:top w:val="single" w:color="auto" w:sz="4" w:space="0"/>
            </w:tcBorders>
            <w:vAlign w:val="center"/>
          </w:tcPr>
          <w:p w14:paraId="2B305B03">
            <w:pPr>
              <w:jc w:val="center"/>
              <w:rPr>
                <w:rFonts w:ascii="宋体" w:hAnsi="宋体"/>
                <w:b/>
                <w:color w:val="auto"/>
                <w:szCs w:val="21"/>
              </w:rPr>
            </w:pPr>
          </w:p>
        </w:tc>
        <w:tc>
          <w:tcPr>
            <w:tcW w:w="709" w:type="dxa"/>
            <w:vAlign w:val="center"/>
          </w:tcPr>
          <w:p w14:paraId="08F5EB3C">
            <w:pPr>
              <w:numPr>
                <w:ilvl w:val="0"/>
                <w:numId w:val="13"/>
              </w:numPr>
              <w:jc w:val="center"/>
              <w:rPr>
                <w:rFonts w:ascii="宋体" w:hAnsi="宋体"/>
                <w:color w:val="auto"/>
                <w:szCs w:val="21"/>
              </w:rPr>
            </w:pPr>
          </w:p>
        </w:tc>
        <w:tc>
          <w:tcPr>
            <w:tcW w:w="5812" w:type="dxa"/>
            <w:vAlign w:val="center"/>
          </w:tcPr>
          <w:p w14:paraId="5B3C9196">
            <w:pPr>
              <w:textAlignment w:val="baseline"/>
              <w:rPr>
                <w:rFonts w:ascii="宋体" w:hAnsi="宋体"/>
                <w:color w:val="auto"/>
                <w:szCs w:val="21"/>
              </w:rPr>
            </w:pPr>
            <w:r>
              <w:rPr>
                <w:rFonts w:ascii="宋体" w:hAnsi="宋体"/>
                <w:color w:val="auto"/>
                <w:szCs w:val="21"/>
              </w:rPr>
              <w:t>报价明细表</w:t>
            </w:r>
          </w:p>
        </w:tc>
        <w:tc>
          <w:tcPr>
            <w:tcW w:w="567" w:type="dxa"/>
            <w:vAlign w:val="center"/>
          </w:tcPr>
          <w:p w14:paraId="38998172">
            <w:pPr>
              <w:jc w:val="center"/>
              <w:rPr>
                <w:rFonts w:ascii="宋体" w:hAnsi="宋体"/>
                <w:color w:val="auto"/>
                <w:szCs w:val="21"/>
              </w:rPr>
            </w:pPr>
          </w:p>
        </w:tc>
        <w:tc>
          <w:tcPr>
            <w:tcW w:w="567" w:type="dxa"/>
            <w:vAlign w:val="center"/>
          </w:tcPr>
          <w:p w14:paraId="5A9FE227">
            <w:pPr>
              <w:jc w:val="center"/>
              <w:rPr>
                <w:rFonts w:ascii="宋体" w:hAnsi="宋体"/>
                <w:color w:val="auto"/>
                <w:szCs w:val="21"/>
              </w:rPr>
            </w:pPr>
          </w:p>
        </w:tc>
        <w:tc>
          <w:tcPr>
            <w:tcW w:w="708" w:type="dxa"/>
            <w:vAlign w:val="center"/>
          </w:tcPr>
          <w:p w14:paraId="3E5FA304">
            <w:pPr>
              <w:jc w:val="center"/>
              <w:rPr>
                <w:rFonts w:ascii="宋体" w:hAnsi="宋体"/>
                <w:color w:val="auto"/>
                <w:szCs w:val="21"/>
              </w:rPr>
            </w:pPr>
          </w:p>
        </w:tc>
        <w:tc>
          <w:tcPr>
            <w:tcW w:w="513" w:type="dxa"/>
            <w:vAlign w:val="center"/>
          </w:tcPr>
          <w:p w14:paraId="65437845">
            <w:pPr>
              <w:jc w:val="center"/>
              <w:rPr>
                <w:rFonts w:ascii="宋体" w:hAnsi="宋体"/>
                <w:color w:val="auto"/>
                <w:szCs w:val="21"/>
              </w:rPr>
            </w:pPr>
          </w:p>
        </w:tc>
      </w:tr>
      <w:tr w14:paraId="22285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941" w:type="dxa"/>
            <w:vMerge w:val="continue"/>
            <w:vAlign w:val="center"/>
          </w:tcPr>
          <w:p w14:paraId="746E1035">
            <w:pPr>
              <w:jc w:val="center"/>
              <w:rPr>
                <w:rFonts w:ascii="宋体" w:hAnsi="宋体"/>
                <w:color w:val="auto"/>
                <w:szCs w:val="21"/>
              </w:rPr>
            </w:pPr>
          </w:p>
        </w:tc>
        <w:tc>
          <w:tcPr>
            <w:tcW w:w="709" w:type="dxa"/>
            <w:vAlign w:val="center"/>
          </w:tcPr>
          <w:p w14:paraId="0DA17250">
            <w:pPr>
              <w:numPr>
                <w:ilvl w:val="0"/>
                <w:numId w:val="13"/>
              </w:numPr>
              <w:jc w:val="center"/>
              <w:rPr>
                <w:rFonts w:ascii="宋体" w:hAnsi="宋体"/>
                <w:color w:val="auto"/>
                <w:szCs w:val="21"/>
              </w:rPr>
            </w:pPr>
          </w:p>
        </w:tc>
        <w:tc>
          <w:tcPr>
            <w:tcW w:w="5812" w:type="dxa"/>
            <w:vAlign w:val="center"/>
          </w:tcPr>
          <w:p w14:paraId="2816A1B0">
            <w:pPr>
              <w:textAlignment w:val="baseline"/>
              <w:rPr>
                <w:rFonts w:ascii="宋体" w:hAnsi="宋体"/>
                <w:color w:val="auto"/>
                <w:szCs w:val="21"/>
              </w:rPr>
            </w:pPr>
            <w:r>
              <w:rPr>
                <w:rFonts w:hint="eastAsia" w:ascii="宋体" w:hAnsi="宋体"/>
                <w:color w:val="auto"/>
                <w:szCs w:val="21"/>
              </w:rPr>
              <w:t>响应供应商</w:t>
            </w:r>
            <w:r>
              <w:rPr>
                <w:rFonts w:ascii="宋体" w:hAnsi="宋体"/>
                <w:color w:val="auto"/>
                <w:szCs w:val="21"/>
              </w:rPr>
              <w:t>认为需要提供的其他价格资料</w:t>
            </w:r>
          </w:p>
        </w:tc>
        <w:tc>
          <w:tcPr>
            <w:tcW w:w="567" w:type="dxa"/>
            <w:vAlign w:val="center"/>
          </w:tcPr>
          <w:p w14:paraId="43D398A2">
            <w:pPr>
              <w:jc w:val="center"/>
              <w:rPr>
                <w:rFonts w:ascii="宋体" w:hAnsi="宋体"/>
                <w:color w:val="auto"/>
                <w:szCs w:val="21"/>
              </w:rPr>
            </w:pPr>
          </w:p>
        </w:tc>
        <w:tc>
          <w:tcPr>
            <w:tcW w:w="567" w:type="dxa"/>
            <w:vAlign w:val="center"/>
          </w:tcPr>
          <w:p w14:paraId="35E275D2">
            <w:pPr>
              <w:jc w:val="center"/>
              <w:rPr>
                <w:rFonts w:ascii="宋体" w:hAnsi="宋体"/>
                <w:color w:val="auto"/>
                <w:szCs w:val="21"/>
              </w:rPr>
            </w:pPr>
          </w:p>
        </w:tc>
        <w:tc>
          <w:tcPr>
            <w:tcW w:w="708" w:type="dxa"/>
            <w:vAlign w:val="center"/>
          </w:tcPr>
          <w:p w14:paraId="35F5ABB5">
            <w:pPr>
              <w:jc w:val="center"/>
              <w:rPr>
                <w:rFonts w:ascii="宋体" w:hAnsi="宋体"/>
                <w:color w:val="auto"/>
                <w:szCs w:val="21"/>
              </w:rPr>
            </w:pPr>
          </w:p>
        </w:tc>
        <w:tc>
          <w:tcPr>
            <w:tcW w:w="513" w:type="dxa"/>
            <w:vAlign w:val="center"/>
          </w:tcPr>
          <w:p w14:paraId="15B88B20">
            <w:pPr>
              <w:jc w:val="center"/>
              <w:rPr>
                <w:rFonts w:ascii="宋体" w:hAnsi="宋体"/>
                <w:color w:val="auto"/>
                <w:szCs w:val="21"/>
              </w:rPr>
            </w:pPr>
          </w:p>
        </w:tc>
      </w:tr>
    </w:tbl>
    <w:p w14:paraId="400487C0">
      <w:pPr>
        <w:pStyle w:val="3"/>
        <w:jc w:val="center"/>
        <w:rPr>
          <w:rFonts w:hAnsi="宋体"/>
          <w:color w:val="auto"/>
          <w:sz w:val="21"/>
          <w:szCs w:val="21"/>
        </w:rPr>
      </w:pPr>
      <w:r>
        <w:rPr>
          <w:rFonts w:ascii="黑体" w:eastAsia="黑体"/>
          <w:bCs/>
          <w:color w:val="auto"/>
          <w:sz w:val="21"/>
          <w:szCs w:val="21"/>
        </w:rPr>
        <w:br w:type="page"/>
      </w:r>
      <w:bookmarkStart w:id="260" w:name="_Toc18013"/>
      <w:bookmarkStart w:id="261" w:name="_Toc8731"/>
      <w:r>
        <w:rPr>
          <w:rFonts w:hAnsi="宋体"/>
          <w:color w:val="auto"/>
          <w:sz w:val="44"/>
          <w:szCs w:val="44"/>
        </w:rPr>
        <w:t>一、资格、符合性文件</w:t>
      </w:r>
      <w:bookmarkEnd w:id="260"/>
      <w:bookmarkEnd w:id="261"/>
    </w:p>
    <w:p w14:paraId="0AE2CFD3">
      <w:pPr>
        <w:pStyle w:val="3"/>
        <w:ind w:firstLine="0"/>
        <w:jc w:val="left"/>
        <w:rPr>
          <w:rFonts w:hAnsi="宋体"/>
          <w:bCs/>
          <w:color w:val="auto"/>
          <w:sz w:val="24"/>
          <w:szCs w:val="24"/>
        </w:rPr>
      </w:pPr>
      <w:bookmarkStart w:id="262" w:name="_Toc29102"/>
      <w:bookmarkStart w:id="263" w:name="_Toc9504"/>
      <w:r>
        <w:rPr>
          <w:rFonts w:hint="eastAsia" w:hAnsi="宋体"/>
          <w:bCs/>
          <w:color w:val="auto"/>
          <w:sz w:val="24"/>
          <w:szCs w:val="24"/>
        </w:rPr>
        <w:t>格式</w:t>
      </w:r>
      <w:r>
        <w:rPr>
          <w:rFonts w:hAnsi="宋体"/>
          <w:bCs/>
          <w:color w:val="auto"/>
          <w:sz w:val="24"/>
          <w:szCs w:val="24"/>
        </w:rPr>
        <w:t xml:space="preserve">1 </w:t>
      </w:r>
      <w:r>
        <w:rPr>
          <w:rFonts w:hint="eastAsia" w:hAnsi="宋体"/>
          <w:bCs/>
          <w:color w:val="auto"/>
          <w:sz w:val="24"/>
          <w:szCs w:val="24"/>
        </w:rPr>
        <w:t>磋商函</w:t>
      </w:r>
      <w:bookmarkEnd w:id="262"/>
      <w:bookmarkEnd w:id="263"/>
    </w:p>
    <w:p w14:paraId="18B64CAD">
      <w:pPr>
        <w:rPr>
          <w:color w:val="auto"/>
        </w:rPr>
      </w:pPr>
    </w:p>
    <w:p w14:paraId="02CE7594">
      <w:pPr>
        <w:snapToGrid w:val="0"/>
        <w:spacing w:line="360" w:lineRule="auto"/>
        <w:ind w:left="105" w:leftChars="50" w:firstLine="2"/>
        <w:rPr>
          <w:rFonts w:ascii="宋体" w:hAnsi="宋体"/>
          <w:b/>
          <w:color w:val="auto"/>
          <w:szCs w:val="21"/>
        </w:rPr>
      </w:pPr>
      <w:r>
        <w:rPr>
          <w:rFonts w:hint="eastAsia" w:ascii="宋体" w:hAnsi="宋体"/>
          <w:b/>
          <w:color w:val="auto"/>
          <w:szCs w:val="21"/>
        </w:rPr>
        <w:t>致：</w:t>
      </w:r>
      <w:r>
        <w:rPr>
          <w:rFonts w:ascii="宋体" w:hAnsi="宋体"/>
          <w:b/>
          <w:color w:val="auto"/>
          <w:szCs w:val="21"/>
        </w:rPr>
        <w:t>广东为诚招标代理有限公司</w:t>
      </w:r>
    </w:p>
    <w:p w14:paraId="4572F00A">
      <w:pPr>
        <w:spacing w:line="360" w:lineRule="auto"/>
        <w:ind w:left="105" w:leftChars="50" w:firstLine="420" w:firstLineChars="200"/>
        <w:rPr>
          <w:rFonts w:ascii="宋体" w:hAnsi="宋体"/>
          <w:color w:val="auto"/>
          <w:szCs w:val="21"/>
        </w:rPr>
      </w:pPr>
      <w:r>
        <w:rPr>
          <w:rFonts w:ascii="宋体" w:hAnsi="宋体"/>
          <w:color w:val="auto"/>
          <w:szCs w:val="21"/>
        </w:rPr>
        <w:t>我方确认收到贵方</w:t>
      </w:r>
      <w:r>
        <w:rPr>
          <w:rFonts w:hint="eastAsia" w:ascii="宋体" w:hAnsi="宋体"/>
          <w:color w:val="auto"/>
          <w:szCs w:val="21"/>
          <w:u w:val="single"/>
          <w:lang w:eastAsia="zh-CN"/>
        </w:rPr>
        <w:t>2024年广州市南沙政务服务公众考核满意度调查项目</w:t>
      </w:r>
      <w:r>
        <w:rPr>
          <w:rFonts w:ascii="宋体" w:hAnsi="宋体"/>
          <w:color w:val="auto"/>
          <w:szCs w:val="21"/>
        </w:rPr>
        <w:t>的竞争性磋商文件（项目编号：</w:t>
      </w:r>
      <w:r>
        <w:rPr>
          <w:rFonts w:hint="eastAsia" w:ascii="宋体" w:hAnsi="宋体"/>
          <w:color w:val="auto"/>
          <w:szCs w:val="21"/>
          <w:lang w:eastAsia="zh-CN"/>
        </w:rPr>
        <w:t>GDWCFFC2312121</w:t>
      </w:r>
      <w:r>
        <w:rPr>
          <w:rFonts w:hint="eastAsia" w:ascii="宋体" w:hAnsi="宋体"/>
          <w:color w:val="auto"/>
          <w:szCs w:val="21"/>
        </w:rPr>
        <w:t>），</w:t>
      </w:r>
      <w:r>
        <w:rPr>
          <w:rFonts w:ascii="宋体" w:hAnsi="宋体"/>
          <w:color w:val="auto"/>
          <w:szCs w:val="21"/>
          <w:u w:val="single"/>
        </w:rPr>
        <w:t>(</w:t>
      </w:r>
      <w:r>
        <w:rPr>
          <w:rFonts w:hint="eastAsia" w:ascii="宋体" w:hAnsi="宋体"/>
          <w:color w:val="auto"/>
          <w:szCs w:val="21"/>
          <w:u w:val="single"/>
        </w:rPr>
        <w:t>响应供应商</w:t>
      </w:r>
      <w:r>
        <w:rPr>
          <w:rFonts w:ascii="宋体" w:hAnsi="宋体"/>
          <w:color w:val="auto"/>
          <w:szCs w:val="21"/>
          <w:u w:val="single"/>
        </w:rPr>
        <w:t>名称、地址)</w:t>
      </w:r>
      <w:r>
        <w:rPr>
          <w:rFonts w:ascii="宋体" w:hAnsi="宋体"/>
          <w:color w:val="auto"/>
          <w:szCs w:val="21"/>
        </w:rPr>
        <w:t>作为</w:t>
      </w:r>
      <w:r>
        <w:rPr>
          <w:rFonts w:hint="eastAsia" w:ascii="宋体" w:hAnsi="宋体"/>
          <w:color w:val="auto"/>
          <w:szCs w:val="21"/>
        </w:rPr>
        <w:t>响应供应商</w:t>
      </w:r>
      <w:r>
        <w:rPr>
          <w:rFonts w:ascii="宋体" w:hAnsi="宋体"/>
          <w:color w:val="auto"/>
          <w:szCs w:val="21"/>
        </w:rPr>
        <w:t>已正式授权</w:t>
      </w:r>
      <w:r>
        <w:rPr>
          <w:rFonts w:ascii="宋体" w:hAnsi="宋体"/>
          <w:color w:val="auto"/>
          <w:szCs w:val="21"/>
          <w:u w:val="single"/>
        </w:rPr>
        <w:t>(授权代表全名、职务)</w:t>
      </w:r>
      <w:r>
        <w:rPr>
          <w:rFonts w:ascii="宋体" w:hAnsi="宋体"/>
          <w:color w:val="auto"/>
          <w:szCs w:val="21"/>
        </w:rPr>
        <w:t>为我方签名代表，代表我方提交</w:t>
      </w:r>
      <w:r>
        <w:rPr>
          <w:rFonts w:hint="eastAsia" w:ascii="宋体" w:hAnsi="宋体"/>
          <w:color w:val="auto"/>
          <w:szCs w:val="21"/>
        </w:rPr>
        <w:t>响应文件</w:t>
      </w:r>
      <w:r>
        <w:rPr>
          <w:rFonts w:ascii="宋体" w:hAnsi="宋体"/>
          <w:color w:val="auto"/>
          <w:szCs w:val="21"/>
        </w:rPr>
        <w:t>进行磋商。</w:t>
      </w:r>
    </w:p>
    <w:p w14:paraId="0A0FED5C">
      <w:pPr>
        <w:spacing w:line="360" w:lineRule="auto"/>
        <w:ind w:firstLine="420" w:firstLineChars="200"/>
        <w:rPr>
          <w:rFonts w:ascii="宋体" w:hAnsi="宋体"/>
          <w:color w:val="auto"/>
          <w:szCs w:val="21"/>
        </w:rPr>
      </w:pPr>
      <w:r>
        <w:rPr>
          <w:rFonts w:ascii="宋体" w:hAnsi="宋体"/>
          <w:color w:val="auto"/>
          <w:szCs w:val="21"/>
        </w:rPr>
        <w:t>签名代表在此声明并同意：</w:t>
      </w:r>
    </w:p>
    <w:p w14:paraId="07E0CABA">
      <w:pPr>
        <w:numPr>
          <w:ilvl w:val="0"/>
          <w:numId w:val="14"/>
        </w:numPr>
        <w:adjustRightInd w:val="0"/>
        <w:snapToGrid w:val="0"/>
        <w:spacing w:line="360" w:lineRule="auto"/>
        <w:rPr>
          <w:rFonts w:ascii="宋体" w:hAnsi="宋体"/>
          <w:b/>
          <w:color w:val="auto"/>
          <w:szCs w:val="21"/>
        </w:rPr>
      </w:pPr>
      <w:r>
        <w:rPr>
          <w:rFonts w:ascii="宋体" w:hAnsi="宋体"/>
          <w:b/>
          <w:color w:val="auto"/>
          <w:szCs w:val="21"/>
        </w:rPr>
        <w:t>我们愿意遵守采购代理机构发布竞争性磋商文件的各项规定，自愿参加磋商,并已清楚竞争性磋商文件的要求及有关文件规定，并严格按照竞争性磋商文件的规定履行全部责任和义务。</w:t>
      </w:r>
    </w:p>
    <w:p w14:paraId="1B9327E5">
      <w:pPr>
        <w:numPr>
          <w:ilvl w:val="0"/>
          <w:numId w:val="14"/>
        </w:numPr>
        <w:adjustRightInd w:val="0"/>
        <w:snapToGrid w:val="0"/>
        <w:spacing w:line="360" w:lineRule="auto"/>
        <w:rPr>
          <w:rFonts w:ascii="宋体" w:hAnsi="宋体"/>
          <w:b/>
          <w:color w:val="auto"/>
          <w:szCs w:val="21"/>
        </w:rPr>
      </w:pPr>
      <w:r>
        <w:rPr>
          <w:rFonts w:ascii="宋体" w:hAnsi="宋体"/>
          <w:b/>
          <w:color w:val="auto"/>
          <w:szCs w:val="21"/>
        </w:rPr>
        <w:t>我们同意本磋商自磋商截止之日起</w:t>
      </w:r>
      <w:r>
        <w:rPr>
          <w:rFonts w:ascii="宋体" w:hAnsi="宋体"/>
          <w:b/>
          <w:color w:val="auto"/>
          <w:szCs w:val="21"/>
          <w:u w:val="single"/>
        </w:rPr>
        <w:t>90</w:t>
      </w:r>
      <w:r>
        <w:rPr>
          <w:rFonts w:ascii="宋体" w:hAnsi="宋体"/>
          <w:b/>
          <w:color w:val="auto"/>
          <w:szCs w:val="21"/>
        </w:rPr>
        <w:t>天内有效。如果我们的磋商被接受，则直至合同生效时止，本磋商始终有效。本磋商始终有效并不撤回已递交的</w:t>
      </w:r>
      <w:r>
        <w:rPr>
          <w:rFonts w:hint="eastAsia" w:ascii="宋体" w:hAnsi="宋体"/>
          <w:b/>
          <w:color w:val="auto"/>
          <w:szCs w:val="21"/>
        </w:rPr>
        <w:t>响应文件</w:t>
      </w:r>
      <w:r>
        <w:rPr>
          <w:rFonts w:ascii="宋体" w:hAnsi="宋体"/>
          <w:b/>
          <w:color w:val="auto"/>
          <w:szCs w:val="21"/>
        </w:rPr>
        <w:t>。</w:t>
      </w:r>
    </w:p>
    <w:p w14:paraId="232A32CD">
      <w:pPr>
        <w:numPr>
          <w:ilvl w:val="0"/>
          <w:numId w:val="14"/>
        </w:numPr>
        <w:adjustRightInd w:val="0"/>
        <w:snapToGrid w:val="0"/>
        <w:spacing w:line="360" w:lineRule="auto"/>
        <w:rPr>
          <w:rFonts w:ascii="宋体" w:hAnsi="宋体"/>
          <w:b/>
          <w:color w:val="auto"/>
          <w:szCs w:val="21"/>
        </w:rPr>
      </w:pPr>
      <w:r>
        <w:rPr>
          <w:rFonts w:ascii="宋体" w:hAnsi="宋体"/>
          <w:b/>
          <w:color w:val="auto"/>
          <w:szCs w:val="21"/>
        </w:rPr>
        <w:t>我们已经详细地阅读并完全明白了全部竞争性磋商文件及附</w:t>
      </w:r>
      <w:r>
        <w:rPr>
          <w:rFonts w:hint="eastAsia" w:ascii="宋体" w:hAnsi="宋体"/>
          <w:b/>
          <w:color w:val="auto"/>
          <w:szCs w:val="21"/>
        </w:rPr>
        <w:t>件</w:t>
      </w:r>
      <w:r>
        <w:rPr>
          <w:rFonts w:ascii="宋体" w:hAnsi="宋体"/>
          <w:b/>
          <w:color w:val="auto"/>
          <w:szCs w:val="21"/>
        </w:rPr>
        <w:t>，包括澄清（如有）及参考文件，我们完全理解本竞争性磋商文件的要求，</w:t>
      </w:r>
      <w:r>
        <w:rPr>
          <w:rFonts w:hint="eastAsia" w:ascii="宋体"/>
          <w:b/>
          <w:color w:val="auto"/>
          <w:szCs w:val="21"/>
        </w:rPr>
        <w:t>我们同意放弃对竞争性磋商文件提出不明或误解的一切权力</w:t>
      </w:r>
      <w:r>
        <w:rPr>
          <w:rFonts w:hint="eastAsia" w:ascii="宋体" w:hAnsi="宋体"/>
          <w:b/>
          <w:color w:val="auto"/>
          <w:szCs w:val="21"/>
        </w:rPr>
        <w:t>。</w:t>
      </w:r>
    </w:p>
    <w:p w14:paraId="3447CC98">
      <w:pPr>
        <w:numPr>
          <w:ilvl w:val="0"/>
          <w:numId w:val="14"/>
        </w:numPr>
        <w:adjustRightInd w:val="0"/>
        <w:snapToGrid w:val="0"/>
        <w:spacing w:line="360" w:lineRule="auto"/>
        <w:rPr>
          <w:rFonts w:ascii="宋体" w:hAnsi="宋体"/>
          <w:b/>
          <w:color w:val="auto"/>
          <w:szCs w:val="21"/>
        </w:rPr>
      </w:pPr>
      <w:r>
        <w:rPr>
          <w:rFonts w:ascii="宋体" w:hAnsi="宋体"/>
          <w:b/>
          <w:color w:val="auto"/>
          <w:szCs w:val="21"/>
        </w:rPr>
        <w:t>我们同意提供招标采购单位与评标委员会要求的有关磋商的一切资料或数据。</w:t>
      </w:r>
    </w:p>
    <w:p w14:paraId="045DC7D5">
      <w:pPr>
        <w:numPr>
          <w:ilvl w:val="0"/>
          <w:numId w:val="14"/>
        </w:numPr>
        <w:adjustRightInd w:val="0"/>
        <w:snapToGrid w:val="0"/>
        <w:spacing w:line="360" w:lineRule="auto"/>
        <w:rPr>
          <w:rFonts w:ascii="宋体" w:hAnsi="宋体"/>
          <w:b/>
          <w:color w:val="auto"/>
          <w:szCs w:val="21"/>
        </w:rPr>
      </w:pPr>
      <w:r>
        <w:rPr>
          <w:rFonts w:ascii="宋体" w:hAnsi="宋体"/>
          <w:b/>
          <w:color w:val="auto"/>
          <w:szCs w:val="21"/>
        </w:rPr>
        <w:t>我们理解招标采购单位与磋商小组并无义务必须接受最低报价的磋商或其它任何磋商，完全理解采购代理机构拒绝迟到的任何磋商和最低磋商报价不是被授予成交的唯一条件。</w:t>
      </w:r>
    </w:p>
    <w:p w14:paraId="02E3E35B">
      <w:pPr>
        <w:numPr>
          <w:ilvl w:val="0"/>
          <w:numId w:val="14"/>
        </w:numPr>
        <w:adjustRightInd w:val="0"/>
        <w:snapToGrid w:val="0"/>
        <w:spacing w:line="360" w:lineRule="auto"/>
        <w:rPr>
          <w:rFonts w:ascii="宋体" w:hAnsi="宋体"/>
          <w:b/>
          <w:color w:val="auto"/>
          <w:szCs w:val="21"/>
        </w:rPr>
      </w:pPr>
      <w:r>
        <w:rPr>
          <w:rFonts w:ascii="宋体" w:hAnsi="宋体"/>
          <w:b/>
          <w:color w:val="auto"/>
          <w:szCs w:val="21"/>
        </w:rPr>
        <w:t>如果我们未对竞争性磋商文件全部要求作出实质性响应，则完全同意并接受按无效磋商处理。</w:t>
      </w:r>
    </w:p>
    <w:p w14:paraId="5D166586">
      <w:pPr>
        <w:numPr>
          <w:ilvl w:val="0"/>
          <w:numId w:val="14"/>
        </w:numPr>
        <w:adjustRightInd w:val="0"/>
        <w:snapToGrid w:val="0"/>
        <w:spacing w:line="360" w:lineRule="auto"/>
        <w:rPr>
          <w:rFonts w:ascii="宋体" w:hAnsi="宋体"/>
          <w:b/>
          <w:color w:val="auto"/>
          <w:szCs w:val="21"/>
          <w:lang w:eastAsia="zh-TW"/>
        </w:rPr>
      </w:pPr>
      <w:r>
        <w:rPr>
          <w:rFonts w:ascii="宋体" w:hAnsi="宋体"/>
          <w:b/>
          <w:color w:val="auto"/>
          <w:szCs w:val="21"/>
        </w:rPr>
        <w:t>我们证明提交的一切文件，无论是原件还是复印件均为准确、真实、有效、完整的，绝无任何虚假、伪造或者夸</w:t>
      </w:r>
      <w:r>
        <w:rPr>
          <w:rFonts w:hint="eastAsia" w:ascii="宋体" w:hAnsi="宋体"/>
          <w:b/>
          <w:color w:val="auto"/>
          <w:szCs w:val="21"/>
        </w:rPr>
        <w:t>大。</w:t>
      </w:r>
      <w:r>
        <w:rPr>
          <w:rFonts w:ascii="宋体" w:hAnsi="宋体"/>
          <w:b/>
          <w:color w:val="auto"/>
          <w:szCs w:val="21"/>
        </w:rPr>
        <w:t>我们在此郑重承诺：在本次招标采购活动中，如有违法、违规、弄虚作假行为，所造成的损失、不良后果及法律责任，一律由我公司（企业）承担。</w:t>
      </w:r>
    </w:p>
    <w:p w14:paraId="169A7930">
      <w:pPr>
        <w:numPr>
          <w:ilvl w:val="0"/>
          <w:numId w:val="14"/>
        </w:numPr>
        <w:snapToGrid w:val="0"/>
        <w:spacing w:line="360" w:lineRule="auto"/>
        <w:rPr>
          <w:rFonts w:ascii="宋体" w:hAnsi="宋体"/>
          <w:b/>
          <w:color w:val="auto"/>
          <w:szCs w:val="21"/>
        </w:rPr>
      </w:pPr>
      <w:r>
        <w:rPr>
          <w:rFonts w:ascii="宋体" w:hAnsi="宋体"/>
          <w:b/>
          <w:color w:val="auto"/>
          <w:szCs w:val="21"/>
        </w:rPr>
        <w:t>如果我们提供的声明或承诺不真实，则完全同意认定为我司提供虚假材料，并同意作相应处理。</w:t>
      </w:r>
    </w:p>
    <w:p w14:paraId="628662B6">
      <w:pPr>
        <w:numPr>
          <w:ilvl w:val="0"/>
          <w:numId w:val="14"/>
        </w:numPr>
        <w:snapToGrid w:val="0"/>
        <w:spacing w:line="360" w:lineRule="auto"/>
        <w:rPr>
          <w:rFonts w:ascii="宋体" w:hAnsi="宋体"/>
          <w:b/>
          <w:color w:val="auto"/>
          <w:szCs w:val="21"/>
        </w:rPr>
      </w:pPr>
      <w:r>
        <w:rPr>
          <w:rFonts w:ascii="宋体" w:hAnsi="宋体"/>
          <w:b/>
          <w:color w:val="auto"/>
          <w:szCs w:val="21"/>
        </w:rPr>
        <w:t>我们是依法注册的法人，在法律、财务及运作上完全独立于本项目采购人、用户单位（如有）和采购代理机构。</w:t>
      </w:r>
    </w:p>
    <w:p w14:paraId="7C8B0893">
      <w:pPr>
        <w:numPr>
          <w:ilvl w:val="0"/>
          <w:numId w:val="14"/>
        </w:numPr>
        <w:adjustRightInd w:val="0"/>
        <w:snapToGrid w:val="0"/>
        <w:spacing w:line="360" w:lineRule="auto"/>
        <w:rPr>
          <w:rFonts w:ascii="宋体" w:hAnsi="宋体"/>
          <w:b/>
          <w:color w:val="auto"/>
          <w:szCs w:val="21"/>
        </w:rPr>
      </w:pPr>
      <w:r>
        <w:rPr>
          <w:rFonts w:ascii="宋体" w:hAnsi="宋体"/>
          <w:b/>
          <w:color w:val="auto"/>
          <w:szCs w:val="21"/>
        </w:rPr>
        <w:t>所有有关本次磋商的函电请寄：</w:t>
      </w:r>
      <w:r>
        <w:rPr>
          <w:rFonts w:ascii="宋体" w:hAnsi="宋体"/>
          <w:b/>
          <w:color w:val="auto"/>
          <w:szCs w:val="21"/>
          <w:u w:val="single"/>
        </w:rPr>
        <w:t>（</w:t>
      </w:r>
      <w:r>
        <w:rPr>
          <w:rFonts w:hint="eastAsia" w:ascii="宋体" w:hAnsi="宋体"/>
          <w:b/>
          <w:color w:val="auto"/>
          <w:szCs w:val="21"/>
          <w:u w:val="single"/>
        </w:rPr>
        <w:t>响应供应商</w:t>
      </w:r>
      <w:r>
        <w:rPr>
          <w:rFonts w:ascii="宋体" w:hAnsi="宋体"/>
          <w:b/>
          <w:color w:val="auto"/>
          <w:szCs w:val="21"/>
          <w:u w:val="single"/>
        </w:rPr>
        <w:t>地址）</w:t>
      </w:r>
    </w:p>
    <w:p w14:paraId="72D96AD8">
      <w:pPr>
        <w:snapToGrid w:val="0"/>
        <w:spacing w:line="360" w:lineRule="auto"/>
        <w:ind w:left="420" w:firstLine="422" w:firstLineChars="200"/>
        <w:rPr>
          <w:rFonts w:ascii="宋体" w:hAnsi="宋体"/>
          <w:b/>
          <w:color w:val="auto"/>
          <w:szCs w:val="21"/>
          <w:u w:val="single"/>
        </w:rPr>
      </w:pPr>
      <w:r>
        <w:rPr>
          <w:rFonts w:ascii="宋体" w:hAnsi="宋体"/>
          <w:b/>
          <w:color w:val="auto"/>
          <w:szCs w:val="21"/>
          <w:u w:val="single"/>
        </w:rPr>
        <w:t>备注：本磋商函内容不得擅自删改。</w:t>
      </w:r>
    </w:p>
    <w:p w14:paraId="6A0B6615">
      <w:pPr>
        <w:snapToGrid w:val="0"/>
        <w:spacing w:line="276" w:lineRule="auto"/>
        <w:ind w:left="420" w:firstLine="310"/>
        <w:rPr>
          <w:rFonts w:ascii="宋体" w:hAnsi="宋体"/>
          <w:b/>
          <w:color w:val="auto"/>
          <w:szCs w:val="21"/>
          <w:u w:val="single"/>
        </w:rPr>
      </w:pPr>
    </w:p>
    <w:p w14:paraId="522B1996">
      <w:pPr>
        <w:snapToGrid w:val="0"/>
        <w:spacing w:line="360" w:lineRule="auto"/>
        <w:ind w:left="480"/>
        <w:rPr>
          <w:rFonts w:ascii="宋体" w:hAnsi="宋体"/>
          <w:color w:val="auto"/>
          <w:szCs w:val="21"/>
        </w:rPr>
      </w:pPr>
      <w:r>
        <w:rPr>
          <w:rFonts w:hint="eastAsia" w:ascii="宋体" w:hAnsi="宋体"/>
          <w:color w:val="auto"/>
          <w:szCs w:val="21"/>
        </w:rPr>
        <w:t>响应供应商</w:t>
      </w:r>
      <w:r>
        <w:rPr>
          <w:rFonts w:ascii="宋体" w:hAnsi="宋体"/>
          <w:color w:val="auto"/>
          <w:szCs w:val="21"/>
        </w:rPr>
        <w:t>名称（盖公章）:</w:t>
      </w:r>
    </w:p>
    <w:p w14:paraId="263AD9A1">
      <w:pPr>
        <w:snapToGrid w:val="0"/>
        <w:spacing w:line="360" w:lineRule="auto"/>
        <w:ind w:left="480"/>
        <w:rPr>
          <w:rFonts w:ascii="宋体" w:hAnsi="宋体"/>
          <w:color w:val="auto"/>
          <w:szCs w:val="21"/>
        </w:rPr>
      </w:pPr>
      <w:r>
        <w:rPr>
          <w:rFonts w:ascii="宋体" w:hAnsi="宋体"/>
          <w:color w:val="auto"/>
          <w:szCs w:val="21"/>
        </w:rPr>
        <w:t>法定代表人或授权代表（签名或盖章）：</w:t>
      </w:r>
    </w:p>
    <w:p w14:paraId="2552E83A">
      <w:pPr>
        <w:snapToGrid w:val="0"/>
        <w:spacing w:line="360" w:lineRule="auto"/>
        <w:ind w:left="480"/>
        <w:rPr>
          <w:rFonts w:ascii="宋体" w:hAnsi="宋体"/>
          <w:color w:val="auto"/>
          <w:szCs w:val="21"/>
        </w:rPr>
      </w:pP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 xml:space="preserve">日                 </w:t>
      </w:r>
    </w:p>
    <w:p w14:paraId="420C1AB6">
      <w:pPr>
        <w:pStyle w:val="3"/>
        <w:ind w:firstLine="0"/>
        <w:jc w:val="left"/>
        <w:rPr>
          <w:rFonts w:hAnsi="宋体"/>
          <w:bCs/>
          <w:color w:val="auto"/>
          <w:sz w:val="21"/>
          <w:szCs w:val="21"/>
        </w:rPr>
      </w:pPr>
      <w:bookmarkStart w:id="264" w:name="_Toc416770255"/>
      <w:bookmarkStart w:id="265" w:name="_Toc416771365"/>
      <w:bookmarkStart w:id="266" w:name="_Toc410738978"/>
      <w:bookmarkStart w:id="267" w:name="_Toc410736179"/>
      <w:bookmarkStart w:id="268" w:name="_Toc275865606"/>
      <w:r>
        <w:rPr>
          <w:rFonts w:hAnsi="宋体"/>
          <w:bCs/>
          <w:color w:val="auto"/>
          <w:sz w:val="21"/>
          <w:szCs w:val="21"/>
        </w:rPr>
        <w:br w:type="page"/>
      </w:r>
      <w:bookmarkEnd w:id="264"/>
      <w:bookmarkEnd w:id="265"/>
      <w:bookmarkEnd w:id="266"/>
      <w:bookmarkEnd w:id="267"/>
      <w:bookmarkEnd w:id="268"/>
      <w:bookmarkStart w:id="269" w:name="_Toc4898"/>
      <w:bookmarkStart w:id="270" w:name="_Toc1011"/>
      <w:r>
        <w:rPr>
          <w:rFonts w:hint="eastAsia" w:hAnsi="宋体"/>
          <w:bCs/>
          <w:color w:val="auto"/>
          <w:sz w:val="21"/>
          <w:szCs w:val="21"/>
        </w:rPr>
        <w:t>格式</w:t>
      </w:r>
      <w:r>
        <w:rPr>
          <w:rFonts w:hAnsi="宋体"/>
          <w:bCs/>
          <w:color w:val="auto"/>
          <w:sz w:val="21"/>
          <w:szCs w:val="21"/>
        </w:rPr>
        <w:t xml:space="preserve">2 </w:t>
      </w:r>
      <w:r>
        <w:rPr>
          <w:rFonts w:hint="eastAsia" w:hAnsi="宋体"/>
          <w:bCs/>
          <w:color w:val="auto"/>
          <w:sz w:val="21"/>
          <w:szCs w:val="21"/>
        </w:rPr>
        <w:t>响应供应商</w:t>
      </w:r>
      <w:r>
        <w:rPr>
          <w:rFonts w:hAnsi="宋体"/>
          <w:bCs/>
          <w:color w:val="auto"/>
          <w:sz w:val="21"/>
          <w:szCs w:val="21"/>
        </w:rPr>
        <w:t>资格声明函</w:t>
      </w:r>
      <w:bookmarkEnd w:id="269"/>
      <w:bookmarkEnd w:id="270"/>
    </w:p>
    <w:p w14:paraId="78EFECFD">
      <w:pPr>
        <w:rPr>
          <w:color w:val="auto"/>
          <w:szCs w:val="21"/>
        </w:rPr>
      </w:pPr>
    </w:p>
    <w:p w14:paraId="4DC35392">
      <w:pPr>
        <w:snapToGrid w:val="0"/>
        <w:spacing w:line="360" w:lineRule="auto"/>
        <w:rPr>
          <w:rFonts w:ascii="宋体" w:hAnsi="宋体"/>
          <w:b/>
          <w:color w:val="auto"/>
          <w:szCs w:val="21"/>
        </w:rPr>
      </w:pPr>
      <w:r>
        <w:rPr>
          <w:rFonts w:ascii="宋体" w:hAnsi="宋体"/>
          <w:b/>
          <w:color w:val="auto"/>
          <w:szCs w:val="21"/>
        </w:rPr>
        <w:t>广东为诚招标代理有限公司：</w:t>
      </w:r>
    </w:p>
    <w:p w14:paraId="48567051">
      <w:pPr>
        <w:rPr>
          <w:color w:val="auto"/>
          <w:szCs w:val="21"/>
        </w:rPr>
      </w:pPr>
    </w:p>
    <w:p w14:paraId="45CF4619">
      <w:pPr>
        <w:spacing w:line="360" w:lineRule="auto"/>
        <w:ind w:firstLine="420" w:firstLineChars="200"/>
        <w:rPr>
          <w:rFonts w:ascii="宋体" w:hAnsi="宋体"/>
          <w:color w:val="auto"/>
          <w:szCs w:val="21"/>
        </w:rPr>
      </w:pPr>
      <w:r>
        <w:rPr>
          <w:rFonts w:ascii="宋体" w:hAnsi="宋体"/>
          <w:color w:val="auto"/>
          <w:szCs w:val="21"/>
        </w:rPr>
        <w:t>关于贵公司</w:t>
      </w:r>
      <w:r>
        <w:rPr>
          <w:rFonts w:hint="eastAsia" w:ascii="宋体" w:hAnsi="宋体"/>
          <w:color w:val="auto"/>
          <w:szCs w:val="21"/>
          <w:u w:val="single"/>
        </w:rPr>
        <w:t>　　　　</w:t>
      </w:r>
      <w:r>
        <w:rPr>
          <w:rFonts w:hint="eastAsia" w:ascii="宋体" w:hAnsi="宋体"/>
          <w:color w:val="auto"/>
          <w:szCs w:val="21"/>
        </w:rPr>
        <w:t>年</w:t>
      </w:r>
      <w:r>
        <w:rPr>
          <w:rFonts w:hint="eastAsia" w:ascii="宋体" w:hAnsi="宋体"/>
          <w:color w:val="auto"/>
          <w:szCs w:val="21"/>
          <w:u w:val="single"/>
        </w:rPr>
        <w:t>　　</w:t>
      </w:r>
      <w:r>
        <w:rPr>
          <w:rFonts w:hint="eastAsia" w:ascii="宋体" w:hAnsi="宋体"/>
          <w:color w:val="auto"/>
          <w:szCs w:val="21"/>
        </w:rPr>
        <w:t>月</w:t>
      </w:r>
      <w:r>
        <w:rPr>
          <w:rFonts w:hint="eastAsia" w:ascii="宋体" w:hAnsi="宋体"/>
          <w:color w:val="auto"/>
          <w:szCs w:val="21"/>
          <w:u w:val="single"/>
        </w:rPr>
        <w:t>　　</w:t>
      </w:r>
      <w:r>
        <w:rPr>
          <w:rFonts w:ascii="宋体" w:hAnsi="宋体"/>
          <w:color w:val="auto"/>
          <w:szCs w:val="21"/>
        </w:rPr>
        <w:t>日发布</w:t>
      </w:r>
      <w:r>
        <w:rPr>
          <w:rFonts w:hint="eastAsia" w:ascii="宋体" w:hAnsi="宋体"/>
          <w:color w:val="auto"/>
          <w:szCs w:val="21"/>
          <w:u w:val="single"/>
          <w:lang w:eastAsia="zh-CN"/>
        </w:rPr>
        <w:t>2024年广州市南沙政务服务公众考核满意度调查项目</w:t>
      </w:r>
      <w:r>
        <w:rPr>
          <w:rFonts w:ascii="宋体" w:hAnsi="宋体"/>
          <w:color w:val="auto"/>
          <w:szCs w:val="21"/>
        </w:rPr>
        <w:t>（项目编号：</w:t>
      </w:r>
      <w:r>
        <w:rPr>
          <w:rFonts w:hint="eastAsia" w:ascii="宋体" w:hAnsi="宋体"/>
          <w:color w:val="auto"/>
          <w:szCs w:val="21"/>
          <w:u w:val="single"/>
          <w:lang w:eastAsia="zh-CN"/>
        </w:rPr>
        <w:t>GDWCFFC2312121</w:t>
      </w:r>
      <w:r>
        <w:rPr>
          <w:rFonts w:ascii="宋体" w:hAnsi="宋体"/>
          <w:color w:val="auto"/>
          <w:szCs w:val="21"/>
        </w:rPr>
        <w:t>）的磋商公告，本公司（企业）愿意参加磋商，并声明：</w:t>
      </w:r>
    </w:p>
    <w:p w14:paraId="76423BE0">
      <w:pPr>
        <w:rPr>
          <w:color w:val="auto"/>
          <w:szCs w:val="21"/>
        </w:rPr>
      </w:pPr>
    </w:p>
    <w:p w14:paraId="0126D459">
      <w:pPr>
        <w:snapToGrid w:val="0"/>
        <w:spacing w:line="360" w:lineRule="auto"/>
        <w:ind w:firstLine="424" w:firstLineChars="202"/>
        <w:rPr>
          <w:rFonts w:ascii="宋体" w:hAnsi="宋体"/>
          <w:bCs/>
          <w:color w:val="auto"/>
          <w:szCs w:val="21"/>
        </w:rPr>
      </w:pPr>
      <w:r>
        <w:rPr>
          <w:rFonts w:ascii="宋体" w:hAnsi="宋体"/>
          <w:color w:val="auto"/>
          <w:szCs w:val="21"/>
        </w:rPr>
        <w:t>本公司（企业）具备</w:t>
      </w:r>
      <w:r>
        <w:rPr>
          <w:rFonts w:hint="eastAsia" w:ascii="宋体" w:hAnsi="宋体"/>
          <w:bCs/>
          <w:color w:val="auto"/>
          <w:szCs w:val="21"/>
        </w:rPr>
        <w:t>以下要求</w:t>
      </w:r>
      <w:r>
        <w:rPr>
          <w:rFonts w:ascii="宋体" w:hAnsi="宋体"/>
          <w:bCs/>
          <w:color w:val="auto"/>
          <w:szCs w:val="21"/>
        </w:rPr>
        <w:t>：</w:t>
      </w:r>
    </w:p>
    <w:p w14:paraId="152C6687">
      <w:pPr>
        <w:snapToGrid w:val="0"/>
        <w:spacing w:line="360" w:lineRule="auto"/>
        <w:ind w:firstLine="424" w:firstLineChars="202"/>
        <w:rPr>
          <w:rFonts w:ascii="宋体" w:hAnsi="宋体"/>
          <w:bCs/>
          <w:color w:val="auto"/>
          <w:szCs w:val="21"/>
        </w:rPr>
      </w:pPr>
      <w:r>
        <w:rPr>
          <w:rFonts w:ascii="宋体" w:hAnsi="宋体"/>
          <w:bCs/>
          <w:color w:val="auto"/>
          <w:szCs w:val="21"/>
        </w:rPr>
        <w:t>（一）具有独立承担民事责任的能力；</w:t>
      </w:r>
    </w:p>
    <w:p w14:paraId="64E97B39">
      <w:pPr>
        <w:snapToGrid w:val="0"/>
        <w:spacing w:line="360" w:lineRule="auto"/>
        <w:ind w:firstLine="424" w:firstLineChars="202"/>
        <w:rPr>
          <w:rFonts w:ascii="宋体" w:hAnsi="宋体"/>
          <w:bCs/>
          <w:color w:val="auto"/>
          <w:szCs w:val="21"/>
        </w:rPr>
      </w:pPr>
      <w:r>
        <w:rPr>
          <w:rFonts w:ascii="宋体" w:hAnsi="宋体"/>
          <w:bCs/>
          <w:color w:val="auto"/>
          <w:szCs w:val="21"/>
        </w:rPr>
        <w:t>（二）具有良好的商业信誉和健全的财务会计制度；</w:t>
      </w:r>
      <w:r>
        <w:rPr>
          <w:rFonts w:hint="eastAsia" w:ascii="宋体" w:hAnsi="宋体"/>
          <w:bCs/>
          <w:color w:val="auto"/>
          <w:szCs w:val="21"/>
        </w:rPr>
        <w:t xml:space="preserve"> </w:t>
      </w:r>
    </w:p>
    <w:p w14:paraId="5DA14A1A">
      <w:pPr>
        <w:snapToGrid w:val="0"/>
        <w:spacing w:line="360" w:lineRule="auto"/>
        <w:ind w:firstLine="424" w:firstLineChars="202"/>
        <w:rPr>
          <w:rFonts w:ascii="宋体" w:hAnsi="宋体"/>
          <w:bCs/>
          <w:color w:val="auto"/>
          <w:szCs w:val="21"/>
        </w:rPr>
      </w:pPr>
      <w:r>
        <w:rPr>
          <w:rFonts w:ascii="宋体" w:hAnsi="宋体"/>
          <w:bCs/>
          <w:color w:val="auto"/>
          <w:szCs w:val="21"/>
        </w:rPr>
        <w:t>（三）具有履行合同所必需的设备和专业技术能力；</w:t>
      </w:r>
    </w:p>
    <w:p w14:paraId="6A1848BB">
      <w:pPr>
        <w:snapToGrid w:val="0"/>
        <w:spacing w:line="360" w:lineRule="auto"/>
        <w:ind w:firstLine="424" w:firstLineChars="202"/>
        <w:rPr>
          <w:rFonts w:ascii="宋体" w:hAnsi="宋体"/>
          <w:bCs/>
          <w:color w:val="auto"/>
          <w:szCs w:val="21"/>
        </w:rPr>
      </w:pPr>
      <w:r>
        <w:rPr>
          <w:rFonts w:ascii="宋体" w:hAnsi="宋体"/>
          <w:bCs/>
          <w:color w:val="auto"/>
          <w:szCs w:val="21"/>
        </w:rPr>
        <w:t>（四）有依法缴纳税收和社会保障资金的良好记录；</w:t>
      </w:r>
    </w:p>
    <w:p w14:paraId="2BDECFEE">
      <w:pPr>
        <w:snapToGrid w:val="0"/>
        <w:spacing w:line="360" w:lineRule="auto"/>
        <w:ind w:firstLine="424" w:firstLineChars="202"/>
        <w:rPr>
          <w:rFonts w:ascii="宋体" w:hAnsi="宋体"/>
          <w:bCs/>
          <w:color w:val="auto"/>
          <w:szCs w:val="21"/>
        </w:rPr>
      </w:pPr>
      <w:r>
        <w:rPr>
          <w:rFonts w:ascii="宋体" w:hAnsi="宋体"/>
          <w:bCs/>
          <w:color w:val="auto"/>
          <w:szCs w:val="21"/>
        </w:rPr>
        <w:t>（五）参加采购活动前三年内，在经营活动中没有重大违法记录；</w:t>
      </w:r>
    </w:p>
    <w:p w14:paraId="19A2B541">
      <w:pPr>
        <w:snapToGrid w:val="0"/>
        <w:spacing w:line="360" w:lineRule="auto"/>
        <w:ind w:firstLine="424" w:firstLineChars="202"/>
        <w:rPr>
          <w:rFonts w:ascii="宋体" w:hAnsi="宋体"/>
          <w:bCs/>
          <w:color w:val="auto"/>
          <w:szCs w:val="21"/>
        </w:rPr>
      </w:pPr>
      <w:r>
        <w:rPr>
          <w:rFonts w:hint="eastAsia" w:ascii="宋体" w:hAnsi="宋体"/>
          <w:bCs/>
          <w:color w:val="auto"/>
          <w:szCs w:val="21"/>
        </w:rPr>
        <w:t>（</w:t>
      </w:r>
      <w:r>
        <w:rPr>
          <w:rFonts w:ascii="宋体" w:hAnsi="宋体"/>
          <w:bCs/>
          <w:color w:val="auto"/>
          <w:szCs w:val="21"/>
        </w:rPr>
        <w:t>六）法律、行政法规规定的其他条件。</w:t>
      </w:r>
    </w:p>
    <w:p w14:paraId="1EF1068A">
      <w:pPr>
        <w:snapToGrid w:val="0"/>
        <w:spacing w:line="360" w:lineRule="auto"/>
        <w:ind w:firstLine="424" w:firstLineChars="202"/>
        <w:rPr>
          <w:rFonts w:ascii="宋体" w:hAnsi="宋体"/>
          <w:color w:val="auto"/>
          <w:szCs w:val="21"/>
          <w:lang w:eastAsia="zh-TW"/>
        </w:rPr>
      </w:pPr>
      <w:r>
        <w:rPr>
          <w:rFonts w:ascii="宋体" w:hAnsi="宋体"/>
          <w:color w:val="auto"/>
          <w:szCs w:val="21"/>
        </w:rPr>
        <w:t>我司清楚竞争性磋商文件的要求及有关文件规定。</w:t>
      </w:r>
      <w:r>
        <w:rPr>
          <w:rFonts w:hint="eastAsia" w:ascii="宋体" w:hAnsi="宋体" w:cs="宋体"/>
          <w:color w:val="auto"/>
          <w:szCs w:val="21"/>
          <w:lang w:val="en-US" w:eastAsia="zh-CN"/>
        </w:rPr>
        <w:t>未存在任一级人民政府财政部门作出“禁止参加政府采购活动”行政处罚决定且处罚期限未届满的情形。</w:t>
      </w:r>
      <w:r>
        <w:rPr>
          <w:rFonts w:hint="eastAsia" w:ascii="宋体" w:hAnsi="宋体"/>
          <w:color w:val="auto"/>
          <w:szCs w:val="21"/>
        </w:rPr>
        <w:t>本公</w:t>
      </w:r>
      <w:r>
        <w:rPr>
          <w:rFonts w:ascii="宋体" w:hAnsi="宋体"/>
          <w:color w:val="auto"/>
          <w:szCs w:val="21"/>
        </w:rPr>
        <w:t>司（企业）的法定代表人或单位负责人与本项目其他</w:t>
      </w:r>
      <w:r>
        <w:rPr>
          <w:rFonts w:hint="eastAsia" w:ascii="宋体" w:hAnsi="宋体"/>
          <w:color w:val="auto"/>
          <w:szCs w:val="21"/>
        </w:rPr>
        <w:t>响应供应商</w:t>
      </w:r>
      <w:r>
        <w:rPr>
          <w:rFonts w:ascii="宋体" w:hAnsi="宋体"/>
          <w:color w:val="auto"/>
          <w:szCs w:val="21"/>
        </w:rPr>
        <w:t>的法定代表人或单位负责人不为同一人且与其他</w:t>
      </w:r>
      <w:r>
        <w:rPr>
          <w:rFonts w:hint="eastAsia" w:ascii="宋体" w:hAnsi="宋体"/>
          <w:color w:val="auto"/>
          <w:szCs w:val="21"/>
        </w:rPr>
        <w:t>响应供应商</w:t>
      </w:r>
      <w:r>
        <w:rPr>
          <w:rFonts w:ascii="宋体" w:hAnsi="宋体"/>
          <w:color w:val="auto"/>
          <w:szCs w:val="21"/>
        </w:rPr>
        <w:t>之间不存在直接控股、管理关系。并承诺在本次招标采购活动中，如有违法、违规、弄虚作假行为，所造成的损失、不良后果及法律责任，一律由我公司（企业）承担。</w:t>
      </w:r>
    </w:p>
    <w:p w14:paraId="6D355817">
      <w:pPr>
        <w:snapToGrid w:val="0"/>
        <w:spacing w:line="360" w:lineRule="auto"/>
        <w:ind w:firstLine="424" w:firstLineChars="202"/>
        <w:rPr>
          <w:rFonts w:hint="eastAsia"/>
          <w:bCs/>
          <w:color w:val="auto"/>
          <w:szCs w:val="21"/>
        </w:rPr>
      </w:pPr>
      <w:r>
        <w:rPr>
          <w:rFonts w:hint="eastAsia"/>
          <w:bCs/>
          <w:color w:val="auto"/>
          <w:szCs w:val="21"/>
        </w:rPr>
        <w:t>本公司（企业）如为采购项目（包组）提供整体设计、规范编制或者项目管理、监理、检测等服务的供应商，不再参加该采购项目的其他采购活动。否则，由此所造成的损失、不良后果及法律责任，一律由我公司（企业）承担。</w:t>
      </w:r>
    </w:p>
    <w:p w14:paraId="5B3EBBD3">
      <w:pPr>
        <w:snapToGrid w:val="0"/>
        <w:spacing w:line="360" w:lineRule="auto"/>
        <w:ind w:firstLine="424" w:firstLineChars="202"/>
        <w:rPr>
          <w:rFonts w:hint="eastAsia"/>
          <w:bCs/>
          <w:color w:val="auto"/>
          <w:szCs w:val="21"/>
        </w:rPr>
      </w:pPr>
      <w:r>
        <w:rPr>
          <w:rFonts w:hint="eastAsia"/>
          <w:bCs/>
          <w:color w:val="auto"/>
          <w:szCs w:val="21"/>
        </w:rPr>
        <w:t>我司为非联合体投标。</w:t>
      </w:r>
    </w:p>
    <w:p w14:paraId="7EC4B73E">
      <w:pPr>
        <w:spacing w:line="360" w:lineRule="auto"/>
        <w:ind w:firstLine="420"/>
        <w:rPr>
          <w:color w:val="auto"/>
          <w:szCs w:val="21"/>
        </w:rPr>
      </w:pPr>
      <w:r>
        <w:rPr>
          <w:rFonts w:hint="eastAsia"/>
          <w:color w:val="auto"/>
          <w:szCs w:val="21"/>
        </w:rPr>
        <w:t>特此声明！</w:t>
      </w:r>
    </w:p>
    <w:p w14:paraId="30607391">
      <w:pPr>
        <w:snapToGrid w:val="0"/>
        <w:spacing w:line="360" w:lineRule="auto"/>
        <w:ind w:firstLine="420" w:firstLineChars="200"/>
        <w:rPr>
          <w:rFonts w:ascii="宋体" w:hAnsi="宋体"/>
          <w:color w:val="auto"/>
          <w:szCs w:val="21"/>
        </w:rPr>
      </w:pPr>
    </w:p>
    <w:p w14:paraId="241D69D3">
      <w:pPr>
        <w:rPr>
          <w:rFonts w:ascii="宋体" w:hAnsi="宋体"/>
          <w:b/>
          <w:color w:val="auto"/>
          <w:szCs w:val="21"/>
        </w:rPr>
      </w:pPr>
    </w:p>
    <w:p w14:paraId="6CA8F3D8">
      <w:pPr>
        <w:pStyle w:val="51"/>
        <w:rPr>
          <w:color w:val="auto"/>
        </w:rPr>
      </w:pPr>
    </w:p>
    <w:p w14:paraId="4883BEF6">
      <w:pPr>
        <w:pStyle w:val="51"/>
        <w:rPr>
          <w:color w:val="auto"/>
        </w:rPr>
      </w:pPr>
    </w:p>
    <w:p w14:paraId="04D20B5D">
      <w:pPr>
        <w:snapToGrid w:val="0"/>
        <w:spacing w:line="360" w:lineRule="auto"/>
        <w:ind w:left="480"/>
        <w:rPr>
          <w:rFonts w:ascii="宋体" w:hAnsi="宋体"/>
          <w:color w:val="auto"/>
          <w:szCs w:val="21"/>
        </w:rPr>
      </w:pPr>
      <w:r>
        <w:rPr>
          <w:rFonts w:hint="eastAsia" w:ascii="宋体" w:hAnsi="宋体"/>
          <w:color w:val="auto"/>
          <w:szCs w:val="21"/>
        </w:rPr>
        <w:t>响应供应商</w:t>
      </w:r>
      <w:r>
        <w:rPr>
          <w:rFonts w:ascii="宋体" w:hAnsi="宋体"/>
          <w:color w:val="auto"/>
          <w:szCs w:val="21"/>
        </w:rPr>
        <w:t>名称（盖公章）:</w:t>
      </w:r>
    </w:p>
    <w:p w14:paraId="1578966E">
      <w:pPr>
        <w:snapToGrid w:val="0"/>
        <w:spacing w:line="360" w:lineRule="auto"/>
        <w:ind w:left="480"/>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 xml:space="preserve">日    </w:t>
      </w:r>
    </w:p>
    <w:p w14:paraId="0B88A8AA">
      <w:pPr>
        <w:pStyle w:val="3"/>
        <w:ind w:firstLine="0"/>
        <w:jc w:val="left"/>
        <w:rPr>
          <w:rFonts w:hAnsi="宋体"/>
          <w:bCs/>
          <w:color w:val="auto"/>
          <w:sz w:val="21"/>
          <w:szCs w:val="21"/>
        </w:rPr>
      </w:pPr>
      <w:r>
        <w:rPr>
          <w:color w:val="auto"/>
          <w:sz w:val="21"/>
          <w:szCs w:val="21"/>
        </w:rPr>
        <w:br w:type="page"/>
      </w:r>
      <w:bookmarkStart w:id="271" w:name="_Toc16264"/>
      <w:bookmarkStart w:id="272" w:name="_Toc4350"/>
      <w:r>
        <w:rPr>
          <w:rFonts w:hint="eastAsia" w:hAnsi="宋体"/>
          <w:bCs/>
          <w:color w:val="auto"/>
          <w:sz w:val="21"/>
          <w:szCs w:val="21"/>
        </w:rPr>
        <w:t>格式</w:t>
      </w:r>
      <w:r>
        <w:rPr>
          <w:rFonts w:hAnsi="宋体"/>
          <w:bCs/>
          <w:color w:val="auto"/>
          <w:sz w:val="21"/>
          <w:szCs w:val="21"/>
        </w:rPr>
        <w:t>3 公平竞争承诺书</w:t>
      </w:r>
      <w:bookmarkEnd w:id="271"/>
      <w:bookmarkEnd w:id="272"/>
    </w:p>
    <w:p w14:paraId="30584B88">
      <w:pPr>
        <w:rPr>
          <w:color w:val="auto"/>
          <w:szCs w:val="21"/>
        </w:rPr>
      </w:pPr>
    </w:p>
    <w:p w14:paraId="5E06342C">
      <w:pPr>
        <w:spacing w:line="360" w:lineRule="auto"/>
        <w:ind w:firstLine="420" w:firstLineChars="200"/>
        <w:rPr>
          <w:color w:val="auto"/>
          <w:szCs w:val="21"/>
        </w:rPr>
      </w:pPr>
      <w:r>
        <w:rPr>
          <w:rFonts w:hint="eastAsia"/>
          <w:color w:val="auto"/>
          <w:szCs w:val="21"/>
        </w:rPr>
        <w:t>本公司郑重承诺：本公司保</w:t>
      </w:r>
      <w:r>
        <w:rPr>
          <w:rFonts w:ascii="宋体" w:hAnsi="宋体"/>
          <w:color w:val="auto"/>
          <w:szCs w:val="21"/>
        </w:rPr>
        <w:t>证所提交的相关资质文件和证明材料的真实性，有良好的历史诚信记录，并将依法参与</w:t>
      </w:r>
      <w:r>
        <w:rPr>
          <w:rFonts w:hint="eastAsia" w:ascii="宋体" w:hAnsi="宋体"/>
          <w:color w:val="auto"/>
          <w:szCs w:val="21"/>
          <w:u w:val="single"/>
          <w:lang w:eastAsia="zh-CN"/>
        </w:rPr>
        <w:t>2024年广州市南沙政务服务公众考核满意度调查项目</w:t>
      </w:r>
      <w:r>
        <w:rPr>
          <w:rFonts w:ascii="宋体" w:hAnsi="宋体"/>
          <w:color w:val="auto"/>
          <w:szCs w:val="21"/>
        </w:rPr>
        <w:t>（项目编号：</w:t>
      </w:r>
      <w:r>
        <w:rPr>
          <w:rFonts w:hint="eastAsia" w:ascii="宋体" w:hAnsi="宋体"/>
          <w:color w:val="auto"/>
          <w:szCs w:val="21"/>
          <w:u w:val="single"/>
          <w:lang w:eastAsia="zh-CN"/>
        </w:rPr>
        <w:t>GDWCFFC2312121</w:t>
      </w:r>
      <w:r>
        <w:rPr>
          <w:rFonts w:ascii="宋体" w:hAnsi="宋体"/>
          <w:color w:val="auto"/>
          <w:szCs w:val="21"/>
        </w:rPr>
        <w:t>）的公平竞争，</w:t>
      </w:r>
      <w:r>
        <w:rPr>
          <w:rFonts w:hint="eastAsia"/>
          <w:color w:val="auto"/>
          <w:szCs w:val="21"/>
        </w:rPr>
        <w:t>不以任何不正当行为谋取不当利益，否则承担相应的法律责任。</w:t>
      </w:r>
    </w:p>
    <w:p w14:paraId="6464E39E">
      <w:pPr>
        <w:spacing w:line="360" w:lineRule="auto"/>
        <w:rPr>
          <w:color w:val="auto"/>
          <w:szCs w:val="21"/>
        </w:rPr>
      </w:pPr>
    </w:p>
    <w:p w14:paraId="3BBF84C9">
      <w:pPr>
        <w:spacing w:line="360" w:lineRule="auto"/>
        <w:rPr>
          <w:color w:val="auto"/>
          <w:szCs w:val="21"/>
        </w:rPr>
      </w:pPr>
    </w:p>
    <w:p w14:paraId="6D125888">
      <w:pPr>
        <w:snapToGrid w:val="0"/>
        <w:spacing w:line="360" w:lineRule="auto"/>
        <w:ind w:left="480"/>
        <w:rPr>
          <w:rFonts w:ascii="宋体" w:hAnsi="宋体"/>
          <w:color w:val="auto"/>
          <w:szCs w:val="21"/>
        </w:rPr>
      </w:pPr>
      <w:r>
        <w:rPr>
          <w:rFonts w:hint="eastAsia" w:ascii="宋体" w:hAnsi="宋体"/>
          <w:color w:val="auto"/>
          <w:szCs w:val="21"/>
        </w:rPr>
        <w:t>响应供应商</w:t>
      </w:r>
      <w:r>
        <w:rPr>
          <w:rFonts w:ascii="宋体" w:hAnsi="宋体"/>
          <w:color w:val="auto"/>
          <w:szCs w:val="21"/>
        </w:rPr>
        <w:t>名称（盖公章）:</w:t>
      </w:r>
    </w:p>
    <w:p w14:paraId="5927FA8A">
      <w:pPr>
        <w:snapToGrid w:val="0"/>
        <w:spacing w:line="360" w:lineRule="auto"/>
        <w:ind w:left="480"/>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 xml:space="preserve">日        </w:t>
      </w:r>
    </w:p>
    <w:p w14:paraId="304BBA97">
      <w:pPr>
        <w:pStyle w:val="3"/>
        <w:ind w:firstLine="0"/>
        <w:jc w:val="left"/>
        <w:rPr>
          <w:rFonts w:hAnsi="宋体"/>
          <w:bCs/>
          <w:color w:val="auto"/>
          <w:sz w:val="21"/>
          <w:szCs w:val="21"/>
        </w:rPr>
      </w:pPr>
      <w:r>
        <w:rPr>
          <w:color w:val="auto"/>
          <w:sz w:val="21"/>
          <w:szCs w:val="21"/>
        </w:rPr>
        <w:br w:type="page"/>
      </w:r>
      <w:bookmarkStart w:id="273" w:name="_Toc19315"/>
      <w:bookmarkStart w:id="274" w:name="_Toc5514"/>
      <w:r>
        <w:rPr>
          <w:rFonts w:hint="eastAsia" w:hAnsi="宋体"/>
          <w:bCs/>
          <w:color w:val="auto"/>
          <w:sz w:val="21"/>
          <w:szCs w:val="21"/>
        </w:rPr>
        <w:t>格式</w:t>
      </w:r>
      <w:r>
        <w:rPr>
          <w:rFonts w:hAnsi="宋体"/>
          <w:bCs/>
          <w:color w:val="auto"/>
          <w:sz w:val="21"/>
          <w:szCs w:val="21"/>
        </w:rPr>
        <w:t>4 法定代表人证明书</w:t>
      </w:r>
      <w:bookmarkEnd w:id="273"/>
      <w:bookmarkEnd w:id="274"/>
    </w:p>
    <w:p w14:paraId="42A14CA7">
      <w:pPr>
        <w:tabs>
          <w:tab w:val="left" w:pos="900"/>
        </w:tabs>
        <w:spacing w:line="360" w:lineRule="auto"/>
        <w:ind w:firstLine="945" w:firstLineChars="450"/>
        <w:rPr>
          <w:rFonts w:ascii="宋体" w:hAnsi="宋体"/>
          <w:color w:val="auto"/>
          <w:szCs w:val="21"/>
        </w:rPr>
      </w:pPr>
      <w:r>
        <w:rPr>
          <w:rFonts w:ascii="宋体" w:hAnsi="宋体"/>
          <w:color w:val="auto"/>
          <w:szCs w:val="21"/>
        </w:rPr>
        <w:t>______________同志，现任我单位</w:t>
      </w:r>
      <w:r>
        <w:rPr>
          <w:rFonts w:ascii="宋体" w:hAnsi="宋体"/>
          <w:color w:val="auto"/>
          <w:szCs w:val="21"/>
          <w:u w:val="single"/>
        </w:rPr>
        <w:t xml:space="preserve">         </w:t>
      </w:r>
      <w:r>
        <w:rPr>
          <w:rFonts w:ascii="宋体" w:hAnsi="宋体"/>
          <w:color w:val="auto"/>
          <w:szCs w:val="21"/>
        </w:rPr>
        <w:t>职务，为法定代表人，特此证明。</w:t>
      </w:r>
    </w:p>
    <w:p w14:paraId="002A831E">
      <w:pPr>
        <w:spacing w:line="360" w:lineRule="auto"/>
        <w:ind w:firstLine="420" w:firstLineChars="200"/>
        <w:rPr>
          <w:rFonts w:ascii="宋体" w:hAnsi="宋体"/>
          <w:color w:val="auto"/>
          <w:szCs w:val="21"/>
        </w:rPr>
      </w:pPr>
      <w:r>
        <w:rPr>
          <w:rFonts w:hint="eastAsia" w:ascii="宋体"/>
          <w:color w:val="auto"/>
          <w:szCs w:val="21"/>
        </w:rPr>
        <w:t>本证明书自签发之日起生效</w:t>
      </w:r>
      <w:r>
        <w:rPr>
          <w:rFonts w:hint="eastAsia" w:ascii="宋体" w:hAnsi="宋体"/>
          <w:color w:val="auto"/>
          <w:szCs w:val="21"/>
        </w:rPr>
        <w:t>。</w:t>
      </w:r>
    </w:p>
    <w:p w14:paraId="0210B0A8">
      <w:pPr>
        <w:pStyle w:val="8"/>
        <w:spacing w:line="360" w:lineRule="auto"/>
        <w:ind w:firstLine="420" w:firstLineChars="200"/>
        <w:rPr>
          <w:rFonts w:ascii="宋体" w:hAnsi="宋体"/>
          <w:color w:val="auto"/>
          <w:szCs w:val="21"/>
          <w:lang w:val="en-US"/>
        </w:rPr>
      </w:pPr>
      <w:r>
        <w:rPr>
          <w:rFonts w:hint="eastAsia" w:ascii="宋体" w:hAnsi="宋体"/>
          <w:color w:val="auto"/>
          <w:szCs w:val="21"/>
        </w:rPr>
        <w:t>有效日期</w:t>
      </w:r>
      <w:r>
        <w:rPr>
          <w:rFonts w:hint="eastAsia" w:ascii="宋体" w:hAnsi="宋体"/>
          <w:color w:val="auto"/>
          <w:szCs w:val="21"/>
          <w:lang w:eastAsia="zh-CN"/>
        </w:rPr>
        <w:t>：</w:t>
      </w:r>
      <w:r>
        <w:rPr>
          <w:rFonts w:ascii="宋体" w:hAnsi="宋体"/>
          <w:color w:val="auto"/>
          <w:szCs w:val="21"/>
          <w:lang w:val="en-US"/>
        </w:rPr>
        <w:t>__</w:t>
      </w:r>
      <w:r>
        <w:rPr>
          <w:rFonts w:hint="eastAsia" w:ascii="宋体" w:hAnsi="宋体"/>
          <w:color w:val="auto"/>
          <w:szCs w:val="21"/>
        </w:rPr>
        <w:t>年</w:t>
      </w:r>
      <w:r>
        <w:rPr>
          <w:rFonts w:ascii="宋体" w:hAnsi="宋体"/>
          <w:color w:val="auto"/>
          <w:szCs w:val="21"/>
          <w:lang w:val="en-US"/>
        </w:rPr>
        <w:t>__</w:t>
      </w:r>
      <w:r>
        <w:rPr>
          <w:rFonts w:hint="eastAsia" w:ascii="宋体" w:hAnsi="宋体"/>
          <w:color w:val="auto"/>
          <w:szCs w:val="21"/>
        </w:rPr>
        <w:t>月</w:t>
      </w:r>
      <w:r>
        <w:rPr>
          <w:rFonts w:ascii="宋体" w:hAnsi="宋体"/>
          <w:color w:val="auto"/>
          <w:szCs w:val="21"/>
          <w:lang w:val="en-US"/>
        </w:rPr>
        <w:t>__</w:t>
      </w:r>
      <w:r>
        <w:rPr>
          <w:rFonts w:hint="eastAsia" w:ascii="宋体" w:hAnsi="宋体"/>
          <w:color w:val="auto"/>
          <w:szCs w:val="21"/>
        </w:rPr>
        <w:t>日至</w:t>
      </w:r>
      <w:r>
        <w:rPr>
          <w:rFonts w:ascii="宋体" w:hAnsi="宋体"/>
          <w:color w:val="auto"/>
          <w:szCs w:val="21"/>
          <w:lang w:val="en-US"/>
        </w:rPr>
        <w:t>__</w:t>
      </w:r>
      <w:r>
        <w:rPr>
          <w:rFonts w:hint="eastAsia" w:ascii="宋体" w:hAnsi="宋体"/>
          <w:color w:val="auto"/>
          <w:szCs w:val="21"/>
        </w:rPr>
        <w:t>年</w:t>
      </w:r>
      <w:r>
        <w:rPr>
          <w:rFonts w:ascii="宋体" w:hAnsi="宋体"/>
          <w:color w:val="auto"/>
          <w:szCs w:val="21"/>
          <w:lang w:val="en-US"/>
        </w:rPr>
        <w:t>__</w:t>
      </w:r>
      <w:r>
        <w:rPr>
          <w:rFonts w:hint="eastAsia" w:ascii="宋体" w:hAnsi="宋体"/>
          <w:color w:val="auto"/>
          <w:szCs w:val="21"/>
        </w:rPr>
        <w:t>月</w:t>
      </w:r>
      <w:r>
        <w:rPr>
          <w:rFonts w:ascii="宋体" w:hAnsi="宋体"/>
          <w:color w:val="auto"/>
          <w:szCs w:val="21"/>
          <w:lang w:val="en-US"/>
        </w:rPr>
        <w:t>__</w:t>
      </w:r>
      <w:r>
        <w:rPr>
          <w:rFonts w:hint="eastAsia" w:ascii="宋体" w:hAnsi="宋体"/>
          <w:color w:val="auto"/>
          <w:szCs w:val="21"/>
        </w:rPr>
        <w:t>日</w:t>
      </w:r>
      <w:r>
        <w:rPr>
          <w:rFonts w:hint="eastAsia" w:ascii="宋体" w:hAnsi="宋体"/>
          <w:color w:val="auto"/>
          <w:szCs w:val="21"/>
          <w:lang w:val="en-US"/>
        </w:rPr>
        <w:t xml:space="preserve"> </w:t>
      </w:r>
    </w:p>
    <w:p w14:paraId="5602DF49">
      <w:pPr>
        <w:pStyle w:val="8"/>
        <w:spacing w:line="360" w:lineRule="auto"/>
        <w:ind w:firstLine="420" w:firstLineChars="200"/>
        <w:rPr>
          <w:rFonts w:ascii="宋体" w:hAnsi="宋体"/>
          <w:color w:val="auto"/>
          <w:szCs w:val="21"/>
          <w:lang w:val="en-US"/>
        </w:rPr>
      </w:pPr>
      <w:r>
        <w:rPr>
          <w:rFonts w:ascii="宋体" w:hAnsi="宋体"/>
          <w:color w:val="auto"/>
          <w:szCs w:val="21"/>
        </w:rPr>
        <w:t>签发日期</w:t>
      </w:r>
      <w:r>
        <w:rPr>
          <w:rFonts w:hint="eastAsia" w:ascii="宋体" w:hAnsi="宋体"/>
          <w:color w:val="auto"/>
          <w:szCs w:val="21"/>
          <w:lang w:val="en-US"/>
        </w:rPr>
        <w:t>：</w:t>
      </w:r>
      <w:r>
        <w:rPr>
          <w:rFonts w:ascii="宋体" w:hAnsi="宋体"/>
          <w:color w:val="auto"/>
          <w:szCs w:val="21"/>
          <w:lang w:val="en-US"/>
        </w:rPr>
        <w:t>___</w:t>
      </w:r>
      <w:r>
        <w:rPr>
          <w:rFonts w:hint="eastAsia" w:ascii="宋体" w:hAnsi="宋体"/>
          <w:color w:val="auto"/>
          <w:szCs w:val="21"/>
        </w:rPr>
        <w:t>年</w:t>
      </w:r>
      <w:r>
        <w:rPr>
          <w:rFonts w:ascii="宋体" w:hAnsi="宋体"/>
          <w:color w:val="auto"/>
          <w:szCs w:val="21"/>
          <w:lang w:val="en-US"/>
        </w:rPr>
        <w:t>___</w:t>
      </w:r>
      <w:r>
        <w:rPr>
          <w:rFonts w:hint="eastAsia" w:ascii="宋体" w:hAnsi="宋体"/>
          <w:color w:val="auto"/>
          <w:szCs w:val="21"/>
        </w:rPr>
        <w:t>月</w:t>
      </w:r>
      <w:r>
        <w:rPr>
          <w:rFonts w:ascii="宋体" w:hAnsi="宋体"/>
          <w:color w:val="auto"/>
          <w:szCs w:val="21"/>
          <w:lang w:val="en-US"/>
        </w:rPr>
        <w:t>___</w:t>
      </w:r>
      <w:r>
        <w:rPr>
          <w:rFonts w:hint="eastAsia" w:ascii="宋体" w:hAnsi="宋体"/>
          <w:color w:val="auto"/>
          <w:szCs w:val="21"/>
        </w:rPr>
        <w:t>日</w:t>
      </w:r>
    </w:p>
    <w:p w14:paraId="5A4E3987">
      <w:pPr>
        <w:spacing w:line="360" w:lineRule="auto"/>
        <w:ind w:firstLine="422" w:firstLineChars="200"/>
        <w:rPr>
          <w:rFonts w:ascii="宋体" w:hAnsi="宋体"/>
          <w:b/>
          <w:color w:val="auto"/>
          <w:szCs w:val="21"/>
        </w:rPr>
      </w:pPr>
    </w:p>
    <w:p w14:paraId="0BAFD715">
      <w:pPr>
        <w:spacing w:line="360" w:lineRule="auto"/>
        <w:ind w:firstLine="420" w:firstLineChars="200"/>
        <w:rPr>
          <w:rFonts w:ascii="宋体" w:hAnsi="宋体"/>
          <w:color w:val="auto"/>
          <w:szCs w:val="21"/>
        </w:rPr>
      </w:pPr>
      <w:r>
        <w:rPr>
          <w:rFonts w:ascii="宋体" w:hAnsi="宋体"/>
          <w:color w:val="auto"/>
          <w:szCs w:val="21"/>
        </w:rPr>
        <w:t xml:space="preserve">       </w:t>
      </w:r>
    </w:p>
    <w:p w14:paraId="4F81DDD8">
      <w:pPr>
        <w:spacing w:line="360" w:lineRule="auto"/>
        <w:ind w:firstLine="420" w:firstLineChars="200"/>
        <w:rPr>
          <w:rFonts w:ascii="宋体" w:hAnsi="宋体"/>
          <w:color w:val="auto"/>
          <w:szCs w:val="21"/>
        </w:rPr>
      </w:pPr>
      <w:r>
        <w:rPr>
          <w:rFonts w:hint="eastAsia" w:ascii="宋体" w:hAnsi="宋体"/>
          <w:color w:val="auto"/>
          <w:szCs w:val="21"/>
        </w:rPr>
        <w:t>附：</w:t>
      </w:r>
    </w:p>
    <w:p w14:paraId="3165C006">
      <w:pPr>
        <w:spacing w:line="360" w:lineRule="auto"/>
        <w:ind w:firstLine="840" w:firstLineChars="400"/>
        <w:rPr>
          <w:rFonts w:ascii="宋体" w:hAnsi="宋体"/>
          <w:color w:val="auto"/>
          <w:szCs w:val="21"/>
        </w:rPr>
      </w:pPr>
      <w:r>
        <w:rPr>
          <w:rFonts w:ascii="宋体" w:hAnsi="宋体"/>
          <w:color w:val="auto"/>
          <w:szCs w:val="21"/>
        </w:rPr>
        <w:t>营业执照（注册号）：</w:t>
      </w:r>
      <w:r>
        <w:rPr>
          <w:rFonts w:hint="eastAsia" w:ascii="宋体" w:hAnsi="宋体"/>
          <w:color w:val="auto"/>
          <w:szCs w:val="21"/>
        </w:rPr>
        <w:t xml:space="preserve">                       </w:t>
      </w:r>
    </w:p>
    <w:p w14:paraId="0BC07119">
      <w:pPr>
        <w:spacing w:line="360" w:lineRule="auto"/>
        <w:ind w:firstLine="840" w:firstLineChars="400"/>
        <w:rPr>
          <w:rFonts w:ascii="宋体" w:hAnsi="宋体"/>
          <w:color w:val="auto"/>
          <w:szCs w:val="21"/>
        </w:rPr>
      </w:pPr>
      <w:r>
        <w:rPr>
          <w:rFonts w:ascii="宋体" w:hAnsi="宋体"/>
          <w:color w:val="auto"/>
          <w:szCs w:val="21"/>
        </w:rPr>
        <w:t>经济性质：</w:t>
      </w:r>
    </w:p>
    <w:p w14:paraId="4605A65D">
      <w:pPr>
        <w:spacing w:line="360" w:lineRule="auto"/>
        <w:ind w:firstLine="840" w:firstLineChars="400"/>
        <w:rPr>
          <w:rFonts w:ascii="宋体" w:hAnsi="宋体"/>
          <w:color w:val="auto"/>
          <w:szCs w:val="21"/>
        </w:rPr>
      </w:pPr>
      <w:r>
        <w:rPr>
          <w:rFonts w:ascii="宋体" w:hAnsi="宋体"/>
          <w:color w:val="auto"/>
          <w:szCs w:val="21"/>
        </w:rPr>
        <w:t>主营（产）：</w:t>
      </w:r>
    </w:p>
    <w:p w14:paraId="2E9AFC4A">
      <w:pPr>
        <w:spacing w:line="360" w:lineRule="auto"/>
        <w:ind w:firstLine="840" w:firstLineChars="400"/>
        <w:rPr>
          <w:rFonts w:ascii="宋体" w:hAnsi="宋体"/>
          <w:color w:val="auto"/>
          <w:szCs w:val="21"/>
        </w:rPr>
      </w:pPr>
      <w:r>
        <w:rPr>
          <w:rFonts w:ascii="宋体" w:hAnsi="宋体"/>
          <w:color w:val="auto"/>
          <w:szCs w:val="21"/>
        </w:rPr>
        <w:t>兼营（产）：</w:t>
      </w:r>
    </w:p>
    <w:p w14:paraId="78E8B324">
      <w:pPr>
        <w:spacing w:line="480" w:lineRule="auto"/>
        <w:ind w:firstLine="840" w:firstLineChars="400"/>
        <w:rPr>
          <w:rFonts w:ascii="宋体" w:hAnsi="宋体"/>
          <w:color w:val="auto"/>
          <w:szCs w:val="21"/>
        </w:rPr>
      </w:pPr>
    </w:p>
    <w:p w14:paraId="785E6951">
      <w:pPr>
        <w:spacing w:line="360" w:lineRule="auto"/>
        <w:rPr>
          <w:rFonts w:ascii="宋体"/>
          <w:color w:val="auto"/>
          <w:szCs w:val="21"/>
        </w:rPr>
      </w:pPr>
      <w:r>
        <w:rPr>
          <w:rFonts w:hint="eastAsia" w:ascii="宋体"/>
          <w:color w:val="auto"/>
          <w:szCs w:val="21"/>
        </w:rPr>
        <w:t>响应供应商名称（</w:t>
      </w:r>
      <w:r>
        <w:rPr>
          <w:rFonts w:ascii="宋体" w:hAnsi="宋体"/>
          <w:color w:val="auto"/>
          <w:szCs w:val="21"/>
        </w:rPr>
        <w:t>盖</w:t>
      </w:r>
      <w:r>
        <w:rPr>
          <w:rFonts w:hint="eastAsia" w:ascii="宋体"/>
          <w:color w:val="auto"/>
          <w:szCs w:val="21"/>
        </w:rPr>
        <w:t>公章）：</w:t>
      </w:r>
    </w:p>
    <w:p w14:paraId="25F7F922">
      <w:pPr>
        <w:spacing w:line="360" w:lineRule="auto"/>
        <w:rPr>
          <w:rFonts w:ascii="宋体"/>
          <w:color w:val="auto"/>
          <w:szCs w:val="21"/>
        </w:rPr>
      </w:pPr>
      <w:r>
        <w:rPr>
          <w:rFonts w:hint="eastAsia" w:ascii="宋体"/>
          <w:color w:val="auto"/>
          <w:szCs w:val="21"/>
        </w:rPr>
        <w:t>地</w:t>
      </w:r>
      <w:r>
        <w:rPr>
          <w:rFonts w:ascii="宋体"/>
          <w:color w:val="auto"/>
          <w:szCs w:val="21"/>
        </w:rPr>
        <w:t xml:space="preserve">      </w:t>
      </w:r>
      <w:r>
        <w:rPr>
          <w:rFonts w:hint="eastAsia" w:ascii="宋体"/>
          <w:color w:val="auto"/>
          <w:szCs w:val="21"/>
        </w:rPr>
        <w:t>址：</w:t>
      </w:r>
    </w:p>
    <w:p w14:paraId="76F22D2B">
      <w:pPr>
        <w:tabs>
          <w:tab w:val="left" w:pos="3780"/>
        </w:tabs>
        <w:spacing w:line="360" w:lineRule="auto"/>
        <w:rPr>
          <w:rFonts w:ascii="宋体"/>
          <w:color w:val="auto"/>
          <w:szCs w:val="21"/>
        </w:rPr>
      </w:pPr>
      <w:r>
        <w:rPr>
          <w:rFonts w:hint="eastAsia" w:ascii="宋体"/>
          <w:color w:val="auto"/>
          <w:szCs w:val="21"/>
        </w:rPr>
        <w:t>法定代表人（签字或盖章）：</w:t>
      </w:r>
      <w:r>
        <w:rPr>
          <w:rFonts w:ascii="宋体"/>
          <w:color w:val="auto"/>
          <w:szCs w:val="21"/>
        </w:rPr>
        <w:t xml:space="preserve">                         </w:t>
      </w:r>
      <w:r>
        <w:rPr>
          <w:rFonts w:hint="eastAsia" w:ascii="宋体"/>
          <w:color w:val="auto"/>
          <w:szCs w:val="21"/>
        </w:rPr>
        <w:t>签字日期：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14:paraId="10E0A929">
      <w:pPr>
        <w:spacing w:line="480" w:lineRule="auto"/>
        <w:ind w:firstLine="840" w:firstLineChars="400"/>
        <w:rPr>
          <w:rFonts w:ascii="宋体" w:hAnsi="宋体"/>
          <w:color w:val="auto"/>
          <w:szCs w:val="21"/>
        </w:rPr>
      </w:pPr>
      <w:r>
        <w:rPr>
          <w:color w:val="auto"/>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2" name="组合 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13" name="矩形 3"/>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148CA1">
                              <w:pPr>
                                <w:ind w:firstLine="840" w:firstLineChars="400"/>
                              </w:pPr>
                            </w:p>
                            <w:p w14:paraId="0362E71D">
                              <w:pPr>
                                <w:ind w:firstLine="1680" w:firstLineChars="800"/>
                                <w:rPr>
                                  <w:szCs w:val="21"/>
                                </w:rPr>
                              </w:pPr>
                              <w:r>
                                <w:rPr>
                                  <w:rFonts w:hint="eastAsia"/>
                                  <w:szCs w:val="21"/>
                                </w:rPr>
                                <w:t>法定代表人</w:t>
                              </w:r>
                            </w:p>
                            <w:p w14:paraId="63B391EF">
                              <w:pPr>
                                <w:ind w:firstLine="1050" w:firstLineChars="500"/>
                                <w:rPr>
                                  <w:szCs w:val="21"/>
                                </w:rPr>
                              </w:pPr>
                              <w:r>
                                <w:rPr>
                                  <w:rFonts w:hint="eastAsia"/>
                                  <w:szCs w:val="21"/>
                                </w:rPr>
                                <w:t>居民身份证复印件粘贴处</w:t>
                              </w:r>
                            </w:p>
                            <w:p w14:paraId="2AA0D183">
                              <w:pPr>
                                <w:ind w:firstLine="1050" w:firstLineChars="500"/>
                                <w:rPr>
                                  <w:szCs w:val="21"/>
                                </w:rPr>
                              </w:pPr>
                            </w:p>
                            <w:p w14:paraId="439136D7">
                              <w:pPr>
                                <w:ind w:firstLine="1785" w:firstLineChars="850"/>
                                <w:rPr>
                                  <w:szCs w:val="21"/>
                                </w:rPr>
                              </w:pPr>
                              <w:r>
                                <w:rPr>
                                  <w:rFonts w:hint="eastAsia"/>
                                  <w:szCs w:val="21"/>
                                </w:rPr>
                                <w:t>（正面）</w:t>
                              </w:r>
                            </w:p>
                            <w:p w14:paraId="4857CC9E">
                              <w:pPr>
                                <w:ind w:firstLine="1050" w:firstLineChars="500"/>
                              </w:pPr>
                            </w:p>
                          </w:txbxContent>
                        </wps:txbx>
                        <wps:bodyPr upright="1"/>
                      </wps:wsp>
                      <wps:wsp>
                        <wps:cNvPr id="24" name="矩形 4"/>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DA8230">
                              <w:pPr>
                                <w:ind w:firstLine="840" w:firstLineChars="400"/>
                              </w:pPr>
                            </w:p>
                            <w:p w14:paraId="4B791E01">
                              <w:pPr>
                                <w:ind w:firstLine="1680" w:firstLineChars="800"/>
                                <w:rPr>
                                  <w:szCs w:val="21"/>
                                </w:rPr>
                              </w:pPr>
                              <w:r>
                                <w:rPr>
                                  <w:rFonts w:hint="eastAsia"/>
                                  <w:szCs w:val="21"/>
                                </w:rPr>
                                <w:t>法定代表人</w:t>
                              </w:r>
                            </w:p>
                            <w:p w14:paraId="7E1B9E57">
                              <w:pPr>
                                <w:ind w:firstLine="1050" w:firstLineChars="500"/>
                                <w:rPr>
                                  <w:szCs w:val="21"/>
                                </w:rPr>
                              </w:pPr>
                              <w:r>
                                <w:rPr>
                                  <w:rFonts w:hint="eastAsia"/>
                                  <w:szCs w:val="21"/>
                                </w:rPr>
                                <w:t>居民身份证复印件粘贴处</w:t>
                              </w:r>
                            </w:p>
                            <w:p w14:paraId="655E21DB">
                              <w:pPr>
                                <w:ind w:firstLine="1050" w:firstLineChars="500"/>
                                <w:rPr>
                                  <w:szCs w:val="21"/>
                                </w:rPr>
                              </w:pPr>
                            </w:p>
                            <w:p w14:paraId="3E8F8B69">
                              <w:pPr>
                                <w:ind w:firstLine="1785" w:firstLineChars="850"/>
                                <w:rPr>
                                  <w:szCs w:val="21"/>
                                </w:rPr>
                              </w:pPr>
                              <w:r>
                                <w:rPr>
                                  <w:rFonts w:hint="eastAsia"/>
                                  <w:szCs w:val="21"/>
                                </w:rPr>
                                <w:t>（反面）</w:t>
                              </w:r>
                            </w:p>
                            <w:p w14:paraId="491664D6">
                              <w:pPr>
                                <w:ind w:firstLine="1050" w:firstLineChars="500"/>
                                <w:rPr>
                                  <w:szCs w:val="21"/>
                                </w:rPr>
                              </w:pPr>
                            </w:p>
                          </w:txbxContent>
                        </wps:txbx>
                        <wps:bodyPr upright="1"/>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CrLMDZAAAACQEAAA8AAAAAAAAAAQAgAAAAIgAAAGRycy9kb3ducmV2LnhtbFBLAQIUABQAAAAI&#10;AIdO4kCBzbwylwIAAKkHAAAOAAAAAAAAAAEAIAAAACgBAABkcnMvZTJvRG9jLnhtbFBLBQYAAAAA&#10;BgAGAFkBAAAxBgAAAAA=&#10;">
                <o:lock v:ext="edit" aspectratio="f"/>
                <v:rect id="矩形 3" o:spid="_x0000_s1026" o:spt="1" style="position:absolute;left:1500;top:7300;height:2754;width:4275;"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5148CA1">
                        <w:pPr>
                          <w:ind w:firstLine="840" w:firstLineChars="400"/>
                        </w:pPr>
                      </w:p>
                      <w:p w14:paraId="0362E71D">
                        <w:pPr>
                          <w:ind w:firstLine="1680" w:firstLineChars="800"/>
                          <w:rPr>
                            <w:szCs w:val="21"/>
                          </w:rPr>
                        </w:pPr>
                        <w:r>
                          <w:rPr>
                            <w:rFonts w:hint="eastAsia"/>
                            <w:szCs w:val="21"/>
                          </w:rPr>
                          <w:t>法定代表人</w:t>
                        </w:r>
                      </w:p>
                      <w:p w14:paraId="63B391EF">
                        <w:pPr>
                          <w:ind w:firstLine="1050" w:firstLineChars="500"/>
                          <w:rPr>
                            <w:szCs w:val="21"/>
                          </w:rPr>
                        </w:pPr>
                        <w:r>
                          <w:rPr>
                            <w:rFonts w:hint="eastAsia"/>
                            <w:szCs w:val="21"/>
                          </w:rPr>
                          <w:t>居民身份证复印件粘贴处</w:t>
                        </w:r>
                      </w:p>
                      <w:p w14:paraId="2AA0D183">
                        <w:pPr>
                          <w:ind w:firstLine="1050" w:firstLineChars="500"/>
                          <w:rPr>
                            <w:szCs w:val="21"/>
                          </w:rPr>
                        </w:pPr>
                      </w:p>
                      <w:p w14:paraId="439136D7">
                        <w:pPr>
                          <w:ind w:firstLine="1785" w:firstLineChars="850"/>
                          <w:rPr>
                            <w:szCs w:val="21"/>
                          </w:rPr>
                        </w:pPr>
                        <w:r>
                          <w:rPr>
                            <w:rFonts w:hint="eastAsia"/>
                            <w:szCs w:val="21"/>
                          </w:rPr>
                          <w:t>（正面）</w:t>
                        </w:r>
                      </w:p>
                      <w:p w14:paraId="4857CC9E">
                        <w:pPr>
                          <w:ind w:firstLine="1050" w:firstLineChars="500"/>
                        </w:pPr>
                      </w:p>
                    </w:txbxContent>
                  </v:textbox>
                </v:rect>
                <v:rect id="矩形 4" o:spid="_x0000_s1026" o:spt="1" style="position:absolute;left:5956;top:7300;height:2754;width:428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5DA8230">
                        <w:pPr>
                          <w:ind w:firstLine="840" w:firstLineChars="400"/>
                        </w:pPr>
                      </w:p>
                      <w:p w14:paraId="4B791E01">
                        <w:pPr>
                          <w:ind w:firstLine="1680" w:firstLineChars="800"/>
                          <w:rPr>
                            <w:szCs w:val="21"/>
                          </w:rPr>
                        </w:pPr>
                        <w:r>
                          <w:rPr>
                            <w:rFonts w:hint="eastAsia"/>
                            <w:szCs w:val="21"/>
                          </w:rPr>
                          <w:t>法定代表人</w:t>
                        </w:r>
                      </w:p>
                      <w:p w14:paraId="7E1B9E57">
                        <w:pPr>
                          <w:ind w:firstLine="1050" w:firstLineChars="500"/>
                          <w:rPr>
                            <w:szCs w:val="21"/>
                          </w:rPr>
                        </w:pPr>
                        <w:r>
                          <w:rPr>
                            <w:rFonts w:hint="eastAsia"/>
                            <w:szCs w:val="21"/>
                          </w:rPr>
                          <w:t>居民身份证复印件粘贴处</w:t>
                        </w:r>
                      </w:p>
                      <w:p w14:paraId="655E21DB">
                        <w:pPr>
                          <w:ind w:firstLine="1050" w:firstLineChars="500"/>
                          <w:rPr>
                            <w:szCs w:val="21"/>
                          </w:rPr>
                        </w:pPr>
                      </w:p>
                      <w:p w14:paraId="3E8F8B69">
                        <w:pPr>
                          <w:ind w:firstLine="1785" w:firstLineChars="850"/>
                          <w:rPr>
                            <w:szCs w:val="21"/>
                          </w:rPr>
                        </w:pPr>
                        <w:r>
                          <w:rPr>
                            <w:rFonts w:hint="eastAsia"/>
                            <w:szCs w:val="21"/>
                          </w:rPr>
                          <w:t>（反面）</w:t>
                        </w:r>
                      </w:p>
                      <w:p w14:paraId="491664D6">
                        <w:pPr>
                          <w:ind w:firstLine="1050" w:firstLineChars="500"/>
                          <w:rPr>
                            <w:szCs w:val="21"/>
                          </w:rPr>
                        </w:pPr>
                      </w:p>
                    </w:txbxContent>
                  </v:textbox>
                </v:rect>
              </v:group>
            </w:pict>
          </mc:Fallback>
        </mc:AlternateContent>
      </w:r>
    </w:p>
    <w:p w14:paraId="63285927">
      <w:pPr>
        <w:spacing w:line="500" w:lineRule="exact"/>
        <w:rPr>
          <w:rFonts w:ascii="宋体"/>
          <w:b/>
          <w:bCs/>
          <w:color w:val="auto"/>
          <w:szCs w:val="21"/>
        </w:rPr>
      </w:pPr>
    </w:p>
    <w:p w14:paraId="2560C73C">
      <w:pPr>
        <w:spacing w:line="500" w:lineRule="exact"/>
        <w:rPr>
          <w:rFonts w:ascii="宋体"/>
          <w:b/>
          <w:bCs/>
          <w:color w:val="auto"/>
          <w:szCs w:val="21"/>
        </w:rPr>
      </w:pPr>
    </w:p>
    <w:p w14:paraId="425AEACA">
      <w:pPr>
        <w:spacing w:line="500" w:lineRule="exact"/>
        <w:rPr>
          <w:rFonts w:ascii="宋体"/>
          <w:b/>
          <w:bCs/>
          <w:color w:val="auto"/>
          <w:szCs w:val="21"/>
        </w:rPr>
      </w:pPr>
    </w:p>
    <w:p w14:paraId="06E88BE4">
      <w:pPr>
        <w:spacing w:line="500" w:lineRule="exact"/>
        <w:rPr>
          <w:rFonts w:ascii="宋体"/>
          <w:b/>
          <w:bCs/>
          <w:color w:val="auto"/>
          <w:szCs w:val="21"/>
        </w:rPr>
      </w:pPr>
    </w:p>
    <w:p w14:paraId="1D9224E2">
      <w:pPr>
        <w:rPr>
          <w:color w:val="auto"/>
          <w:szCs w:val="21"/>
        </w:rPr>
      </w:pPr>
    </w:p>
    <w:p w14:paraId="69136780">
      <w:pPr>
        <w:widowControl/>
        <w:jc w:val="left"/>
        <w:rPr>
          <w:rFonts w:ascii="宋体" w:hAnsi="宋体"/>
          <w:b/>
          <w:bCs/>
          <w:color w:val="auto"/>
          <w:szCs w:val="21"/>
        </w:rPr>
      </w:pPr>
      <w:bookmarkStart w:id="275" w:name="_Toc410738980"/>
      <w:bookmarkStart w:id="276" w:name="_Toc416770259"/>
      <w:bookmarkStart w:id="277" w:name="_Toc50736477"/>
      <w:bookmarkStart w:id="278" w:name="_Toc410736181"/>
      <w:bookmarkStart w:id="279" w:name="_Toc416771369"/>
      <w:bookmarkStart w:id="280" w:name="_Toc50737329"/>
      <w:bookmarkStart w:id="281" w:name="_Toc50737297"/>
      <w:bookmarkStart w:id="282" w:name="_Toc275865607"/>
      <w:bookmarkStart w:id="283" w:name="_Toc52165081"/>
      <w:bookmarkStart w:id="284" w:name="_Toc50691034"/>
      <w:bookmarkStart w:id="285" w:name="_Toc50737296"/>
      <w:bookmarkStart w:id="286" w:name="_Toc50736476"/>
      <w:bookmarkStart w:id="287" w:name="_Toc52165080"/>
      <w:bookmarkStart w:id="288" w:name="_Toc50737328"/>
      <w:r>
        <w:rPr>
          <w:rFonts w:hAnsi="宋体"/>
          <w:bCs/>
          <w:color w:val="auto"/>
          <w:szCs w:val="21"/>
        </w:rPr>
        <w:br w:type="page"/>
      </w:r>
      <w:bookmarkEnd w:id="275"/>
      <w:bookmarkEnd w:id="276"/>
      <w:bookmarkEnd w:id="277"/>
      <w:bookmarkEnd w:id="278"/>
      <w:bookmarkEnd w:id="279"/>
      <w:bookmarkEnd w:id="280"/>
      <w:bookmarkEnd w:id="281"/>
      <w:bookmarkEnd w:id="282"/>
      <w:bookmarkEnd w:id="283"/>
    </w:p>
    <w:p w14:paraId="78E4E89D">
      <w:pPr>
        <w:pStyle w:val="3"/>
        <w:ind w:firstLine="0"/>
        <w:jc w:val="left"/>
        <w:rPr>
          <w:rFonts w:hAnsi="宋体"/>
          <w:bCs/>
          <w:color w:val="auto"/>
          <w:sz w:val="21"/>
          <w:szCs w:val="21"/>
        </w:rPr>
      </w:pPr>
      <w:bookmarkStart w:id="289" w:name="_Toc12258"/>
      <w:bookmarkStart w:id="290" w:name="_Toc1648"/>
      <w:r>
        <w:rPr>
          <w:rFonts w:hint="eastAsia" w:hAnsi="宋体"/>
          <w:bCs/>
          <w:color w:val="auto"/>
          <w:sz w:val="21"/>
          <w:szCs w:val="21"/>
        </w:rPr>
        <w:t>格式</w:t>
      </w:r>
      <w:r>
        <w:rPr>
          <w:rFonts w:hAnsi="宋体"/>
          <w:bCs/>
          <w:color w:val="auto"/>
          <w:sz w:val="21"/>
          <w:szCs w:val="21"/>
        </w:rPr>
        <w:t>5 法定代表人授权委托书</w:t>
      </w:r>
      <w:bookmarkEnd w:id="289"/>
      <w:bookmarkEnd w:id="290"/>
    </w:p>
    <w:p w14:paraId="5E1A0345">
      <w:pPr>
        <w:pStyle w:val="12"/>
        <w:adjustRightInd w:val="0"/>
        <w:snapToGrid w:val="0"/>
        <w:ind w:firstLine="420" w:firstLineChars="200"/>
        <w:rPr>
          <w:color w:val="auto"/>
          <w:sz w:val="21"/>
          <w:lang w:val="en-US"/>
        </w:rPr>
      </w:pPr>
    </w:p>
    <w:p w14:paraId="3A84002E">
      <w:pPr>
        <w:pStyle w:val="12"/>
        <w:adjustRightInd w:val="0"/>
        <w:snapToGrid w:val="0"/>
        <w:ind w:firstLine="420" w:firstLineChars="200"/>
        <w:rPr>
          <w:color w:val="auto"/>
          <w:sz w:val="21"/>
          <w:lang w:val="en-US"/>
        </w:rPr>
      </w:pPr>
      <w:r>
        <w:rPr>
          <w:rFonts w:hint="eastAsia"/>
          <w:color w:val="auto"/>
          <w:sz w:val="21"/>
        </w:rPr>
        <w:t>本授权委托书声明</w:t>
      </w:r>
      <w:r>
        <w:rPr>
          <w:rFonts w:hint="eastAsia"/>
          <w:color w:val="auto"/>
          <w:sz w:val="21"/>
          <w:lang w:val="en-US"/>
        </w:rPr>
        <w:t>：</w:t>
      </w:r>
      <w:r>
        <w:rPr>
          <w:rFonts w:hint="eastAsia"/>
          <w:color w:val="auto"/>
          <w:sz w:val="21"/>
        </w:rPr>
        <w:t>注册于</w:t>
      </w:r>
      <w:r>
        <w:rPr>
          <w:rFonts w:hint="eastAsia"/>
          <w:color w:val="auto"/>
          <w:sz w:val="21"/>
          <w:u w:val="single"/>
          <w:lang w:val="en-US"/>
        </w:rPr>
        <w:t>（</w:t>
      </w:r>
      <w:r>
        <w:rPr>
          <w:rFonts w:hint="eastAsia"/>
          <w:color w:val="auto"/>
          <w:sz w:val="21"/>
          <w:u w:val="single"/>
        </w:rPr>
        <w:t>响应供应商地址</w:t>
      </w:r>
      <w:r>
        <w:rPr>
          <w:rFonts w:hint="eastAsia"/>
          <w:color w:val="auto"/>
          <w:sz w:val="21"/>
          <w:u w:val="single"/>
          <w:lang w:val="en-US"/>
        </w:rPr>
        <w:t>）</w:t>
      </w:r>
      <w:r>
        <w:rPr>
          <w:rFonts w:hint="eastAsia"/>
          <w:color w:val="auto"/>
          <w:sz w:val="21"/>
        </w:rPr>
        <w:t>的</w:t>
      </w:r>
      <w:r>
        <w:rPr>
          <w:rFonts w:hint="eastAsia"/>
          <w:color w:val="auto"/>
          <w:sz w:val="21"/>
          <w:u w:val="single"/>
          <w:lang w:val="en-US"/>
        </w:rPr>
        <w:t>（</w:t>
      </w:r>
      <w:r>
        <w:rPr>
          <w:rFonts w:hint="eastAsia"/>
          <w:color w:val="auto"/>
          <w:sz w:val="21"/>
          <w:u w:val="single"/>
        </w:rPr>
        <w:t>响应供应商名称</w:t>
      </w:r>
      <w:r>
        <w:rPr>
          <w:rFonts w:hint="eastAsia"/>
          <w:color w:val="auto"/>
          <w:sz w:val="21"/>
          <w:u w:val="single"/>
          <w:lang w:val="en-US"/>
        </w:rPr>
        <w:t>）</w:t>
      </w:r>
      <w:r>
        <w:rPr>
          <w:rFonts w:hint="eastAsia"/>
          <w:color w:val="auto"/>
          <w:sz w:val="21"/>
        </w:rPr>
        <w:t>在下面签名的</w:t>
      </w:r>
      <w:r>
        <w:rPr>
          <w:rFonts w:hint="eastAsia"/>
          <w:color w:val="auto"/>
          <w:sz w:val="21"/>
          <w:u w:val="single"/>
          <w:lang w:val="en-US"/>
        </w:rPr>
        <w:t>（</w:t>
      </w:r>
      <w:r>
        <w:rPr>
          <w:rFonts w:hint="eastAsia"/>
          <w:color w:val="auto"/>
          <w:sz w:val="21"/>
          <w:u w:val="single"/>
        </w:rPr>
        <w:t>法定代表人姓名、职务</w:t>
      </w:r>
      <w:r>
        <w:rPr>
          <w:rFonts w:hint="eastAsia"/>
          <w:color w:val="auto"/>
          <w:sz w:val="21"/>
          <w:u w:val="single"/>
          <w:lang w:val="en-US"/>
        </w:rPr>
        <w:t>）</w:t>
      </w:r>
      <w:r>
        <w:rPr>
          <w:rFonts w:hint="eastAsia"/>
          <w:color w:val="auto"/>
          <w:sz w:val="21"/>
        </w:rPr>
        <w:t>在此授权</w:t>
      </w:r>
      <w:r>
        <w:rPr>
          <w:rFonts w:hint="eastAsia"/>
          <w:color w:val="auto"/>
          <w:sz w:val="21"/>
          <w:u w:val="single"/>
          <w:lang w:val="en-US"/>
        </w:rPr>
        <w:t>（</w:t>
      </w:r>
      <w:r>
        <w:rPr>
          <w:rFonts w:hint="eastAsia"/>
          <w:color w:val="auto"/>
          <w:sz w:val="21"/>
          <w:u w:val="single"/>
        </w:rPr>
        <w:t>被授权人姓名、职务</w:t>
      </w:r>
      <w:r>
        <w:rPr>
          <w:rFonts w:hint="eastAsia"/>
          <w:color w:val="auto"/>
          <w:sz w:val="21"/>
          <w:u w:val="single"/>
          <w:lang w:val="en-US"/>
        </w:rPr>
        <w:t>）</w:t>
      </w:r>
      <w:r>
        <w:rPr>
          <w:rFonts w:hint="eastAsia"/>
          <w:color w:val="auto"/>
          <w:sz w:val="21"/>
        </w:rPr>
        <w:t>作为我公司的合法代理人</w:t>
      </w:r>
      <w:r>
        <w:rPr>
          <w:rFonts w:hint="eastAsia"/>
          <w:color w:val="auto"/>
          <w:sz w:val="21"/>
          <w:lang w:val="en-US"/>
        </w:rPr>
        <w:t>，</w:t>
      </w:r>
      <w:r>
        <w:rPr>
          <w:rFonts w:hint="eastAsia"/>
          <w:color w:val="auto"/>
          <w:sz w:val="21"/>
        </w:rPr>
        <w:t>就</w:t>
      </w:r>
      <w:r>
        <w:rPr>
          <w:rFonts w:hint="eastAsia"/>
          <w:color w:val="auto"/>
          <w:sz w:val="21"/>
          <w:u w:val="single"/>
          <w:lang w:eastAsia="zh-CN"/>
        </w:rPr>
        <w:t>2024年广州市南沙政务服务公众考核满意度调查项目</w:t>
      </w:r>
      <w:r>
        <w:rPr>
          <w:rFonts w:hint="eastAsia"/>
          <w:color w:val="auto"/>
          <w:sz w:val="21"/>
          <w:lang w:val="en-US"/>
        </w:rPr>
        <w:t>（</w:t>
      </w:r>
      <w:r>
        <w:rPr>
          <w:rFonts w:hint="eastAsia"/>
          <w:color w:val="auto"/>
          <w:sz w:val="21"/>
        </w:rPr>
        <w:t>项目编号</w:t>
      </w:r>
      <w:r>
        <w:rPr>
          <w:rFonts w:hint="eastAsia"/>
          <w:color w:val="auto"/>
          <w:sz w:val="21"/>
          <w:lang w:val="en-US"/>
        </w:rPr>
        <w:t>：</w:t>
      </w:r>
      <w:r>
        <w:rPr>
          <w:rFonts w:hint="eastAsia"/>
          <w:color w:val="auto"/>
          <w:sz w:val="21"/>
          <w:u w:val="single"/>
          <w:lang w:val="en-US" w:eastAsia="zh-CN"/>
        </w:rPr>
        <w:t>GDWCFFC2312121</w:t>
      </w:r>
      <w:r>
        <w:rPr>
          <w:rFonts w:hint="eastAsia"/>
          <w:color w:val="auto"/>
          <w:sz w:val="21"/>
          <w:lang w:val="en-US"/>
        </w:rPr>
        <w:t>）</w:t>
      </w:r>
      <w:r>
        <w:rPr>
          <w:rFonts w:hint="eastAsia"/>
          <w:color w:val="auto"/>
          <w:sz w:val="21"/>
        </w:rPr>
        <w:t>的磋商活动</w:t>
      </w:r>
      <w:r>
        <w:rPr>
          <w:rFonts w:hint="eastAsia"/>
          <w:color w:val="auto"/>
          <w:sz w:val="21"/>
          <w:lang w:val="en-US"/>
        </w:rPr>
        <w:t>，</w:t>
      </w:r>
      <w:r>
        <w:rPr>
          <w:rFonts w:hint="eastAsia"/>
          <w:color w:val="auto"/>
          <w:sz w:val="21"/>
        </w:rPr>
        <w:t>提交响应文件及采购合同的签订、执行、完成和售后服务</w:t>
      </w:r>
      <w:r>
        <w:rPr>
          <w:rFonts w:hint="eastAsia"/>
          <w:color w:val="auto"/>
          <w:sz w:val="21"/>
          <w:lang w:val="en-US"/>
        </w:rPr>
        <w:t>，</w:t>
      </w:r>
      <w:r>
        <w:rPr>
          <w:rFonts w:hint="eastAsia"/>
          <w:color w:val="auto"/>
          <w:sz w:val="21"/>
        </w:rPr>
        <w:t>作为响应供应商代表以我方的名义处理一切与之有关的事务。</w:t>
      </w:r>
    </w:p>
    <w:p w14:paraId="1229EEAF">
      <w:pPr>
        <w:pStyle w:val="12"/>
        <w:adjustRightInd w:val="0"/>
        <w:snapToGrid w:val="0"/>
        <w:ind w:firstLine="420" w:firstLineChars="200"/>
        <w:rPr>
          <w:color w:val="auto"/>
          <w:sz w:val="21"/>
          <w:lang w:val="en-US"/>
        </w:rPr>
      </w:pPr>
      <w:r>
        <w:rPr>
          <w:rFonts w:hint="eastAsia"/>
          <w:color w:val="auto"/>
          <w:sz w:val="21"/>
        </w:rPr>
        <w:t>被授权人</w:t>
      </w:r>
      <w:r>
        <w:rPr>
          <w:rFonts w:hint="eastAsia"/>
          <w:color w:val="auto"/>
          <w:sz w:val="21"/>
          <w:lang w:val="en-US"/>
        </w:rPr>
        <w:t>（</w:t>
      </w:r>
      <w:r>
        <w:rPr>
          <w:rFonts w:hint="eastAsia"/>
          <w:color w:val="auto"/>
          <w:sz w:val="21"/>
        </w:rPr>
        <w:t>授权代表</w:t>
      </w:r>
      <w:r>
        <w:rPr>
          <w:rFonts w:hint="eastAsia"/>
          <w:color w:val="auto"/>
          <w:sz w:val="21"/>
          <w:lang w:val="en-US"/>
        </w:rPr>
        <w:t>）</w:t>
      </w:r>
      <w:r>
        <w:rPr>
          <w:rFonts w:hint="eastAsia"/>
          <w:color w:val="auto"/>
          <w:sz w:val="21"/>
        </w:rPr>
        <w:t>无转委托权限。</w:t>
      </w:r>
    </w:p>
    <w:p w14:paraId="0DD8FD7D">
      <w:pPr>
        <w:snapToGrid w:val="0"/>
        <w:spacing w:line="360" w:lineRule="auto"/>
        <w:ind w:firstLine="420" w:firstLineChars="200"/>
        <w:rPr>
          <w:rFonts w:ascii="宋体"/>
          <w:color w:val="auto"/>
          <w:szCs w:val="21"/>
        </w:rPr>
      </w:pPr>
      <w:r>
        <w:rPr>
          <w:rFonts w:hint="eastAsia" w:ascii="宋体"/>
          <w:color w:val="auto"/>
          <w:szCs w:val="21"/>
        </w:rPr>
        <w:t>本授权书自法定代表人签字之日起生效，特此声明。</w:t>
      </w:r>
    </w:p>
    <w:p w14:paraId="1D534FAE">
      <w:pPr>
        <w:rPr>
          <w:color w:val="auto"/>
          <w:szCs w:val="21"/>
        </w:rPr>
      </w:pPr>
    </w:p>
    <w:p w14:paraId="73246BFB">
      <w:pPr>
        <w:spacing w:line="360" w:lineRule="auto"/>
        <w:rPr>
          <w:rFonts w:ascii="宋体"/>
          <w:b/>
          <w:color w:val="auto"/>
          <w:szCs w:val="21"/>
        </w:rPr>
      </w:pPr>
      <w:r>
        <w:rPr>
          <w:rFonts w:hint="eastAsia" w:ascii="宋体"/>
          <w:b/>
          <w:color w:val="auto"/>
          <w:szCs w:val="21"/>
        </w:rPr>
        <w:t>随附《法定代表人证明》</w:t>
      </w:r>
    </w:p>
    <w:p w14:paraId="74886459">
      <w:pPr>
        <w:spacing w:line="360" w:lineRule="auto"/>
        <w:rPr>
          <w:rFonts w:ascii="宋体"/>
          <w:color w:val="auto"/>
          <w:szCs w:val="21"/>
        </w:rPr>
      </w:pPr>
    </w:p>
    <w:p w14:paraId="20AB15C4">
      <w:pPr>
        <w:spacing w:line="360" w:lineRule="auto"/>
        <w:rPr>
          <w:rFonts w:ascii="宋体"/>
          <w:color w:val="auto"/>
          <w:szCs w:val="21"/>
        </w:rPr>
      </w:pPr>
      <w:r>
        <w:rPr>
          <w:rFonts w:hint="eastAsia" w:ascii="宋体"/>
          <w:color w:val="auto"/>
          <w:szCs w:val="21"/>
        </w:rPr>
        <w:t>响应供应商名称（</w:t>
      </w:r>
      <w:r>
        <w:rPr>
          <w:rFonts w:ascii="宋体" w:hAnsi="宋体"/>
          <w:color w:val="auto"/>
          <w:szCs w:val="21"/>
        </w:rPr>
        <w:t>盖</w:t>
      </w:r>
      <w:r>
        <w:rPr>
          <w:rFonts w:hint="eastAsia" w:ascii="宋体"/>
          <w:color w:val="auto"/>
          <w:szCs w:val="21"/>
        </w:rPr>
        <w:t>公章）：</w:t>
      </w:r>
    </w:p>
    <w:p w14:paraId="0819030C">
      <w:pPr>
        <w:spacing w:line="360" w:lineRule="auto"/>
        <w:rPr>
          <w:rFonts w:ascii="宋体"/>
          <w:color w:val="auto"/>
          <w:szCs w:val="21"/>
        </w:rPr>
      </w:pPr>
      <w:r>
        <w:rPr>
          <w:rFonts w:hint="eastAsia" w:ascii="宋体"/>
          <w:color w:val="auto"/>
          <w:szCs w:val="21"/>
        </w:rPr>
        <w:t>地</w:t>
      </w:r>
      <w:r>
        <w:rPr>
          <w:rFonts w:ascii="宋体"/>
          <w:color w:val="auto"/>
          <w:szCs w:val="21"/>
        </w:rPr>
        <w:t xml:space="preserve">      </w:t>
      </w:r>
      <w:r>
        <w:rPr>
          <w:rFonts w:hint="eastAsia" w:ascii="宋体"/>
          <w:color w:val="auto"/>
          <w:szCs w:val="21"/>
        </w:rPr>
        <w:t>址：</w:t>
      </w:r>
    </w:p>
    <w:p w14:paraId="6FFA6CB0">
      <w:pPr>
        <w:tabs>
          <w:tab w:val="left" w:pos="3780"/>
        </w:tabs>
        <w:spacing w:line="360" w:lineRule="auto"/>
        <w:rPr>
          <w:rFonts w:ascii="宋体"/>
          <w:color w:val="auto"/>
          <w:szCs w:val="21"/>
        </w:rPr>
      </w:pPr>
      <w:r>
        <w:rPr>
          <w:rFonts w:hint="eastAsia" w:ascii="宋体"/>
          <w:color w:val="auto"/>
          <w:szCs w:val="21"/>
        </w:rPr>
        <w:t>法定代表人（签字或盖章）：</w:t>
      </w:r>
      <w:r>
        <w:rPr>
          <w:rFonts w:ascii="宋体"/>
          <w:color w:val="auto"/>
          <w:szCs w:val="21"/>
        </w:rPr>
        <w:t xml:space="preserve">                         </w:t>
      </w:r>
      <w:r>
        <w:rPr>
          <w:rFonts w:hint="eastAsia" w:ascii="宋体"/>
          <w:color w:val="auto"/>
          <w:szCs w:val="21"/>
        </w:rPr>
        <w:t>签字日期：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14:paraId="05CB5AE3">
      <w:pPr>
        <w:spacing w:line="360" w:lineRule="auto"/>
        <w:ind w:left="1159" w:leftChars="552" w:firstLine="2261"/>
        <w:rPr>
          <w:rFonts w:ascii="宋体"/>
          <w:color w:val="auto"/>
          <w:szCs w:val="21"/>
        </w:rPr>
      </w:pPr>
    </w:p>
    <w:p w14:paraId="5860F09F">
      <w:pPr>
        <w:spacing w:line="360" w:lineRule="auto"/>
        <w:rPr>
          <w:rFonts w:ascii="宋体"/>
          <w:color w:val="auto"/>
          <w:szCs w:val="21"/>
        </w:rPr>
      </w:pPr>
      <w:r>
        <w:rPr>
          <w:rFonts w:hint="eastAsia"/>
          <w:color w:val="auto"/>
          <w:szCs w:val="21"/>
        </w:rPr>
        <w:t>被授权人（授权代表）</w:t>
      </w:r>
      <w:r>
        <w:rPr>
          <w:rFonts w:hint="eastAsia" w:ascii="宋体"/>
          <w:color w:val="auto"/>
          <w:szCs w:val="21"/>
        </w:rPr>
        <w:t xml:space="preserve">（签字或盖章）： </w:t>
      </w:r>
    </w:p>
    <w:p w14:paraId="1C1B4EF2">
      <w:pPr>
        <w:spacing w:line="360" w:lineRule="auto"/>
        <w:rPr>
          <w:rFonts w:ascii="宋体"/>
          <w:color w:val="auto"/>
          <w:szCs w:val="21"/>
        </w:rPr>
      </w:pPr>
      <w:r>
        <w:rPr>
          <w:color w:val="auto"/>
        </w:rPr>
        <mc:AlternateContent>
          <mc:Choice Requires="wpg">
            <w:drawing>
              <wp:anchor distT="0" distB="0" distL="114300" distR="114300" simplePos="0" relativeHeight="251662336"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3" name="组合 5"/>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4" name="矩形 6"/>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A34856">
                              <w:pPr>
                                <w:ind w:left="-9" w:leftChars="-71" w:hanging="140" w:hangingChars="67"/>
                                <w:jc w:val="center"/>
                                <w:rPr>
                                  <w:szCs w:val="21"/>
                                </w:rPr>
                              </w:pPr>
                              <w:r>
                                <w:rPr>
                                  <w:rFonts w:hint="eastAsia"/>
                                  <w:szCs w:val="21"/>
                                </w:rPr>
                                <w:t>被授权人（授权代表）</w:t>
                              </w:r>
                            </w:p>
                            <w:p w14:paraId="6F50BA4D">
                              <w:pPr>
                                <w:jc w:val="center"/>
                                <w:rPr>
                                  <w:szCs w:val="21"/>
                                </w:rPr>
                              </w:pPr>
                              <w:r>
                                <w:rPr>
                                  <w:rFonts w:hint="eastAsia"/>
                                  <w:szCs w:val="21"/>
                                </w:rPr>
                                <w:t>居民身份证复印件粘贴处</w:t>
                              </w:r>
                            </w:p>
                            <w:p w14:paraId="17419705">
                              <w:pPr>
                                <w:ind w:firstLine="1050" w:firstLineChars="500"/>
                                <w:jc w:val="center"/>
                                <w:rPr>
                                  <w:szCs w:val="21"/>
                                </w:rPr>
                              </w:pPr>
                            </w:p>
                            <w:p w14:paraId="4F66D48B">
                              <w:pPr>
                                <w:jc w:val="center"/>
                                <w:rPr>
                                  <w:szCs w:val="21"/>
                                </w:rPr>
                              </w:pPr>
                              <w:r>
                                <w:rPr>
                                  <w:rFonts w:hint="eastAsia"/>
                                  <w:szCs w:val="21"/>
                                </w:rPr>
                                <w:t>（正面）</w:t>
                              </w:r>
                            </w:p>
                            <w:p w14:paraId="13913BAE">
                              <w:pPr>
                                <w:ind w:firstLine="1050" w:firstLineChars="500"/>
                                <w:jc w:val="center"/>
                              </w:pPr>
                            </w:p>
                            <w:p w14:paraId="04FE7BE1">
                              <w:pPr>
                                <w:jc w:val="center"/>
                              </w:pPr>
                            </w:p>
                          </w:txbxContent>
                        </wps:txbx>
                        <wps:bodyPr upright="1"/>
                      </wps:wsp>
                      <wps:wsp>
                        <wps:cNvPr id="5" name="矩形 7"/>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AF1ADB">
                              <w:pPr>
                                <w:ind w:left="-9" w:leftChars="-71" w:hanging="140" w:hangingChars="67"/>
                                <w:jc w:val="center"/>
                                <w:rPr>
                                  <w:szCs w:val="21"/>
                                </w:rPr>
                              </w:pPr>
                              <w:r>
                                <w:rPr>
                                  <w:rFonts w:hint="eastAsia"/>
                                  <w:szCs w:val="21"/>
                                </w:rPr>
                                <w:t>被授权人（授权代表）</w:t>
                              </w:r>
                            </w:p>
                            <w:p w14:paraId="157EE432">
                              <w:pPr>
                                <w:jc w:val="center"/>
                                <w:rPr>
                                  <w:szCs w:val="21"/>
                                </w:rPr>
                              </w:pPr>
                              <w:r>
                                <w:rPr>
                                  <w:rFonts w:hint="eastAsia"/>
                                  <w:szCs w:val="21"/>
                                </w:rPr>
                                <w:t>居民身份证复印件粘贴处</w:t>
                              </w:r>
                            </w:p>
                            <w:p w14:paraId="4FCDA8A5">
                              <w:pPr>
                                <w:ind w:firstLine="1050" w:firstLineChars="500"/>
                                <w:rPr>
                                  <w:szCs w:val="21"/>
                                </w:rPr>
                              </w:pPr>
                            </w:p>
                            <w:p w14:paraId="1951FB42">
                              <w:pPr>
                                <w:jc w:val="center"/>
                                <w:rPr>
                                  <w:szCs w:val="21"/>
                                </w:rPr>
                              </w:pPr>
                              <w:r>
                                <w:rPr>
                                  <w:rFonts w:hint="eastAsia"/>
                                  <w:szCs w:val="21"/>
                                </w:rPr>
                                <w:t>（反面）</w:t>
                              </w:r>
                            </w:p>
                            <w:p w14:paraId="4CDC8435">
                              <w:pPr>
                                <w:ind w:firstLine="1050" w:firstLineChars="500"/>
                                <w:rPr>
                                  <w:szCs w:val="21"/>
                                </w:rPr>
                              </w:pPr>
                            </w:p>
                            <w:p w14:paraId="4EADD59F"/>
                          </w:txbxContent>
                        </wps:txbx>
                        <wps:bodyPr upright="1"/>
                      </wps:wsp>
                    </wpg:wgp>
                  </a:graphicData>
                </a:graphic>
              </wp:anchor>
            </w:drawing>
          </mc:Choice>
          <mc:Fallback>
            <w:pict>
              <v:group id="组合 5" o:spid="_x0000_s1026" o:spt="203" style="position:absolute;left:0pt;margin-left:10.8pt;margin-top:9.9pt;height:137.95pt;width:432pt;z-index:251662336;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uXxwPYAAAACQEAAA8AAAAAAAAAAQAgAAAAIgAAAGRycy9kb3ducmV2LnhtbFBLAQIUABQA&#10;AAAIAIdO4kBg3jRvmwIAAKcHAAAOAAAAAAAAAAEAIAAAACcBAABkcnMvZTJvRG9jLnhtbFBLBQYA&#10;AAAABgAGAFkBAAA0BgAAAAA=&#10;">
                <o:lock v:ext="edit" aspectratio="f"/>
                <v:rect id="矩形 6" o:spid="_x0000_s1026" o:spt="1" style="position:absolute;left:1350;top:9286;height:2759;width:42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2A34856">
                        <w:pPr>
                          <w:ind w:left="-9" w:leftChars="-71" w:hanging="140" w:hangingChars="67"/>
                          <w:jc w:val="center"/>
                          <w:rPr>
                            <w:szCs w:val="21"/>
                          </w:rPr>
                        </w:pPr>
                        <w:r>
                          <w:rPr>
                            <w:rFonts w:hint="eastAsia"/>
                            <w:szCs w:val="21"/>
                          </w:rPr>
                          <w:t>被授权人（授权代表）</w:t>
                        </w:r>
                      </w:p>
                      <w:p w14:paraId="6F50BA4D">
                        <w:pPr>
                          <w:jc w:val="center"/>
                          <w:rPr>
                            <w:szCs w:val="21"/>
                          </w:rPr>
                        </w:pPr>
                        <w:r>
                          <w:rPr>
                            <w:rFonts w:hint="eastAsia"/>
                            <w:szCs w:val="21"/>
                          </w:rPr>
                          <w:t>居民身份证复印件粘贴处</w:t>
                        </w:r>
                      </w:p>
                      <w:p w14:paraId="17419705">
                        <w:pPr>
                          <w:ind w:firstLine="1050" w:firstLineChars="500"/>
                          <w:jc w:val="center"/>
                          <w:rPr>
                            <w:szCs w:val="21"/>
                          </w:rPr>
                        </w:pPr>
                      </w:p>
                      <w:p w14:paraId="4F66D48B">
                        <w:pPr>
                          <w:jc w:val="center"/>
                          <w:rPr>
                            <w:szCs w:val="21"/>
                          </w:rPr>
                        </w:pPr>
                        <w:r>
                          <w:rPr>
                            <w:rFonts w:hint="eastAsia"/>
                            <w:szCs w:val="21"/>
                          </w:rPr>
                          <w:t>（正面）</w:t>
                        </w:r>
                      </w:p>
                      <w:p w14:paraId="13913BAE">
                        <w:pPr>
                          <w:ind w:firstLine="1050" w:firstLineChars="500"/>
                          <w:jc w:val="center"/>
                        </w:pPr>
                      </w:p>
                      <w:p w14:paraId="04FE7BE1">
                        <w:pPr>
                          <w:jc w:val="center"/>
                        </w:pPr>
                      </w:p>
                    </w:txbxContent>
                  </v:textbox>
                </v:rect>
                <v:rect id="矩形 7" o:spid="_x0000_s1026" o:spt="1" style="position:absolute;left:5754;top:9286;height:2759;width:423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BAF1ADB">
                        <w:pPr>
                          <w:ind w:left="-9" w:leftChars="-71" w:hanging="140" w:hangingChars="67"/>
                          <w:jc w:val="center"/>
                          <w:rPr>
                            <w:szCs w:val="21"/>
                          </w:rPr>
                        </w:pPr>
                        <w:r>
                          <w:rPr>
                            <w:rFonts w:hint="eastAsia"/>
                            <w:szCs w:val="21"/>
                          </w:rPr>
                          <w:t>被授权人（授权代表）</w:t>
                        </w:r>
                      </w:p>
                      <w:p w14:paraId="157EE432">
                        <w:pPr>
                          <w:jc w:val="center"/>
                          <w:rPr>
                            <w:szCs w:val="21"/>
                          </w:rPr>
                        </w:pPr>
                        <w:r>
                          <w:rPr>
                            <w:rFonts w:hint="eastAsia"/>
                            <w:szCs w:val="21"/>
                          </w:rPr>
                          <w:t>居民身份证复印件粘贴处</w:t>
                        </w:r>
                      </w:p>
                      <w:p w14:paraId="4FCDA8A5">
                        <w:pPr>
                          <w:ind w:firstLine="1050" w:firstLineChars="500"/>
                          <w:rPr>
                            <w:szCs w:val="21"/>
                          </w:rPr>
                        </w:pPr>
                      </w:p>
                      <w:p w14:paraId="1951FB42">
                        <w:pPr>
                          <w:jc w:val="center"/>
                          <w:rPr>
                            <w:szCs w:val="21"/>
                          </w:rPr>
                        </w:pPr>
                        <w:r>
                          <w:rPr>
                            <w:rFonts w:hint="eastAsia"/>
                            <w:szCs w:val="21"/>
                          </w:rPr>
                          <w:t>（反面）</w:t>
                        </w:r>
                      </w:p>
                      <w:p w14:paraId="4CDC8435">
                        <w:pPr>
                          <w:ind w:firstLine="1050" w:firstLineChars="500"/>
                          <w:rPr>
                            <w:szCs w:val="21"/>
                          </w:rPr>
                        </w:pPr>
                      </w:p>
                      <w:p w14:paraId="4EADD59F"/>
                    </w:txbxContent>
                  </v:textbox>
                </v:rect>
              </v:group>
            </w:pict>
          </mc:Fallback>
        </mc:AlternateContent>
      </w:r>
    </w:p>
    <w:p w14:paraId="48B31D72">
      <w:pPr>
        <w:spacing w:line="360" w:lineRule="auto"/>
        <w:rPr>
          <w:rFonts w:ascii="宋体"/>
          <w:color w:val="auto"/>
          <w:szCs w:val="21"/>
        </w:rPr>
      </w:pPr>
    </w:p>
    <w:p w14:paraId="7F544389">
      <w:pPr>
        <w:spacing w:line="360" w:lineRule="auto"/>
        <w:rPr>
          <w:rFonts w:ascii="宋体"/>
          <w:color w:val="auto"/>
          <w:szCs w:val="21"/>
        </w:rPr>
      </w:pPr>
    </w:p>
    <w:p w14:paraId="5EDFE735">
      <w:pPr>
        <w:spacing w:line="360" w:lineRule="auto"/>
        <w:rPr>
          <w:rFonts w:ascii="宋体"/>
          <w:color w:val="auto"/>
          <w:szCs w:val="21"/>
        </w:rPr>
      </w:pPr>
    </w:p>
    <w:p w14:paraId="47A2DF6F">
      <w:pPr>
        <w:spacing w:line="360" w:lineRule="auto"/>
        <w:rPr>
          <w:rFonts w:ascii="宋体"/>
          <w:color w:val="auto"/>
          <w:szCs w:val="21"/>
        </w:rPr>
      </w:pPr>
    </w:p>
    <w:p w14:paraId="1EAB4BCD">
      <w:pPr>
        <w:spacing w:line="360" w:lineRule="auto"/>
        <w:rPr>
          <w:rFonts w:ascii="宋体"/>
          <w:color w:val="auto"/>
          <w:szCs w:val="21"/>
        </w:rPr>
      </w:pPr>
    </w:p>
    <w:p w14:paraId="00F57865">
      <w:pPr>
        <w:spacing w:line="360" w:lineRule="auto"/>
        <w:rPr>
          <w:rFonts w:ascii="宋体"/>
          <w:color w:val="auto"/>
          <w:szCs w:val="21"/>
        </w:rPr>
      </w:pPr>
    </w:p>
    <w:p w14:paraId="07AC3E1E">
      <w:pPr>
        <w:rPr>
          <w:b/>
          <w:color w:val="auto"/>
          <w:szCs w:val="21"/>
        </w:rPr>
      </w:pPr>
      <w:r>
        <w:rPr>
          <w:rFonts w:hint="eastAsia"/>
          <w:b/>
          <w:color w:val="auto"/>
          <w:szCs w:val="21"/>
        </w:rPr>
        <w:t>说明：法定代表人亲自办理投标事宜的，则无需提交法定代表人授权委托书，此格式可删除。</w:t>
      </w:r>
    </w:p>
    <w:p w14:paraId="24EB56E9">
      <w:pPr>
        <w:pStyle w:val="12"/>
        <w:adjustRightInd w:val="0"/>
        <w:snapToGrid w:val="0"/>
        <w:ind w:firstLine="420" w:firstLineChars="200"/>
        <w:rPr>
          <w:color w:val="auto"/>
          <w:sz w:val="21"/>
          <w:lang w:val="en-US"/>
        </w:rPr>
      </w:pPr>
      <w:r>
        <w:rPr>
          <w:color w:val="auto"/>
          <w:sz w:val="21"/>
          <w:lang w:val="en-US"/>
        </w:rPr>
        <w:br w:type="page"/>
      </w:r>
    </w:p>
    <w:p w14:paraId="66646D07">
      <w:pPr>
        <w:pStyle w:val="3"/>
        <w:ind w:firstLine="0"/>
        <w:jc w:val="left"/>
        <w:rPr>
          <w:rFonts w:hint="eastAsia" w:hAnsi="Times New Roman" w:eastAsia="宋体"/>
          <w:bCs/>
          <w:color w:val="auto"/>
          <w:sz w:val="21"/>
          <w:szCs w:val="21"/>
          <w:lang w:eastAsia="zh-CN"/>
        </w:rPr>
      </w:pPr>
      <w:bookmarkStart w:id="291" w:name="_Toc30555"/>
      <w:bookmarkStart w:id="292" w:name="_Toc29547"/>
      <w:r>
        <w:rPr>
          <w:rFonts w:hint="eastAsia" w:hAnsi="宋体"/>
          <w:bCs/>
          <w:color w:val="auto"/>
          <w:sz w:val="21"/>
          <w:szCs w:val="21"/>
        </w:rPr>
        <w:t>格式</w:t>
      </w:r>
      <w:r>
        <w:rPr>
          <w:rFonts w:hAnsi="宋体"/>
          <w:bCs/>
          <w:color w:val="auto"/>
          <w:sz w:val="21"/>
          <w:szCs w:val="21"/>
        </w:rPr>
        <w:t>6 用户需求书响应差异表</w:t>
      </w:r>
      <w:r>
        <w:rPr>
          <w:rFonts w:hint="eastAsia" w:hAnsi="宋体"/>
          <w:bCs/>
          <w:color w:val="auto"/>
          <w:sz w:val="21"/>
          <w:szCs w:val="21"/>
          <w:lang w:eastAsia="zh-CN"/>
        </w:rPr>
        <w:t>（</w:t>
      </w:r>
      <w:r>
        <w:rPr>
          <w:rFonts w:hint="eastAsia" w:hAnsi="宋体"/>
          <w:bCs/>
          <w:color w:val="auto"/>
          <w:sz w:val="21"/>
          <w:szCs w:val="21"/>
          <w:lang w:val="en-US" w:eastAsia="zh-CN"/>
        </w:rPr>
        <w:t>同样作用于商务部分“需求响应程度”</w:t>
      </w:r>
      <w:r>
        <w:rPr>
          <w:rFonts w:hint="eastAsia" w:hAnsi="宋体"/>
          <w:bCs/>
          <w:color w:val="auto"/>
          <w:sz w:val="21"/>
          <w:szCs w:val="21"/>
          <w:lang w:eastAsia="zh-CN"/>
        </w:rPr>
        <w:t>）</w:t>
      </w:r>
      <w:bookmarkEnd w:id="291"/>
      <w:bookmarkEnd w:id="292"/>
    </w:p>
    <w:p w14:paraId="4FFF4332">
      <w:pPr>
        <w:spacing w:line="360" w:lineRule="auto"/>
        <w:ind w:left="945" w:hanging="945" w:hangingChars="450"/>
        <w:rPr>
          <w:rFonts w:ascii="宋体" w:hAnsi="宋体"/>
          <w:color w:val="auto"/>
          <w:szCs w:val="21"/>
        </w:rPr>
      </w:pPr>
      <w:r>
        <w:rPr>
          <w:rFonts w:ascii="宋体" w:hAnsi="宋体"/>
          <w:color w:val="auto"/>
          <w:szCs w:val="21"/>
        </w:rPr>
        <w:t>说明：1.</w:t>
      </w:r>
      <w:r>
        <w:rPr>
          <w:rFonts w:hint="eastAsia" w:ascii="宋体" w:hAnsi="宋体"/>
          <w:color w:val="auto"/>
          <w:szCs w:val="21"/>
        </w:rPr>
        <w:t>响应供应商</w:t>
      </w:r>
      <w:r>
        <w:rPr>
          <w:rFonts w:ascii="宋体" w:hAnsi="宋体"/>
          <w:color w:val="auto"/>
          <w:szCs w:val="21"/>
        </w:rPr>
        <w:t>必须对应磋商文件的《第三部分 用户需求书》条款逐条应答并按要求填写下表。</w:t>
      </w:r>
    </w:p>
    <w:p w14:paraId="2C878CE2">
      <w:pPr>
        <w:spacing w:line="360" w:lineRule="auto"/>
        <w:ind w:left="955" w:leftChars="337" w:hanging="247" w:hangingChars="118"/>
        <w:rPr>
          <w:rFonts w:ascii="宋体" w:hAnsi="宋体"/>
          <w:color w:val="auto"/>
          <w:szCs w:val="21"/>
        </w:rPr>
      </w:pPr>
      <w:r>
        <w:rPr>
          <w:rFonts w:ascii="宋体" w:hAnsi="宋体"/>
          <w:color w:val="auto"/>
          <w:szCs w:val="21"/>
        </w:rPr>
        <w:t>2.对完全响应的条目在下表相应列中标注“○”。对有偏离的条目在下表相应列中标注“×”，并简述偏离内容。</w:t>
      </w:r>
    </w:p>
    <w:tbl>
      <w:tblPr>
        <w:tblStyle w:val="27"/>
        <w:tblW w:w="95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1305"/>
        <w:gridCol w:w="3550"/>
        <w:gridCol w:w="1308"/>
        <w:gridCol w:w="1334"/>
        <w:gridCol w:w="2031"/>
      </w:tblGrid>
      <w:tr w14:paraId="3D9CE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722" w:hRule="atLeast"/>
          <w:jc w:val="center"/>
        </w:trPr>
        <w:tc>
          <w:tcPr>
            <w:tcW w:w="1305" w:type="dxa"/>
            <w:shd w:val="clear" w:color="auto" w:fill="D9D9D9"/>
            <w:vAlign w:val="center"/>
          </w:tcPr>
          <w:p w14:paraId="4774DA4E">
            <w:pPr>
              <w:spacing w:line="360" w:lineRule="auto"/>
              <w:jc w:val="center"/>
              <w:rPr>
                <w:rFonts w:ascii="宋体" w:hAnsi="宋体"/>
                <w:b/>
                <w:bCs/>
                <w:color w:val="auto"/>
                <w:szCs w:val="21"/>
              </w:rPr>
            </w:pPr>
            <w:r>
              <w:rPr>
                <w:rFonts w:ascii="宋体" w:hAnsi="宋体"/>
                <w:b/>
                <w:bCs/>
                <w:color w:val="auto"/>
                <w:szCs w:val="21"/>
              </w:rPr>
              <w:t>序号</w:t>
            </w:r>
          </w:p>
        </w:tc>
        <w:tc>
          <w:tcPr>
            <w:tcW w:w="3550" w:type="dxa"/>
            <w:shd w:val="clear" w:color="auto" w:fill="D9D9D9"/>
            <w:vAlign w:val="center"/>
          </w:tcPr>
          <w:p w14:paraId="017AC2C4">
            <w:pPr>
              <w:spacing w:line="360" w:lineRule="auto"/>
              <w:jc w:val="center"/>
              <w:rPr>
                <w:rFonts w:ascii="宋体" w:hAnsi="宋体"/>
                <w:b/>
                <w:bCs/>
                <w:color w:val="auto"/>
                <w:szCs w:val="21"/>
              </w:rPr>
            </w:pPr>
            <w:r>
              <w:rPr>
                <w:rFonts w:ascii="宋体" w:hAnsi="宋体"/>
                <w:b/>
                <w:bCs/>
                <w:color w:val="auto"/>
                <w:szCs w:val="21"/>
              </w:rPr>
              <w:t>需求书条目</w:t>
            </w:r>
          </w:p>
        </w:tc>
        <w:tc>
          <w:tcPr>
            <w:tcW w:w="1308" w:type="dxa"/>
            <w:shd w:val="clear" w:color="auto" w:fill="D9D9D9"/>
            <w:vAlign w:val="center"/>
          </w:tcPr>
          <w:p w14:paraId="25423DA4">
            <w:pPr>
              <w:spacing w:line="360" w:lineRule="auto"/>
              <w:jc w:val="center"/>
              <w:rPr>
                <w:rFonts w:ascii="宋体" w:hAnsi="宋体"/>
                <w:b/>
                <w:bCs/>
                <w:color w:val="auto"/>
                <w:szCs w:val="21"/>
              </w:rPr>
            </w:pPr>
            <w:r>
              <w:rPr>
                <w:rFonts w:ascii="宋体" w:hAnsi="宋体"/>
                <w:b/>
                <w:bCs/>
                <w:color w:val="auto"/>
                <w:szCs w:val="21"/>
              </w:rPr>
              <w:t>完全响应</w:t>
            </w:r>
          </w:p>
        </w:tc>
        <w:tc>
          <w:tcPr>
            <w:tcW w:w="1334" w:type="dxa"/>
            <w:shd w:val="clear" w:color="auto" w:fill="D9D9D9"/>
            <w:vAlign w:val="center"/>
          </w:tcPr>
          <w:p w14:paraId="2C097AC6">
            <w:pPr>
              <w:spacing w:line="360" w:lineRule="auto"/>
              <w:jc w:val="center"/>
              <w:rPr>
                <w:rFonts w:ascii="宋体" w:hAnsi="宋体"/>
                <w:b/>
                <w:bCs/>
                <w:color w:val="auto"/>
                <w:szCs w:val="21"/>
              </w:rPr>
            </w:pPr>
            <w:r>
              <w:rPr>
                <w:rFonts w:hint="eastAsia" w:ascii="宋体" w:hAnsi="宋体"/>
                <w:b/>
                <w:bCs/>
                <w:color w:val="auto"/>
                <w:szCs w:val="21"/>
              </w:rPr>
              <w:t>有偏离</w:t>
            </w:r>
          </w:p>
        </w:tc>
        <w:tc>
          <w:tcPr>
            <w:tcW w:w="2031" w:type="dxa"/>
            <w:shd w:val="clear" w:color="auto" w:fill="D9D9D9"/>
            <w:vAlign w:val="center"/>
          </w:tcPr>
          <w:p w14:paraId="44523F55">
            <w:pPr>
              <w:spacing w:line="360" w:lineRule="auto"/>
              <w:jc w:val="center"/>
              <w:rPr>
                <w:rFonts w:ascii="宋体" w:hAnsi="宋体"/>
                <w:b/>
                <w:bCs/>
                <w:color w:val="auto"/>
                <w:szCs w:val="21"/>
              </w:rPr>
            </w:pPr>
            <w:r>
              <w:rPr>
                <w:rFonts w:ascii="宋体" w:hAnsi="宋体"/>
                <w:b/>
                <w:bCs/>
                <w:color w:val="auto"/>
                <w:szCs w:val="21"/>
              </w:rPr>
              <w:t>偏离简述</w:t>
            </w:r>
          </w:p>
        </w:tc>
      </w:tr>
      <w:tr w14:paraId="22B9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vAlign w:val="center"/>
          </w:tcPr>
          <w:p w14:paraId="7F7433E1">
            <w:pPr>
              <w:spacing w:line="360" w:lineRule="auto"/>
              <w:jc w:val="center"/>
              <w:rPr>
                <w:rFonts w:ascii="宋体" w:hAnsi="宋体"/>
                <w:bCs/>
                <w:color w:val="auto"/>
                <w:szCs w:val="21"/>
              </w:rPr>
            </w:pPr>
            <w:r>
              <w:rPr>
                <w:rFonts w:hint="eastAsia" w:ascii="宋体" w:hAnsi="宋体"/>
                <w:bCs/>
                <w:color w:val="auto"/>
                <w:szCs w:val="21"/>
              </w:rPr>
              <w:t>一</w:t>
            </w:r>
          </w:p>
        </w:tc>
        <w:tc>
          <w:tcPr>
            <w:tcW w:w="3550" w:type="dxa"/>
            <w:vAlign w:val="center"/>
          </w:tcPr>
          <w:p w14:paraId="2ECD4355">
            <w:pPr>
              <w:spacing w:line="360" w:lineRule="auto"/>
              <w:rPr>
                <w:rFonts w:hint="default" w:ascii="宋体" w:hAnsi="宋体" w:eastAsia="宋体"/>
                <w:bCs/>
                <w:color w:val="auto"/>
                <w:szCs w:val="21"/>
                <w:lang w:val="en-US" w:eastAsia="zh-CN"/>
              </w:rPr>
            </w:pPr>
            <w:r>
              <w:rPr>
                <w:rFonts w:hint="eastAsia" w:ascii="宋体" w:hAnsi="宋体"/>
                <w:bCs/>
                <w:color w:val="auto"/>
                <w:szCs w:val="21"/>
                <w:lang w:val="en-US" w:eastAsia="zh-CN"/>
              </w:rPr>
              <w:t>项目概况</w:t>
            </w:r>
          </w:p>
        </w:tc>
        <w:tc>
          <w:tcPr>
            <w:tcW w:w="1308" w:type="dxa"/>
            <w:vAlign w:val="center"/>
          </w:tcPr>
          <w:p w14:paraId="32C8D109">
            <w:pPr>
              <w:spacing w:line="360" w:lineRule="auto"/>
              <w:rPr>
                <w:rFonts w:ascii="宋体" w:hAnsi="宋体"/>
                <w:bCs/>
                <w:color w:val="auto"/>
                <w:szCs w:val="21"/>
              </w:rPr>
            </w:pPr>
          </w:p>
        </w:tc>
        <w:tc>
          <w:tcPr>
            <w:tcW w:w="1334" w:type="dxa"/>
            <w:vAlign w:val="center"/>
          </w:tcPr>
          <w:p w14:paraId="5A067AED">
            <w:pPr>
              <w:spacing w:line="360" w:lineRule="auto"/>
              <w:rPr>
                <w:rFonts w:ascii="宋体" w:hAnsi="宋体"/>
                <w:bCs/>
                <w:color w:val="auto"/>
                <w:szCs w:val="21"/>
              </w:rPr>
            </w:pPr>
          </w:p>
        </w:tc>
        <w:tc>
          <w:tcPr>
            <w:tcW w:w="2031" w:type="dxa"/>
            <w:vAlign w:val="center"/>
          </w:tcPr>
          <w:p w14:paraId="08FFB453">
            <w:pPr>
              <w:spacing w:line="360" w:lineRule="auto"/>
              <w:rPr>
                <w:rFonts w:ascii="宋体" w:hAnsi="宋体"/>
                <w:bCs/>
                <w:color w:val="auto"/>
                <w:szCs w:val="21"/>
              </w:rPr>
            </w:pPr>
          </w:p>
        </w:tc>
      </w:tr>
      <w:tr w14:paraId="746015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vAlign w:val="center"/>
          </w:tcPr>
          <w:p w14:paraId="69F94A94">
            <w:pPr>
              <w:spacing w:line="360" w:lineRule="auto"/>
              <w:jc w:val="center"/>
              <w:rPr>
                <w:rFonts w:ascii="宋体" w:hAnsi="宋体"/>
                <w:bCs/>
                <w:color w:val="auto"/>
                <w:szCs w:val="21"/>
              </w:rPr>
            </w:pPr>
            <w:r>
              <w:rPr>
                <w:rFonts w:hint="eastAsia" w:ascii="宋体" w:hAnsi="宋体"/>
                <w:bCs/>
                <w:color w:val="auto"/>
                <w:szCs w:val="21"/>
              </w:rPr>
              <w:t>二</w:t>
            </w:r>
          </w:p>
        </w:tc>
        <w:tc>
          <w:tcPr>
            <w:tcW w:w="3550" w:type="dxa"/>
            <w:vAlign w:val="center"/>
          </w:tcPr>
          <w:p w14:paraId="3CF5B189">
            <w:pPr>
              <w:spacing w:line="360" w:lineRule="auto"/>
              <w:rPr>
                <w:rFonts w:hint="default" w:ascii="宋体" w:hAnsi="宋体" w:eastAsia="宋体"/>
                <w:bCs/>
                <w:color w:val="auto"/>
                <w:szCs w:val="21"/>
                <w:lang w:val="en-US" w:eastAsia="zh-CN"/>
              </w:rPr>
            </w:pPr>
            <w:r>
              <w:rPr>
                <w:rFonts w:hint="eastAsia" w:ascii="宋体" w:hAnsi="宋体"/>
                <w:bCs/>
                <w:color w:val="auto"/>
                <w:szCs w:val="21"/>
                <w:lang w:val="en-US" w:eastAsia="zh-CN"/>
              </w:rPr>
              <w:t>服务内容</w:t>
            </w:r>
          </w:p>
        </w:tc>
        <w:tc>
          <w:tcPr>
            <w:tcW w:w="1308" w:type="dxa"/>
            <w:vAlign w:val="center"/>
          </w:tcPr>
          <w:p w14:paraId="3B047063">
            <w:pPr>
              <w:spacing w:line="360" w:lineRule="auto"/>
              <w:rPr>
                <w:rFonts w:ascii="宋体" w:hAnsi="宋体"/>
                <w:bCs/>
                <w:color w:val="auto"/>
                <w:szCs w:val="21"/>
              </w:rPr>
            </w:pPr>
          </w:p>
        </w:tc>
        <w:tc>
          <w:tcPr>
            <w:tcW w:w="1334" w:type="dxa"/>
            <w:vAlign w:val="center"/>
          </w:tcPr>
          <w:p w14:paraId="5D98BCA1">
            <w:pPr>
              <w:spacing w:line="360" w:lineRule="auto"/>
              <w:rPr>
                <w:rFonts w:ascii="宋体" w:hAnsi="宋体"/>
                <w:bCs/>
                <w:color w:val="auto"/>
                <w:szCs w:val="21"/>
              </w:rPr>
            </w:pPr>
          </w:p>
        </w:tc>
        <w:tc>
          <w:tcPr>
            <w:tcW w:w="2031" w:type="dxa"/>
            <w:vAlign w:val="center"/>
          </w:tcPr>
          <w:p w14:paraId="0B4A84B3">
            <w:pPr>
              <w:spacing w:line="360" w:lineRule="auto"/>
              <w:rPr>
                <w:rFonts w:ascii="宋体" w:hAnsi="宋体"/>
                <w:bCs/>
                <w:color w:val="auto"/>
                <w:szCs w:val="21"/>
              </w:rPr>
            </w:pPr>
          </w:p>
        </w:tc>
      </w:tr>
      <w:tr w14:paraId="25ABE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vAlign w:val="center"/>
          </w:tcPr>
          <w:p w14:paraId="724D73D9">
            <w:pPr>
              <w:spacing w:line="360" w:lineRule="auto"/>
              <w:jc w:val="center"/>
              <w:rPr>
                <w:rFonts w:ascii="宋体" w:hAnsi="宋体"/>
                <w:bCs/>
                <w:color w:val="auto"/>
                <w:szCs w:val="21"/>
              </w:rPr>
            </w:pPr>
            <w:r>
              <w:rPr>
                <w:rFonts w:hint="eastAsia" w:ascii="宋体" w:hAnsi="宋体"/>
                <w:bCs/>
                <w:color w:val="auto"/>
                <w:szCs w:val="21"/>
              </w:rPr>
              <w:t>三</w:t>
            </w:r>
          </w:p>
        </w:tc>
        <w:tc>
          <w:tcPr>
            <w:tcW w:w="3550" w:type="dxa"/>
            <w:vAlign w:val="center"/>
          </w:tcPr>
          <w:p w14:paraId="45448D52">
            <w:pPr>
              <w:spacing w:line="360" w:lineRule="auto"/>
              <w:rPr>
                <w:rFonts w:ascii="宋体" w:hAnsi="宋体"/>
                <w:bCs/>
                <w:color w:val="auto"/>
                <w:szCs w:val="21"/>
              </w:rPr>
            </w:pPr>
            <w:r>
              <w:rPr>
                <w:rFonts w:hint="eastAsia" w:ascii="宋体" w:hAnsi="宋体"/>
                <w:bCs/>
                <w:color w:val="auto"/>
                <w:szCs w:val="21"/>
              </w:rPr>
              <w:t>验收要求</w:t>
            </w:r>
          </w:p>
        </w:tc>
        <w:tc>
          <w:tcPr>
            <w:tcW w:w="1308" w:type="dxa"/>
            <w:vAlign w:val="center"/>
          </w:tcPr>
          <w:p w14:paraId="391E0962">
            <w:pPr>
              <w:spacing w:line="360" w:lineRule="auto"/>
              <w:rPr>
                <w:rFonts w:ascii="宋体" w:hAnsi="宋体"/>
                <w:bCs/>
                <w:color w:val="auto"/>
                <w:szCs w:val="21"/>
              </w:rPr>
            </w:pPr>
          </w:p>
        </w:tc>
        <w:tc>
          <w:tcPr>
            <w:tcW w:w="1334" w:type="dxa"/>
            <w:vAlign w:val="center"/>
          </w:tcPr>
          <w:p w14:paraId="36657081">
            <w:pPr>
              <w:spacing w:line="360" w:lineRule="auto"/>
              <w:rPr>
                <w:rFonts w:ascii="宋体" w:hAnsi="宋体"/>
                <w:bCs/>
                <w:color w:val="auto"/>
                <w:szCs w:val="21"/>
              </w:rPr>
            </w:pPr>
          </w:p>
        </w:tc>
        <w:tc>
          <w:tcPr>
            <w:tcW w:w="2031" w:type="dxa"/>
            <w:vAlign w:val="center"/>
          </w:tcPr>
          <w:p w14:paraId="73D47DED">
            <w:pPr>
              <w:spacing w:line="360" w:lineRule="auto"/>
              <w:rPr>
                <w:rFonts w:ascii="宋体" w:hAnsi="宋体"/>
                <w:bCs/>
                <w:color w:val="auto"/>
                <w:szCs w:val="21"/>
              </w:rPr>
            </w:pPr>
          </w:p>
        </w:tc>
      </w:tr>
      <w:tr w14:paraId="3CF45A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vAlign w:val="center"/>
          </w:tcPr>
          <w:p w14:paraId="056D2614">
            <w:pPr>
              <w:spacing w:line="360" w:lineRule="auto"/>
              <w:jc w:val="center"/>
              <w:rPr>
                <w:rFonts w:ascii="宋体" w:hAnsi="宋体"/>
                <w:bCs/>
                <w:color w:val="auto"/>
                <w:szCs w:val="21"/>
              </w:rPr>
            </w:pPr>
            <w:r>
              <w:rPr>
                <w:rFonts w:hint="eastAsia" w:ascii="宋体" w:hAnsi="宋体"/>
                <w:bCs/>
                <w:color w:val="auto"/>
                <w:szCs w:val="21"/>
              </w:rPr>
              <w:t>四</w:t>
            </w:r>
          </w:p>
        </w:tc>
        <w:tc>
          <w:tcPr>
            <w:tcW w:w="3550" w:type="dxa"/>
            <w:vAlign w:val="center"/>
          </w:tcPr>
          <w:p w14:paraId="384F055E">
            <w:pPr>
              <w:spacing w:line="360" w:lineRule="auto"/>
              <w:rPr>
                <w:rFonts w:ascii="宋体" w:hAnsi="宋体"/>
                <w:bCs/>
                <w:color w:val="auto"/>
                <w:szCs w:val="21"/>
              </w:rPr>
            </w:pPr>
            <w:r>
              <w:rPr>
                <w:rFonts w:hint="eastAsia" w:ascii="宋体" w:hAnsi="宋体"/>
                <w:bCs/>
                <w:color w:val="auto"/>
                <w:szCs w:val="21"/>
              </w:rPr>
              <w:t>付款方式</w:t>
            </w:r>
          </w:p>
        </w:tc>
        <w:tc>
          <w:tcPr>
            <w:tcW w:w="1308" w:type="dxa"/>
            <w:vAlign w:val="center"/>
          </w:tcPr>
          <w:p w14:paraId="09A855F4">
            <w:pPr>
              <w:spacing w:line="360" w:lineRule="auto"/>
              <w:rPr>
                <w:rFonts w:ascii="宋体" w:hAnsi="宋体"/>
                <w:bCs/>
                <w:color w:val="auto"/>
                <w:szCs w:val="21"/>
              </w:rPr>
            </w:pPr>
          </w:p>
        </w:tc>
        <w:tc>
          <w:tcPr>
            <w:tcW w:w="1334" w:type="dxa"/>
            <w:vAlign w:val="center"/>
          </w:tcPr>
          <w:p w14:paraId="4FB4B423">
            <w:pPr>
              <w:spacing w:line="360" w:lineRule="auto"/>
              <w:rPr>
                <w:rFonts w:ascii="宋体" w:hAnsi="宋体"/>
                <w:bCs/>
                <w:color w:val="auto"/>
                <w:szCs w:val="21"/>
              </w:rPr>
            </w:pPr>
          </w:p>
        </w:tc>
        <w:tc>
          <w:tcPr>
            <w:tcW w:w="2031" w:type="dxa"/>
            <w:vAlign w:val="center"/>
          </w:tcPr>
          <w:p w14:paraId="09EAF25B">
            <w:pPr>
              <w:spacing w:line="360" w:lineRule="auto"/>
              <w:rPr>
                <w:rFonts w:ascii="宋体" w:hAnsi="宋体"/>
                <w:bCs/>
                <w:color w:val="auto"/>
                <w:szCs w:val="21"/>
              </w:rPr>
            </w:pPr>
          </w:p>
        </w:tc>
      </w:tr>
    </w:tbl>
    <w:p w14:paraId="62DFBB4C">
      <w:pPr>
        <w:spacing w:line="360" w:lineRule="auto"/>
        <w:rPr>
          <w:rFonts w:ascii="宋体" w:hAnsi="宋体"/>
          <w:b/>
          <w:bCs/>
          <w:color w:val="auto"/>
          <w:szCs w:val="21"/>
        </w:rPr>
      </w:pPr>
      <w:r>
        <w:rPr>
          <w:rFonts w:ascii="宋体" w:hAnsi="宋体"/>
          <w:b/>
          <w:bCs/>
          <w:color w:val="auto"/>
          <w:szCs w:val="21"/>
        </w:rPr>
        <w:t xml:space="preserve">  </w:t>
      </w:r>
      <w:r>
        <w:rPr>
          <w:rFonts w:hint="eastAsia" w:ascii="宋体" w:hAnsi="宋体"/>
          <w:b/>
          <w:bCs/>
          <w:color w:val="auto"/>
          <w:szCs w:val="21"/>
        </w:rPr>
        <w:t>注：</w:t>
      </w:r>
      <w:r>
        <w:rPr>
          <w:rFonts w:ascii="宋体" w:hAnsi="宋体"/>
          <w:b/>
          <w:bCs/>
          <w:color w:val="auto"/>
          <w:szCs w:val="21"/>
        </w:rPr>
        <w:t>请</w:t>
      </w:r>
      <w:r>
        <w:rPr>
          <w:rFonts w:hint="eastAsia" w:ascii="宋体" w:hAnsi="宋体"/>
          <w:b/>
          <w:bCs/>
          <w:color w:val="auto"/>
          <w:szCs w:val="21"/>
        </w:rPr>
        <w:t>响应供应商</w:t>
      </w:r>
      <w:r>
        <w:rPr>
          <w:rFonts w:ascii="宋体" w:hAnsi="宋体"/>
          <w:b/>
          <w:bCs/>
          <w:color w:val="auto"/>
          <w:szCs w:val="21"/>
        </w:rPr>
        <w:t>逐一响应。</w:t>
      </w:r>
    </w:p>
    <w:p w14:paraId="284D0BEF">
      <w:pPr>
        <w:spacing w:line="360" w:lineRule="auto"/>
        <w:rPr>
          <w:rFonts w:ascii="宋体" w:hAnsi="宋体"/>
          <w:bCs/>
          <w:color w:val="auto"/>
          <w:szCs w:val="21"/>
        </w:rPr>
      </w:pPr>
    </w:p>
    <w:p w14:paraId="2C13ECC2">
      <w:pPr>
        <w:spacing w:line="360" w:lineRule="auto"/>
        <w:rPr>
          <w:rFonts w:ascii="宋体" w:hAnsi="宋体"/>
          <w:color w:val="auto"/>
          <w:szCs w:val="21"/>
          <w:u w:val="single"/>
        </w:rPr>
      </w:pPr>
      <w:r>
        <w:rPr>
          <w:rFonts w:hint="eastAsia" w:ascii="宋体" w:hAnsi="宋体"/>
          <w:color w:val="auto"/>
          <w:spacing w:val="4"/>
          <w:szCs w:val="21"/>
        </w:rPr>
        <w:t>响应供应商</w:t>
      </w:r>
      <w:r>
        <w:rPr>
          <w:rFonts w:ascii="宋体" w:hAnsi="宋体"/>
          <w:color w:val="auto"/>
          <w:spacing w:val="4"/>
          <w:szCs w:val="21"/>
        </w:rPr>
        <w:t>名称（盖公章）：</w:t>
      </w:r>
    </w:p>
    <w:bookmarkEnd w:id="284"/>
    <w:bookmarkEnd w:id="285"/>
    <w:bookmarkEnd w:id="286"/>
    <w:bookmarkEnd w:id="287"/>
    <w:bookmarkEnd w:id="288"/>
    <w:p w14:paraId="661E57DD">
      <w:pPr>
        <w:spacing w:line="360" w:lineRule="auto"/>
        <w:rPr>
          <w:rFonts w:ascii="宋体" w:hAnsi="宋体"/>
          <w:color w:val="auto"/>
          <w:spacing w:val="4"/>
          <w:szCs w:val="21"/>
        </w:rPr>
      </w:pPr>
      <w:r>
        <w:rPr>
          <w:rFonts w:hint="eastAsia" w:ascii="宋体" w:hAnsi="宋体"/>
          <w:color w:val="auto"/>
          <w:spacing w:val="4"/>
          <w:szCs w:val="21"/>
        </w:rPr>
        <w:t>日</w:t>
      </w:r>
      <w:r>
        <w:rPr>
          <w:rFonts w:ascii="宋体" w:hAnsi="宋体"/>
          <w:color w:val="auto"/>
          <w:spacing w:val="4"/>
          <w:szCs w:val="21"/>
        </w:rPr>
        <w:t xml:space="preserve"> </w:t>
      </w:r>
      <w:r>
        <w:rPr>
          <w:rFonts w:hint="eastAsia" w:ascii="宋体" w:hAnsi="宋体"/>
          <w:color w:val="auto"/>
          <w:spacing w:val="4"/>
          <w:szCs w:val="21"/>
        </w:rPr>
        <w:t>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14:paraId="1BA1EDE6">
      <w:pPr>
        <w:widowControl/>
        <w:jc w:val="left"/>
        <w:rPr>
          <w:rFonts w:ascii="宋体" w:hAnsi="宋体"/>
          <w:color w:val="auto"/>
          <w:spacing w:val="4"/>
          <w:szCs w:val="21"/>
        </w:rPr>
      </w:pPr>
      <w:r>
        <w:rPr>
          <w:rFonts w:ascii="宋体" w:hAnsi="宋体"/>
          <w:color w:val="auto"/>
          <w:spacing w:val="4"/>
          <w:szCs w:val="21"/>
        </w:rPr>
        <w:br w:type="page"/>
      </w:r>
    </w:p>
    <w:p w14:paraId="7452115C">
      <w:pPr>
        <w:pStyle w:val="3"/>
        <w:ind w:firstLine="0"/>
        <w:jc w:val="left"/>
        <w:rPr>
          <w:rFonts w:hAnsi="Times New Roman"/>
          <w:bCs/>
          <w:color w:val="auto"/>
          <w:sz w:val="21"/>
          <w:szCs w:val="21"/>
        </w:rPr>
      </w:pPr>
      <w:bookmarkStart w:id="293" w:name="_Toc29202"/>
      <w:bookmarkStart w:id="294" w:name="_Toc25633"/>
      <w:r>
        <w:rPr>
          <w:rFonts w:hint="eastAsia" w:hAnsi="宋体"/>
          <w:bCs/>
          <w:color w:val="auto"/>
          <w:sz w:val="21"/>
          <w:szCs w:val="21"/>
        </w:rPr>
        <w:t>格式</w:t>
      </w:r>
      <w:r>
        <w:rPr>
          <w:rFonts w:hAnsi="宋体"/>
          <w:bCs/>
          <w:color w:val="auto"/>
          <w:sz w:val="21"/>
          <w:szCs w:val="21"/>
        </w:rPr>
        <w:t>7 招标代理服务费承诺书</w:t>
      </w:r>
      <w:bookmarkEnd w:id="293"/>
      <w:bookmarkEnd w:id="294"/>
    </w:p>
    <w:p w14:paraId="00BF734E">
      <w:pPr>
        <w:rPr>
          <w:color w:val="auto"/>
        </w:rPr>
      </w:pPr>
    </w:p>
    <w:p w14:paraId="62992179">
      <w:pPr>
        <w:spacing w:line="360" w:lineRule="auto"/>
        <w:rPr>
          <w:rFonts w:ascii="宋体" w:hAnsi="宋体"/>
          <w:b/>
          <w:color w:val="auto"/>
          <w:szCs w:val="21"/>
        </w:rPr>
      </w:pPr>
      <w:r>
        <w:rPr>
          <w:rFonts w:ascii="宋体" w:hAnsi="宋体"/>
          <w:b/>
          <w:color w:val="auto"/>
          <w:szCs w:val="21"/>
        </w:rPr>
        <w:t>广东为诚招标代理有限公司:</w:t>
      </w:r>
    </w:p>
    <w:p w14:paraId="165A5914">
      <w:pPr>
        <w:spacing w:line="360" w:lineRule="auto"/>
        <w:ind w:firstLine="420" w:firstLineChars="200"/>
        <w:rPr>
          <w:rFonts w:ascii="宋体" w:hAnsi="宋体"/>
          <w:color w:val="auto"/>
          <w:szCs w:val="21"/>
          <w:lang w:eastAsia="zh-TW"/>
        </w:rPr>
      </w:pPr>
      <w:r>
        <w:rPr>
          <w:rFonts w:hint="eastAsia" w:ascii="宋体" w:hAnsi="宋体"/>
          <w:color w:val="auto"/>
          <w:szCs w:val="21"/>
        </w:rPr>
        <w:t>本公司</w:t>
      </w:r>
      <w:r>
        <w:rPr>
          <w:rFonts w:ascii="宋体" w:hAnsi="宋体"/>
          <w:color w:val="auto"/>
          <w:szCs w:val="21"/>
          <w:u w:val="single"/>
        </w:rPr>
        <w:t>(</w:t>
      </w:r>
      <w:r>
        <w:rPr>
          <w:rFonts w:hint="eastAsia" w:ascii="宋体" w:hAnsi="宋体"/>
          <w:color w:val="auto"/>
          <w:szCs w:val="21"/>
          <w:u w:val="single"/>
        </w:rPr>
        <w:t>响应供应商</w:t>
      </w:r>
      <w:r>
        <w:rPr>
          <w:rFonts w:ascii="宋体" w:hAnsi="宋体"/>
          <w:color w:val="auto"/>
          <w:szCs w:val="21"/>
          <w:u w:val="single"/>
        </w:rPr>
        <w:t>名称)</w:t>
      </w:r>
      <w:r>
        <w:rPr>
          <w:rFonts w:ascii="宋体" w:hAnsi="宋体"/>
          <w:color w:val="auto"/>
          <w:szCs w:val="21"/>
        </w:rPr>
        <w:t>在参加在贵公司举行的</w:t>
      </w:r>
      <w:r>
        <w:rPr>
          <w:rFonts w:hint="eastAsia" w:ascii="宋体" w:hAnsi="宋体"/>
          <w:color w:val="auto"/>
          <w:szCs w:val="21"/>
          <w:u w:val="single"/>
          <w:lang w:eastAsia="zh-CN"/>
        </w:rPr>
        <w:t>2024年广州市南沙政务服务公众考核满意度调查项目</w:t>
      </w:r>
      <w:r>
        <w:rPr>
          <w:rFonts w:ascii="宋体" w:hAnsi="宋体"/>
          <w:color w:val="auto"/>
          <w:szCs w:val="21"/>
        </w:rPr>
        <w:t>(</w:t>
      </w:r>
      <w:r>
        <w:rPr>
          <w:rFonts w:hint="eastAsia"/>
          <w:color w:val="auto"/>
          <w:szCs w:val="21"/>
        </w:rPr>
        <w:t>项目编号：</w:t>
      </w:r>
      <w:r>
        <w:rPr>
          <w:rFonts w:hint="eastAsia" w:ascii="宋体" w:hAnsi="宋体"/>
          <w:color w:val="auto"/>
          <w:szCs w:val="21"/>
          <w:u w:val="single"/>
          <w:lang w:eastAsia="zh-CN"/>
        </w:rPr>
        <w:t>GDWCFFC2312121</w:t>
      </w:r>
      <w:r>
        <w:rPr>
          <w:rFonts w:ascii="宋体" w:hAnsi="宋体"/>
          <w:color w:val="auto"/>
          <w:szCs w:val="21"/>
        </w:rPr>
        <w:t>)的招标中如获成交，</w:t>
      </w:r>
      <w:r>
        <w:rPr>
          <w:rFonts w:hint="eastAsia" w:ascii="宋体" w:cs="宋体"/>
          <w:color w:val="auto"/>
          <w:szCs w:val="21"/>
        </w:rPr>
        <w:t>我公司保</w:t>
      </w:r>
      <w:r>
        <w:rPr>
          <w:rFonts w:hint="cs" w:ascii="宋体" w:cs="宋体"/>
          <w:color w:val="auto"/>
          <w:szCs w:val="21"/>
        </w:rPr>
        <w:t>证</w:t>
      </w:r>
      <w:r>
        <w:rPr>
          <w:rFonts w:hint="eastAsia" w:ascii="宋体" w:cs="宋体"/>
          <w:color w:val="auto"/>
          <w:szCs w:val="21"/>
        </w:rPr>
        <w:t>按照</w:t>
      </w:r>
      <w:r>
        <w:rPr>
          <w:rFonts w:hint="cs" w:ascii="宋体" w:cs="宋体"/>
          <w:color w:val="auto"/>
          <w:szCs w:val="21"/>
        </w:rPr>
        <w:t>竞争</w:t>
      </w:r>
      <w:r>
        <w:rPr>
          <w:rFonts w:hint="eastAsia" w:ascii="宋体" w:cs="宋体"/>
          <w:color w:val="auto"/>
          <w:szCs w:val="21"/>
        </w:rPr>
        <w:t>性磋商文件</w:t>
      </w:r>
      <w:r>
        <w:rPr>
          <w:rFonts w:hint="cs" w:ascii="宋体" w:cs="宋体"/>
          <w:color w:val="auto"/>
          <w:szCs w:val="21"/>
        </w:rPr>
        <w:t>规</w:t>
      </w:r>
      <w:r>
        <w:rPr>
          <w:rFonts w:hint="eastAsia" w:ascii="宋体" w:cs="宋体"/>
          <w:color w:val="auto"/>
          <w:szCs w:val="21"/>
        </w:rPr>
        <w:t>定</w:t>
      </w:r>
      <w:r>
        <w:rPr>
          <w:rFonts w:hint="cs" w:ascii="宋体" w:cs="宋体"/>
          <w:color w:val="auto"/>
          <w:szCs w:val="21"/>
        </w:rPr>
        <w:t>缴纳</w:t>
      </w:r>
      <w:r>
        <w:rPr>
          <w:rFonts w:ascii="宋体" w:cs="宋体"/>
          <w:color w:val="auto"/>
          <w:szCs w:val="21"/>
        </w:rPr>
        <w:t>"</w:t>
      </w:r>
      <w:r>
        <w:rPr>
          <w:rFonts w:hint="eastAsia" w:ascii="宋体" w:cs="宋体"/>
          <w:color w:val="auto"/>
          <w:szCs w:val="21"/>
        </w:rPr>
        <w:t>招</w:t>
      </w:r>
      <w:r>
        <w:rPr>
          <w:rFonts w:hint="cs" w:ascii="宋体" w:cs="宋体"/>
          <w:color w:val="auto"/>
          <w:szCs w:val="21"/>
        </w:rPr>
        <w:t>标</w:t>
      </w:r>
      <w:r>
        <w:rPr>
          <w:rFonts w:hint="eastAsia" w:ascii="宋体" w:cs="宋体"/>
          <w:color w:val="auto"/>
          <w:szCs w:val="21"/>
        </w:rPr>
        <w:t>代理服</w:t>
      </w:r>
      <w:r>
        <w:rPr>
          <w:rFonts w:hint="cs" w:ascii="宋体" w:cs="宋体"/>
          <w:color w:val="auto"/>
          <w:szCs w:val="21"/>
        </w:rPr>
        <w:t>务费</w:t>
      </w:r>
      <w:r>
        <w:rPr>
          <w:rFonts w:ascii="宋体" w:cs="宋体"/>
          <w:color w:val="auto"/>
          <w:szCs w:val="21"/>
        </w:rPr>
        <w:t>"</w:t>
      </w:r>
      <w:r>
        <w:rPr>
          <w:rFonts w:hint="eastAsia" w:ascii="宋体" w:cs="宋体"/>
          <w:color w:val="auto"/>
          <w:szCs w:val="21"/>
        </w:rPr>
        <w:t>后，</w:t>
      </w:r>
      <w:r>
        <w:rPr>
          <w:rFonts w:hint="cs" w:ascii="宋体" w:cs="宋体"/>
          <w:color w:val="auto"/>
          <w:szCs w:val="21"/>
        </w:rPr>
        <w:t>凭领</w:t>
      </w:r>
      <w:r>
        <w:rPr>
          <w:rFonts w:hint="eastAsia" w:ascii="宋体" w:cs="宋体"/>
          <w:color w:val="auto"/>
          <w:szCs w:val="21"/>
        </w:rPr>
        <w:t>取人身份</w:t>
      </w:r>
      <w:r>
        <w:rPr>
          <w:rFonts w:hint="cs" w:ascii="宋体" w:cs="宋体"/>
          <w:color w:val="auto"/>
          <w:szCs w:val="21"/>
        </w:rPr>
        <w:t>证</w:t>
      </w:r>
      <w:r>
        <w:rPr>
          <w:rFonts w:hint="eastAsia" w:ascii="宋体" w:cs="宋体"/>
          <w:color w:val="auto"/>
          <w:szCs w:val="21"/>
        </w:rPr>
        <w:t>复印件并加</w:t>
      </w:r>
      <w:r>
        <w:rPr>
          <w:rFonts w:hint="cs" w:ascii="宋体" w:cs="宋体"/>
          <w:color w:val="auto"/>
          <w:szCs w:val="21"/>
        </w:rPr>
        <w:t>盖</w:t>
      </w:r>
      <w:r>
        <w:rPr>
          <w:rFonts w:hint="eastAsia" w:ascii="宋体" w:cs="宋体"/>
          <w:color w:val="auto"/>
          <w:szCs w:val="21"/>
        </w:rPr>
        <w:t>公章</w:t>
      </w:r>
      <w:r>
        <w:rPr>
          <w:rFonts w:hint="cs" w:ascii="宋体" w:cs="宋体"/>
          <w:color w:val="auto"/>
          <w:szCs w:val="21"/>
        </w:rPr>
        <w:t>领</w:t>
      </w:r>
      <w:r>
        <w:rPr>
          <w:rFonts w:hint="eastAsia" w:ascii="宋体" w:cs="宋体"/>
          <w:color w:val="auto"/>
          <w:szCs w:val="21"/>
        </w:rPr>
        <w:t>取《成交通知</w:t>
      </w:r>
      <w:r>
        <w:rPr>
          <w:rFonts w:hint="cs" w:ascii="宋体" w:cs="宋体"/>
          <w:color w:val="auto"/>
          <w:szCs w:val="21"/>
        </w:rPr>
        <w:t>书</w:t>
      </w:r>
      <w:r>
        <w:rPr>
          <w:rFonts w:hint="eastAsia" w:ascii="宋体" w:cs="宋体"/>
          <w:color w:val="auto"/>
          <w:szCs w:val="21"/>
        </w:rPr>
        <w:t>》。如采用</w:t>
      </w:r>
      <w:r>
        <w:rPr>
          <w:rFonts w:hint="cs" w:ascii="宋体" w:cs="宋体"/>
          <w:color w:val="auto"/>
          <w:szCs w:val="21"/>
        </w:rPr>
        <w:t>银</w:t>
      </w:r>
      <w:r>
        <w:rPr>
          <w:rFonts w:hint="eastAsia" w:ascii="宋体" w:cs="宋体"/>
          <w:color w:val="auto"/>
          <w:szCs w:val="21"/>
        </w:rPr>
        <w:t>行</w:t>
      </w:r>
      <w:r>
        <w:rPr>
          <w:rFonts w:hint="cs" w:ascii="宋体" w:cs="宋体"/>
          <w:color w:val="auto"/>
          <w:szCs w:val="21"/>
        </w:rPr>
        <w:t>转账</w:t>
      </w:r>
      <w:r>
        <w:rPr>
          <w:rFonts w:hint="eastAsia" w:ascii="宋体" w:cs="宋体"/>
          <w:color w:val="auto"/>
          <w:szCs w:val="21"/>
        </w:rPr>
        <w:t>或</w:t>
      </w:r>
      <w:r>
        <w:rPr>
          <w:rFonts w:hint="cs" w:ascii="宋体" w:cs="宋体"/>
          <w:color w:val="auto"/>
          <w:szCs w:val="21"/>
        </w:rPr>
        <w:t>银</w:t>
      </w:r>
      <w:r>
        <w:rPr>
          <w:rFonts w:hint="eastAsia" w:ascii="宋体" w:cs="宋体"/>
          <w:color w:val="auto"/>
          <w:szCs w:val="21"/>
        </w:rPr>
        <w:t>行</w:t>
      </w:r>
      <w:r>
        <w:rPr>
          <w:rFonts w:hint="cs" w:ascii="宋体" w:cs="宋体"/>
          <w:color w:val="auto"/>
          <w:szCs w:val="21"/>
        </w:rPr>
        <w:t>转账</w:t>
      </w:r>
      <w:r>
        <w:rPr>
          <w:rFonts w:hint="eastAsia" w:ascii="宋体" w:cs="宋体"/>
          <w:color w:val="auto"/>
          <w:szCs w:val="21"/>
        </w:rPr>
        <w:t>，我司</w:t>
      </w:r>
      <w:r>
        <w:rPr>
          <w:rFonts w:hint="cs" w:ascii="宋体" w:cs="宋体"/>
          <w:color w:val="auto"/>
          <w:szCs w:val="21"/>
        </w:rPr>
        <w:t>将</w:t>
      </w:r>
      <w:r>
        <w:rPr>
          <w:rFonts w:hint="eastAsia" w:ascii="宋体" w:cs="宋体"/>
          <w:color w:val="auto"/>
          <w:szCs w:val="21"/>
        </w:rPr>
        <w:t>同</w:t>
      </w:r>
      <w:r>
        <w:rPr>
          <w:rFonts w:hint="cs" w:ascii="宋体" w:cs="宋体"/>
          <w:color w:val="auto"/>
          <w:szCs w:val="21"/>
        </w:rPr>
        <w:t>时递</w:t>
      </w:r>
      <w:r>
        <w:rPr>
          <w:rFonts w:hint="eastAsia" w:ascii="宋体" w:cs="宋体"/>
          <w:color w:val="auto"/>
          <w:szCs w:val="21"/>
        </w:rPr>
        <w:t>交招</w:t>
      </w:r>
      <w:r>
        <w:rPr>
          <w:rFonts w:hint="cs" w:ascii="宋体" w:cs="宋体"/>
          <w:color w:val="auto"/>
          <w:szCs w:val="21"/>
        </w:rPr>
        <w:t>标</w:t>
      </w:r>
      <w:r>
        <w:rPr>
          <w:rFonts w:hint="eastAsia" w:ascii="宋体" w:cs="宋体"/>
          <w:color w:val="auto"/>
          <w:szCs w:val="21"/>
        </w:rPr>
        <w:t>代理服</w:t>
      </w:r>
      <w:r>
        <w:rPr>
          <w:rFonts w:hint="cs" w:ascii="宋体" w:cs="宋体"/>
          <w:color w:val="auto"/>
          <w:szCs w:val="21"/>
        </w:rPr>
        <w:t>务费缴费凭证</w:t>
      </w:r>
      <w:r>
        <w:rPr>
          <w:rFonts w:hint="eastAsia" w:ascii="宋体" w:cs="宋体"/>
          <w:color w:val="auto"/>
          <w:szCs w:val="21"/>
        </w:rPr>
        <w:t>复印件并加</w:t>
      </w:r>
      <w:r>
        <w:rPr>
          <w:rFonts w:hint="cs" w:ascii="宋体" w:cs="宋体"/>
          <w:color w:val="auto"/>
          <w:szCs w:val="21"/>
        </w:rPr>
        <w:t>盖</w:t>
      </w:r>
      <w:r>
        <w:rPr>
          <w:rFonts w:hint="eastAsia" w:ascii="宋体" w:cs="宋体"/>
          <w:color w:val="auto"/>
          <w:szCs w:val="21"/>
        </w:rPr>
        <w:t>公章。</w:t>
      </w:r>
    </w:p>
    <w:p w14:paraId="12B3527C">
      <w:pPr>
        <w:spacing w:line="360" w:lineRule="auto"/>
        <w:ind w:firstLine="420" w:firstLineChars="200"/>
        <w:rPr>
          <w:rFonts w:ascii="宋体" w:hAnsi="宋体"/>
          <w:color w:val="auto"/>
          <w:szCs w:val="21"/>
          <w:lang w:eastAsia="zh-TW"/>
        </w:rPr>
      </w:pPr>
      <w:r>
        <w:rPr>
          <w:rFonts w:ascii="宋体" w:hAnsi="宋体"/>
          <w:color w:val="auto"/>
          <w:szCs w:val="21"/>
        </w:rPr>
        <w:t>如我方违反上款承诺，愿凭贵公司开出的相关通知，并愿承担全部由此引起的法律责任。</w:t>
      </w:r>
    </w:p>
    <w:p w14:paraId="04B49F42">
      <w:pPr>
        <w:spacing w:line="360" w:lineRule="auto"/>
        <w:ind w:firstLine="420" w:firstLineChars="200"/>
        <w:rPr>
          <w:rFonts w:ascii="宋体" w:hAnsi="宋体"/>
          <w:color w:val="auto"/>
          <w:szCs w:val="21"/>
        </w:rPr>
      </w:pPr>
      <w:r>
        <w:rPr>
          <w:rFonts w:ascii="宋体" w:hAnsi="宋体"/>
          <w:color w:val="auto"/>
          <w:szCs w:val="21"/>
        </w:rPr>
        <w:t>特此承诺!</w:t>
      </w:r>
    </w:p>
    <w:p w14:paraId="1828C0B8">
      <w:pPr>
        <w:spacing w:line="360" w:lineRule="auto"/>
        <w:ind w:left="315"/>
        <w:rPr>
          <w:rFonts w:ascii="宋体" w:hAnsi="宋体"/>
          <w:color w:val="auto"/>
          <w:szCs w:val="21"/>
        </w:rPr>
      </w:pPr>
    </w:p>
    <w:p w14:paraId="7E7A4059">
      <w:pPr>
        <w:spacing w:line="360" w:lineRule="auto"/>
        <w:rPr>
          <w:rFonts w:ascii="宋体" w:hAnsi="宋体"/>
          <w:color w:val="auto"/>
          <w:szCs w:val="21"/>
          <w:u w:val="single"/>
        </w:rPr>
      </w:pPr>
      <w:r>
        <w:rPr>
          <w:rFonts w:hint="eastAsia" w:ascii="宋体" w:hAnsi="宋体"/>
          <w:color w:val="auto"/>
          <w:spacing w:val="4"/>
          <w:szCs w:val="21"/>
        </w:rPr>
        <w:t>响应供应商</w:t>
      </w:r>
      <w:r>
        <w:rPr>
          <w:rFonts w:ascii="宋体" w:hAnsi="宋体"/>
          <w:color w:val="auto"/>
          <w:spacing w:val="4"/>
          <w:szCs w:val="21"/>
        </w:rPr>
        <w:t>名称（盖公章）：</w:t>
      </w:r>
    </w:p>
    <w:p w14:paraId="54E23C1C">
      <w:pPr>
        <w:spacing w:line="360" w:lineRule="auto"/>
        <w:rPr>
          <w:rFonts w:ascii="宋体" w:hAnsi="宋体"/>
          <w:color w:val="auto"/>
          <w:spacing w:val="4"/>
          <w:szCs w:val="21"/>
        </w:rPr>
      </w:pPr>
      <w:r>
        <w:rPr>
          <w:rFonts w:ascii="宋体" w:hAnsi="宋体"/>
          <w:color w:val="auto"/>
          <w:szCs w:val="21"/>
        </w:rPr>
        <w:t>法定代表人或授权代表（签名或盖章）：</w:t>
      </w:r>
    </w:p>
    <w:p w14:paraId="7EBB0E09">
      <w:pPr>
        <w:spacing w:line="360" w:lineRule="auto"/>
        <w:rPr>
          <w:rFonts w:ascii="宋体" w:hAnsi="宋体"/>
          <w:color w:val="auto"/>
          <w:spacing w:val="4"/>
          <w:szCs w:val="21"/>
          <w:u w:val="single"/>
        </w:rPr>
      </w:pPr>
      <w:r>
        <w:rPr>
          <w:rFonts w:hint="eastAsia" w:ascii="宋体" w:hAnsi="宋体"/>
          <w:color w:val="auto"/>
          <w:spacing w:val="4"/>
          <w:szCs w:val="21"/>
        </w:rPr>
        <w:t>日</w:t>
      </w:r>
      <w:r>
        <w:rPr>
          <w:rFonts w:ascii="宋体" w:hAnsi="宋体"/>
          <w:color w:val="auto"/>
          <w:spacing w:val="4"/>
          <w:szCs w:val="21"/>
        </w:rPr>
        <w:t xml:space="preserve"> </w:t>
      </w:r>
      <w:r>
        <w:rPr>
          <w:rFonts w:hint="eastAsia" w:ascii="宋体" w:hAnsi="宋体"/>
          <w:color w:val="auto"/>
          <w:spacing w:val="4"/>
          <w:szCs w:val="21"/>
        </w:rPr>
        <w:t>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14:paraId="778FADAE">
      <w:pPr>
        <w:spacing w:line="360" w:lineRule="auto"/>
        <w:ind w:firstLine="420" w:firstLineChars="200"/>
        <w:rPr>
          <w:rFonts w:hAnsi="宋体"/>
          <w:bCs/>
          <w:color w:val="auto"/>
          <w:szCs w:val="21"/>
        </w:rPr>
      </w:pPr>
      <w:r>
        <w:rPr>
          <w:rFonts w:hAnsi="宋体"/>
          <w:color w:val="auto"/>
          <w:szCs w:val="21"/>
        </w:rPr>
        <w:br w:type="page"/>
      </w:r>
      <w:bookmarkStart w:id="295" w:name="_Toc488303961"/>
      <w:bookmarkStart w:id="296" w:name="_Toc28338020"/>
    </w:p>
    <w:p w14:paraId="044F39CB">
      <w:pPr>
        <w:pStyle w:val="3"/>
        <w:ind w:firstLine="0"/>
        <w:jc w:val="left"/>
        <w:rPr>
          <w:b w:val="0"/>
          <w:color w:val="auto"/>
          <w:szCs w:val="28"/>
        </w:rPr>
      </w:pPr>
      <w:bookmarkStart w:id="297" w:name="_Toc18173"/>
      <w:bookmarkStart w:id="298" w:name="_Toc16443"/>
      <w:r>
        <w:rPr>
          <w:rFonts w:hint="eastAsia" w:hAnsi="宋体"/>
          <w:bCs/>
          <w:color w:val="auto"/>
          <w:sz w:val="21"/>
          <w:szCs w:val="21"/>
        </w:rPr>
        <w:t>格式8</w:t>
      </w:r>
      <w:r>
        <w:rPr>
          <w:rFonts w:hAnsi="宋体"/>
          <w:bCs/>
          <w:color w:val="auto"/>
          <w:sz w:val="21"/>
          <w:szCs w:val="21"/>
        </w:rPr>
        <w:t xml:space="preserve"> 中小企业声明函（如需）</w:t>
      </w:r>
      <w:bookmarkEnd w:id="297"/>
      <w:bookmarkEnd w:id="298"/>
    </w:p>
    <w:p w14:paraId="0BEA2F5E">
      <w:pPr>
        <w:spacing w:line="360" w:lineRule="auto"/>
        <w:rPr>
          <w:rFonts w:ascii="宋体" w:hAnsi="宋体"/>
          <w:b/>
          <w:bCs/>
          <w:color w:val="auto"/>
          <w:spacing w:val="6"/>
          <w:szCs w:val="21"/>
        </w:rPr>
      </w:pPr>
    </w:p>
    <w:p w14:paraId="3CB57337">
      <w:pPr>
        <w:spacing w:line="360" w:lineRule="auto"/>
        <w:jc w:val="center"/>
        <w:rPr>
          <w:rFonts w:ascii="宋体" w:hAnsi="宋体"/>
          <w:b/>
          <w:color w:val="auto"/>
          <w:spacing w:val="20"/>
          <w:sz w:val="28"/>
          <w:szCs w:val="28"/>
          <w:highlight w:val="none"/>
        </w:rPr>
      </w:pPr>
      <w:r>
        <w:rPr>
          <w:rFonts w:ascii="宋体" w:hAnsi="宋体"/>
          <w:b/>
          <w:color w:val="auto"/>
          <w:spacing w:val="20"/>
          <w:sz w:val="28"/>
          <w:szCs w:val="28"/>
          <w:highlight w:val="none"/>
        </w:rPr>
        <w:t>中小企业声明函（工程、服务）</w:t>
      </w:r>
    </w:p>
    <w:p w14:paraId="690E977B">
      <w:pPr>
        <w:rPr>
          <w:color w:val="auto"/>
          <w:highlight w:val="none"/>
        </w:rPr>
      </w:pPr>
    </w:p>
    <w:p w14:paraId="70193144">
      <w:pPr>
        <w:spacing w:line="360" w:lineRule="auto"/>
        <w:ind w:firstLine="444" w:firstLineChars="200"/>
        <w:rPr>
          <w:rFonts w:ascii="宋体" w:hAnsi="宋体"/>
          <w:color w:val="auto"/>
          <w:spacing w:val="6"/>
          <w:szCs w:val="21"/>
          <w:highlight w:val="none"/>
          <w:lang w:eastAsia="zh-TW"/>
        </w:rPr>
      </w:pPr>
      <w:r>
        <w:rPr>
          <w:rFonts w:ascii="宋体" w:hAnsi="宋体"/>
          <w:color w:val="auto"/>
          <w:spacing w:val="6"/>
          <w:szCs w:val="21"/>
          <w:highlight w:val="none"/>
        </w:rPr>
        <w:t>本公司（联合体）郑重声明，</w:t>
      </w:r>
      <w:r>
        <w:rPr>
          <w:rFonts w:hint="eastAsia" w:ascii="宋体" w:hAnsi="宋体"/>
          <w:color w:val="auto"/>
          <w:spacing w:val="6"/>
          <w:szCs w:val="21"/>
          <w:highlight w:val="none"/>
        </w:rPr>
        <w:t>参考</w:t>
      </w:r>
      <w:r>
        <w:rPr>
          <w:rFonts w:ascii="宋体" w:hAnsi="宋体"/>
          <w:color w:val="auto"/>
          <w:spacing w:val="6"/>
          <w:szCs w:val="21"/>
          <w:highlight w:val="none"/>
        </w:rPr>
        <w:t>《政府采购促进中小企业发展管理办法》（财库﹝2020</w:t>
      </w:r>
      <w:r>
        <w:rPr>
          <w:rFonts w:hint="eastAsia" w:ascii="宋体" w:hAnsi="宋体"/>
          <w:color w:val="auto"/>
          <w:spacing w:val="6"/>
          <w:szCs w:val="21"/>
          <w:highlight w:val="none"/>
        </w:rPr>
        <w:t>﹞</w:t>
      </w:r>
      <w:r>
        <w:rPr>
          <w:rFonts w:ascii="宋体" w:hAnsi="宋体"/>
          <w:color w:val="auto"/>
          <w:spacing w:val="6"/>
          <w:szCs w:val="21"/>
          <w:highlight w:val="none"/>
        </w:rPr>
        <w:t>46 号）的规定，本公司（联合体）参加</w:t>
      </w:r>
      <w:r>
        <w:rPr>
          <w:rFonts w:ascii="宋体" w:hAnsi="宋体"/>
          <w:color w:val="auto"/>
          <w:spacing w:val="6"/>
          <w:szCs w:val="21"/>
          <w:highlight w:val="none"/>
          <w:u w:val="single"/>
        </w:rPr>
        <w:t>（单位名称）</w:t>
      </w:r>
      <w:r>
        <w:rPr>
          <w:rFonts w:hint="eastAsia" w:ascii="宋体" w:hAnsi="宋体"/>
          <w:color w:val="auto"/>
          <w:spacing w:val="6"/>
          <w:szCs w:val="21"/>
          <w:highlight w:val="none"/>
        </w:rPr>
        <w:t>的</w:t>
      </w:r>
      <w:r>
        <w:rPr>
          <w:rFonts w:ascii="宋体" w:hAnsi="宋体"/>
          <w:color w:val="auto"/>
          <w:spacing w:val="6"/>
          <w:szCs w:val="21"/>
          <w:highlight w:val="none"/>
          <w:u w:val="single"/>
        </w:rPr>
        <w:t>（项目名称）</w:t>
      </w:r>
      <w:r>
        <w:rPr>
          <w:rFonts w:ascii="宋体" w:hAnsi="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EDE807">
      <w:pPr>
        <w:spacing w:line="360" w:lineRule="auto"/>
        <w:ind w:firstLine="444" w:firstLineChars="200"/>
        <w:rPr>
          <w:rFonts w:ascii="宋体" w:hAnsi="宋体"/>
          <w:color w:val="auto"/>
          <w:spacing w:val="6"/>
          <w:szCs w:val="21"/>
          <w:highlight w:val="none"/>
          <w:lang w:eastAsia="zh-TW"/>
        </w:rPr>
      </w:pPr>
      <w:r>
        <w:rPr>
          <w:rFonts w:ascii="宋体" w:hAnsi="宋体"/>
          <w:color w:val="auto"/>
          <w:spacing w:val="6"/>
          <w:szCs w:val="21"/>
          <w:highlight w:val="none"/>
        </w:rPr>
        <w:t>1.</w:t>
      </w: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rPr>
        <w:t>标的</w:t>
      </w:r>
      <w:r>
        <w:rPr>
          <w:rFonts w:ascii="宋体" w:hAnsi="宋体"/>
          <w:color w:val="auto"/>
          <w:spacing w:val="6"/>
          <w:szCs w:val="21"/>
          <w:highlight w:val="none"/>
          <w:u w:val="single"/>
        </w:rPr>
        <w:t xml:space="preserve">名称） </w:t>
      </w:r>
      <w:r>
        <w:rPr>
          <w:rFonts w:ascii="宋体" w:hAnsi="宋体"/>
          <w:color w:val="auto"/>
          <w:spacing w:val="6"/>
          <w:szCs w:val="21"/>
          <w:highlight w:val="none"/>
        </w:rPr>
        <w:t>，属于</w:t>
      </w:r>
      <w:r>
        <w:rPr>
          <w:rFonts w:ascii="宋体" w:hAnsi="宋体"/>
          <w:color w:val="auto"/>
          <w:spacing w:val="6"/>
          <w:szCs w:val="21"/>
          <w:highlight w:val="none"/>
          <w:u w:val="single"/>
        </w:rPr>
        <w:t>（租赁和商务服务业）</w:t>
      </w:r>
      <w:r>
        <w:rPr>
          <w:rFonts w:hint="eastAsia" w:ascii="宋体" w:hAnsi="宋体"/>
          <w:color w:val="auto"/>
          <w:spacing w:val="6"/>
          <w:szCs w:val="21"/>
          <w:highlight w:val="none"/>
        </w:rPr>
        <w:t>；</w:t>
      </w:r>
      <w:r>
        <w:rPr>
          <w:rFonts w:ascii="宋体" w:hAnsi="宋体"/>
          <w:color w:val="auto"/>
          <w:spacing w:val="6"/>
          <w:szCs w:val="21"/>
          <w:highlight w:val="none"/>
        </w:rPr>
        <w:t>承建（承接）企业为</w:t>
      </w:r>
      <w:r>
        <w:rPr>
          <w:rFonts w:ascii="宋体" w:hAnsi="宋体"/>
          <w:color w:val="auto"/>
          <w:spacing w:val="6"/>
          <w:szCs w:val="21"/>
          <w:highlight w:val="none"/>
          <w:u w:val="single"/>
        </w:rPr>
        <w:t>（企业名称）</w:t>
      </w:r>
      <w:r>
        <w:rPr>
          <w:rFonts w:ascii="宋体" w:hAnsi="宋体"/>
          <w:color w:val="auto"/>
          <w:spacing w:val="6"/>
          <w:szCs w:val="21"/>
          <w:highlight w:val="none"/>
        </w:rPr>
        <w:t>，从业人员</w:t>
      </w:r>
      <w:r>
        <w:rPr>
          <w:rFonts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r>
        <w:rPr>
          <w:rFonts w:hint="eastAsia" w:ascii="宋体" w:hAnsi="宋体"/>
          <w:color w:val="auto"/>
          <w:spacing w:val="6"/>
          <w:szCs w:val="21"/>
          <w:highlight w:val="none"/>
        </w:rPr>
        <w:t>；</w:t>
      </w:r>
    </w:p>
    <w:p w14:paraId="11E93149">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2.</w:t>
      </w: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rPr>
        <w:t>标的</w:t>
      </w:r>
      <w:r>
        <w:rPr>
          <w:rFonts w:ascii="宋体" w:hAnsi="宋体"/>
          <w:color w:val="auto"/>
          <w:spacing w:val="6"/>
          <w:szCs w:val="21"/>
          <w:highlight w:val="none"/>
          <w:u w:val="single"/>
        </w:rPr>
        <w:t xml:space="preserve">名称） </w:t>
      </w:r>
      <w:r>
        <w:rPr>
          <w:rFonts w:ascii="宋体" w:hAnsi="宋体"/>
          <w:color w:val="auto"/>
          <w:spacing w:val="6"/>
          <w:szCs w:val="21"/>
          <w:highlight w:val="none"/>
        </w:rPr>
        <w:t>，属于</w:t>
      </w:r>
      <w:r>
        <w:rPr>
          <w:rFonts w:ascii="宋体" w:hAnsi="宋体"/>
          <w:color w:val="auto"/>
          <w:spacing w:val="6"/>
          <w:szCs w:val="21"/>
          <w:highlight w:val="none"/>
          <w:u w:val="single"/>
        </w:rPr>
        <w:t>（租赁和商务服务业）</w:t>
      </w:r>
      <w:r>
        <w:rPr>
          <w:rFonts w:hint="eastAsia" w:ascii="宋体" w:hAnsi="宋体"/>
          <w:color w:val="auto"/>
          <w:spacing w:val="6"/>
          <w:szCs w:val="21"/>
          <w:highlight w:val="none"/>
        </w:rPr>
        <w:t>；</w:t>
      </w:r>
      <w:r>
        <w:rPr>
          <w:rFonts w:ascii="宋体" w:hAnsi="宋体"/>
          <w:color w:val="auto"/>
          <w:spacing w:val="6"/>
          <w:szCs w:val="21"/>
          <w:highlight w:val="none"/>
        </w:rPr>
        <w:t>承建（承接）企业为</w:t>
      </w:r>
      <w:r>
        <w:rPr>
          <w:rFonts w:ascii="宋体" w:hAnsi="宋体"/>
          <w:color w:val="auto"/>
          <w:spacing w:val="6"/>
          <w:szCs w:val="21"/>
          <w:highlight w:val="none"/>
          <w:u w:val="single"/>
        </w:rPr>
        <w:t>（企业名称）</w:t>
      </w:r>
      <w:r>
        <w:rPr>
          <w:rFonts w:ascii="宋体" w:hAnsi="宋体"/>
          <w:color w:val="auto"/>
          <w:spacing w:val="6"/>
          <w:szCs w:val="21"/>
          <w:highlight w:val="none"/>
        </w:rPr>
        <w:t>，从业人员</w:t>
      </w:r>
      <w:r>
        <w:rPr>
          <w:rFonts w:ascii="宋体" w:hAnsi="宋体"/>
          <w:color w:val="auto"/>
          <w:spacing w:val="6"/>
          <w:szCs w:val="21"/>
          <w:highlight w:val="none"/>
          <w:u w:val="single"/>
        </w:rPr>
        <w:t xml:space="preserve">    </w:t>
      </w:r>
      <w:r>
        <w:rPr>
          <w:rFonts w:ascii="宋体" w:hAnsi="宋体"/>
          <w:color w:val="auto"/>
          <w:spacing w:val="6"/>
          <w:szCs w:val="21"/>
          <w:highlight w:val="none"/>
        </w:rPr>
        <w:t>人，营业收入为</w:t>
      </w:r>
      <w:r>
        <w:rPr>
          <w:rFonts w:ascii="宋体" w:hAnsi="宋体"/>
          <w:color w:val="auto"/>
          <w:spacing w:val="6"/>
          <w:szCs w:val="21"/>
          <w:highlight w:val="none"/>
          <w:u w:val="single"/>
        </w:rPr>
        <w:t xml:space="preserve">    </w:t>
      </w:r>
      <w:r>
        <w:rPr>
          <w:rFonts w:ascii="宋体" w:hAnsi="宋体"/>
          <w:color w:val="auto"/>
          <w:spacing w:val="6"/>
          <w:szCs w:val="21"/>
          <w:highlight w:val="none"/>
        </w:rPr>
        <w:t>万元，资产总额为</w:t>
      </w:r>
      <w:r>
        <w:rPr>
          <w:rFonts w:ascii="宋体" w:hAnsi="宋体"/>
          <w:color w:val="auto"/>
          <w:spacing w:val="6"/>
          <w:szCs w:val="21"/>
          <w:highlight w:val="none"/>
          <w:u w:val="single"/>
        </w:rPr>
        <w:t xml:space="preserve">    </w:t>
      </w:r>
      <w:r>
        <w:rPr>
          <w:rFonts w:ascii="宋体" w:hAnsi="宋体"/>
          <w:color w:val="auto"/>
          <w:spacing w:val="6"/>
          <w:szCs w:val="21"/>
          <w:highlight w:val="none"/>
        </w:rPr>
        <w:t>万元，属于</w:t>
      </w:r>
      <w:r>
        <w:rPr>
          <w:rFonts w:ascii="宋体" w:hAnsi="宋体"/>
          <w:color w:val="auto"/>
          <w:spacing w:val="6"/>
          <w:szCs w:val="21"/>
          <w:highlight w:val="none"/>
          <w:u w:val="single"/>
        </w:rPr>
        <w:t>（中型企业、小型企业、微型企业）；</w:t>
      </w:r>
    </w:p>
    <w:p w14:paraId="519E751E">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w:t>
      </w:r>
    </w:p>
    <w:p w14:paraId="65910F6F">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以上企业，不属于大企业的分支机构，不存在控股股东为大企业的情形，也不存在与大企业的负责人为同一人的情形。</w:t>
      </w:r>
    </w:p>
    <w:p w14:paraId="36610D37">
      <w:pPr>
        <w:spacing w:line="360" w:lineRule="auto"/>
        <w:ind w:firstLine="444" w:firstLineChars="200"/>
        <w:rPr>
          <w:rFonts w:ascii="宋体" w:hAnsi="宋体"/>
          <w:color w:val="auto"/>
          <w:spacing w:val="6"/>
          <w:szCs w:val="21"/>
          <w:highlight w:val="none"/>
        </w:rPr>
      </w:pPr>
      <w:r>
        <w:rPr>
          <w:rFonts w:ascii="宋体" w:hAnsi="宋体"/>
          <w:color w:val="auto"/>
          <w:spacing w:val="6"/>
          <w:szCs w:val="21"/>
          <w:highlight w:val="none"/>
        </w:rPr>
        <w:t>本企业对上述声明内容的真实性负责。如有虚假，将依法承担相应责任。</w:t>
      </w:r>
    </w:p>
    <w:p w14:paraId="688CDA1F">
      <w:pPr>
        <w:tabs>
          <w:tab w:val="left" w:pos="676"/>
          <w:tab w:val="left" w:pos="2330"/>
          <w:tab w:val="left" w:pos="9230"/>
        </w:tabs>
        <w:spacing w:before="120" w:line="360" w:lineRule="auto"/>
        <w:ind w:left="4678" w:leftChars="203" w:hanging="4252" w:hangingChars="2025"/>
        <w:rPr>
          <w:rFonts w:ascii="宋体" w:hAnsi="宋体"/>
          <w:color w:val="auto"/>
          <w:szCs w:val="21"/>
          <w:highlight w:val="none"/>
        </w:rPr>
      </w:pPr>
      <w:r>
        <w:rPr>
          <w:rFonts w:hint="eastAsia" w:ascii="宋体" w:hAnsi="宋体"/>
          <w:color w:val="auto"/>
          <w:szCs w:val="21"/>
          <w:highlight w:val="none"/>
        </w:rPr>
        <w:t>响应供应商</w:t>
      </w:r>
      <w:r>
        <w:rPr>
          <w:rFonts w:ascii="宋体" w:hAnsi="宋体"/>
          <w:color w:val="auto"/>
          <w:szCs w:val="21"/>
          <w:highlight w:val="none"/>
        </w:rPr>
        <w:t>（盖公章）：</w:t>
      </w:r>
    </w:p>
    <w:p w14:paraId="69FD5573">
      <w:pPr>
        <w:pStyle w:val="12"/>
        <w:ind w:left="4678" w:leftChars="203" w:hanging="4252" w:hangingChars="2025"/>
        <w:rPr>
          <w:rFonts w:hAnsi="宋体"/>
          <w:color w:val="auto"/>
          <w:sz w:val="21"/>
          <w:highlight w:val="none"/>
          <w:lang w:val="en-US"/>
        </w:rPr>
      </w:pPr>
      <w:r>
        <w:rPr>
          <w:rFonts w:hint="eastAsia" w:hAnsi="宋体"/>
          <w:color w:val="auto"/>
          <w:sz w:val="21"/>
          <w:highlight w:val="none"/>
        </w:rPr>
        <w:t>日</w:t>
      </w:r>
      <w:r>
        <w:rPr>
          <w:rFonts w:hAnsi="宋体"/>
          <w:color w:val="auto"/>
          <w:sz w:val="21"/>
          <w:highlight w:val="none"/>
          <w:lang w:val="en-US"/>
        </w:rPr>
        <w:t xml:space="preserve"> </w:t>
      </w:r>
      <w:r>
        <w:rPr>
          <w:rFonts w:hint="eastAsia" w:hAnsi="宋体"/>
          <w:color w:val="auto"/>
          <w:sz w:val="21"/>
          <w:highlight w:val="none"/>
        </w:rPr>
        <w:t>期</w:t>
      </w:r>
      <w:r>
        <w:rPr>
          <w:rFonts w:hint="eastAsia" w:hAnsi="宋体"/>
          <w:color w:val="auto"/>
          <w:sz w:val="21"/>
          <w:highlight w:val="none"/>
          <w:lang w:val="en-US"/>
        </w:rPr>
        <w:t>：</w:t>
      </w:r>
      <w:r>
        <w:rPr>
          <w:rFonts w:hAnsi="宋体"/>
          <w:color w:val="auto"/>
          <w:sz w:val="21"/>
          <w:highlight w:val="none"/>
          <w:lang w:val="en-US"/>
        </w:rPr>
        <w:t xml:space="preserve">   </w:t>
      </w:r>
      <w:r>
        <w:rPr>
          <w:rFonts w:hint="eastAsia" w:hAnsi="宋体"/>
          <w:color w:val="auto"/>
          <w:sz w:val="21"/>
          <w:highlight w:val="none"/>
        </w:rPr>
        <w:t>年</w:t>
      </w:r>
      <w:r>
        <w:rPr>
          <w:rFonts w:hAnsi="宋体"/>
          <w:color w:val="auto"/>
          <w:sz w:val="21"/>
          <w:highlight w:val="none"/>
          <w:lang w:val="en-US"/>
        </w:rPr>
        <w:t xml:space="preserve">   </w:t>
      </w:r>
      <w:r>
        <w:rPr>
          <w:rFonts w:hint="eastAsia" w:hAnsi="宋体"/>
          <w:color w:val="auto"/>
          <w:sz w:val="21"/>
          <w:highlight w:val="none"/>
        </w:rPr>
        <w:t>月</w:t>
      </w:r>
      <w:r>
        <w:rPr>
          <w:rFonts w:hAnsi="宋体"/>
          <w:color w:val="auto"/>
          <w:sz w:val="21"/>
          <w:highlight w:val="none"/>
          <w:lang w:val="en-US"/>
        </w:rPr>
        <w:t xml:space="preserve">   </w:t>
      </w:r>
      <w:r>
        <w:rPr>
          <w:rFonts w:hint="eastAsia" w:hAnsi="宋体"/>
          <w:color w:val="auto"/>
          <w:sz w:val="21"/>
          <w:highlight w:val="none"/>
        </w:rPr>
        <w:t>日</w:t>
      </w:r>
    </w:p>
    <w:p w14:paraId="7DEA6B9F">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注：1.从业人员、营业收入、资产总额填报上一年度数据，无上一年度数据的新成立企业可不填报。</w:t>
      </w:r>
    </w:p>
    <w:p w14:paraId="00ABF913">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2.供应商根据磋商文件中明确的行业所对应的划分标准，判断承建（承接）企业是否属于中小企业。</w:t>
      </w:r>
    </w:p>
    <w:p w14:paraId="1AAFFFB4">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3.为方便供应商识别其企业规模类型，可通过“中小企业规模类型自测小程序”进行自测。</w:t>
      </w:r>
    </w:p>
    <w:p w14:paraId="71FBD6F2">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响应供应商应当对其出具的《中小企业声明函》真实性负责，响应供应商出具的《中小企业声明函》内容不实的，属于提供虚假材料谋取中标。在实际操作中，响应供应商希望获得中小企业扶持政策支持的，应从制造商处获得充分、准确的信息。对相关制造商信息了解不充分，或者不能确定相关信息真实、准确的，不建议出具《中小企业声明函》。</w:t>
      </w:r>
    </w:p>
    <w:p w14:paraId="60BFB3C6">
      <w:pPr>
        <w:pStyle w:val="3"/>
        <w:ind w:firstLine="0"/>
        <w:jc w:val="left"/>
        <w:rPr>
          <w:bCs/>
          <w:color w:val="auto"/>
          <w:sz w:val="21"/>
          <w:szCs w:val="21"/>
        </w:rPr>
      </w:pPr>
      <w:bookmarkStart w:id="299" w:name="_Toc17861"/>
      <w:bookmarkStart w:id="300" w:name="_Toc11168"/>
      <w:bookmarkStart w:id="301" w:name="_Toc61340646"/>
      <w:bookmarkStart w:id="302" w:name="_Toc503169278"/>
      <w:r>
        <w:rPr>
          <w:rFonts w:hint="eastAsia" w:hAnsi="宋体"/>
          <w:bCs/>
          <w:color w:val="auto"/>
          <w:sz w:val="21"/>
          <w:szCs w:val="21"/>
        </w:rPr>
        <w:t>格式9</w:t>
      </w:r>
      <w:r>
        <w:rPr>
          <w:rFonts w:hAnsi="宋体"/>
          <w:bCs/>
          <w:color w:val="auto"/>
          <w:sz w:val="21"/>
          <w:szCs w:val="21"/>
        </w:rPr>
        <w:t xml:space="preserve"> 残疾人福利性单位声明函（如需）</w:t>
      </w:r>
      <w:bookmarkEnd w:id="299"/>
      <w:bookmarkEnd w:id="300"/>
    </w:p>
    <w:p w14:paraId="119DE87F">
      <w:pPr>
        <w:spacing w:line="360" w:lineRule="auto"/>
        <w:rPr>
          <w:rFonts w:ascii="宋体" w:hAnsi="宋体" w:cs="宋体"/>
          <w:color w:val="auto"/>
          <w:sz w:val="24"/>
        </w:rPr>
      </w:pPr>
      <w:r>
        <w:rPr>
          <w:rFonts w:ascii="宋体" w:hAnsi="宋体" w:cs="宋体"/>
          <w:color w:val="auto"/>
          <w:sz w:val="24"/>
        </w:rPr>
        <w:t xml:space="preserve"> </w:t>
      </w:r>
    </w:p>
    <w:p w14:paraId="0A4FF6BE">
      <w:pPr>
        <w:spacing w:line="360" w:lineRule="auto"/>
        <w:ind w:firstLine="444" w:firstLineChars="200"/>
        <w:rPr>
          <w:rFonts w:ascii="宋体" w:hAnsi="宋体"/>
          <w:color w:val="auto"/>
          <w:spacing w:val="6"/>
          <w:szCs w:val="21"/>
        </w:rPr>
      </w:pPr>
      <w:r>
        <w:rPr>
          <w:rFonts w:ascii="宋体" w:hAnsi="宋体"/>
          <w:color w:val="auto"/>
          <w:spacing w:val="6"/>
          <w:szCs w:val="21"/>
        </w:rPr>
        <w:t>本单位郑重声明，</w:t>
      </w:r>
      <w:r>
        <w:rPr>
          <w:rFonts w:hint="eastAsia" w:ascii="宋体" w:hAnsi="宋体"/>
          <w:color w:val="auto"/>
          <w:spacing w:val="6"/>
          <w:szCs w:val="21"/>
        </w:rPr>
        <w:t>参考</w:t>
      </w:r>
      <w:r>
        <w:rPr>
          <w:rFonts w:ascii="宋体" w:hAnsi="宋体"/>
          <w:color w:val="auto"/>
          <w:spacing w:val="6"/>
          <w:szCs w:val="21"/>
        </w:rPr>
        <w:t xml:space="preserve">《财政部 </w:t>
      </w:r>
      <w:r>
        <w:rPr>
          <w:rFonts w:hint="eastAsia" w:ascii="宋体" w:hAnsi="宋体"/>
          <w:color w:val="auto"/>
          <w:spacing w:val="6"/>
          <w:szCs w:val="21"/>
        </w:rPr>
        <w:t>民政部</w:t>
      </w:r>
      <w:r>
        <w:rPr>
          <w:rFonts w:ascii="宋体" w:hAnsi="宋体"/>
          <w:color w:val="auto"/>
          <w:spacing w:val="6"/>
          <w:szCs w:val="21"/>
        </w:rPr>
        <w:t xml:space="preserve"> 中国残疾人联合会关于促进残疾人就业政府采购政策的通知》（财库〔2017</w:t>
      </w:r>
      <w:r>
        <w:rPr>
          <w:rFonts w:hint="eastAsia" w:ascii="宋体" w:hAnsi="宋体"/>
          <w:color w:val="auto"/>
          <w:spacing w:val="6"/>
          <w:szCs w:val="21"/>
        </w:rPr>
        <w:t>〕</w:t>
      </w:r>
      <w:r>
        <w:rPr>
          <w:rFonts w:ascii="宋体" w:hAnsi="宋体"/>
          <w:color w:val="auto"/>
          <w:spacing w:val="6"/>
          <w:szCs w:val="21"/>
        </w:rPr>
        <w:t>141号）的规定，本单位为符合条件的残疾人福利性单位，且本单位参加______单位的______项目采购活动提供本单位元制造的货物（由本单位元承担工程/提供服务），或者提供其他残疾人福利性单位元制造的货物（不包括使用非残疾人福利性单位注册商标的货物）。</w:t>
      </w:r>
    </w:p>
    <w:p w14:paraId="56D913B1">
      <w:pPr>
        <w:spacing w:line="360" w:lineRule="auto"/>
        <w:ind w:firstLine="444" w:firstLineChars="200"/>
        <w:rPr>
          <w:rFonts w:ascii="宋体" w:hAnsi="宋体"/>
          <w:color w:val="auto"/>
          <w:spacing w:val="6"/>
          <w:szCs w:val="21"/>
        </w:rPr>
      </w:pPr>
      <w:r>
        <w:rPr>
          <w:rFonts w:ascii="宋体" w:hAnsi="宋体"/>
          <w:color w:val="auto"/>
          <w:spacing w:val="6"/>
          <w:szCs w:val="21"/>
        </w:rPr>
        <w:t>本单位对上述声明的真实性负责。如有虚假，将依法承担相应责任。</w:t>
      </w:r>
    </w:p>
    <w:p w14:paraId="6DA13CCA">
      <w:pPr>
        <w:tabs>
          <w:tab w:val="left" w:pos="676"/>
          <w:tab w:val="left" w:pos="2330"/>
          <w:tab w:val="left" w:pos="9230"/>
        </w:tabs>
        <w:spacing w:before="120" w:line="360" w:lineRule="auto"/>
        <w:ind w:left="4678" w:leftChars="203" w:hanging="4252" w:hangingChars="2025"/>
        <w:rPr>
          <w:rFonts w:ascii="宋体" w:hAnsi="宋体"/>
          <w:color w:val="auto"/>
          <w:szCs w:val="21"/>
        </w:rPr>
      </w:pPr>
    </w:p>
    <w:p w14:paraId="536CCCE2">
      <w:pPr>
        <w:tabs>
          <w:tab w:val="left" w:pos="676"/>
          <w:tab w:val="left" w:pos="2330"/>
          <w:tab w:val="left" w:pos="9230"/>
        </w:tabs>
        <w:spacing w:before="120" w:line="360" w:lineRule="auto"/>
        <w:ind w:left="4678" w:leftChars="203" w:hanging="4252" w:hangingChars="2025"/>
        <w:rPr>
          <w:rFonts w:ascii="宋体" w:hAnsi="宋体"/>
          <w:color w:val="auto"/>
          <w:szCs w:val="21"/>
        </w:rPr>
      </w:pPr>
      <w:r>
        <w:rPr>
          <w:rFonts w:hint="eastAsia" w:ascii="宋体" w:hAnsi="宋体"/>
          <w:color w:val="auto"/>
          <w:szCs w:val="21"/>
        </w:rPr>
        <w:t>响应供应商</w:t>
      </w:r>
      <w:r>
        <w:rPr>
          <w:rFonts w:ascii="宋体" w:hAnsi="宋体"/>
          <w:color w:val="auto"/>
          <w:szCs w:val="21"/>
        </w:rPr>
        <w:t>（盖公章）：</w:t>
      </w:r>
    </w:p>
    <w:p w14:paraId="06368EE4">
      <w:pPr>
        <w:pStyle w:val="12"/>
        <w:ind w:left="4678" w:leftChars="203" w:hanging="4252" w:hangingChars="2025"/>
        <w:rPr>
          <w:rFonts w:hAnsi="宋体"/>
          <w:color w:val="auto"/>
          <w:sz w:val="21"/>
          <w:lang w:val="en-US"/>
        </w:rPr>
      </w:pPr>
      <w:r>
        <w:rPr>
          <w:rFonts w:hint="eastAsia" w:hAnsi="宋体"/>
          <w:color w:val="auto"/>
          <w:sz w:val="21"/>
        </w:rPr>
        <w:t>日</w:t>
      </w:r>
      <w:r>
        <w:rPr>
          <w:rFonts w:hAnsi="宋体"/>
          <w:color w:val="auto"/>
          <w:sz w:val="21"/>
          <w:lang w:val="en-US"/>
        </w:rPr>
        <w:t xml:space="preserve"> </w:t>
      </w:r>
      <w:r>
        <w:rPr>
          <w:rFonts w:hint="eastAsia" w:hAnsi="宋体"/>
          <w:color w:val="auto"/>
          <w:sz w:val="21"/>
        </w:rPr>
        <w:t>期</w:t>
      </w:r>
      <w:r>
        <w:rPr>
          <w:rFonts w:hint="eastAsia" w:hAnsi="宋体"/>
          <w:color w:val="auto"/>
          <w:sz w:val="21"/>
          <w:lang w:val="en-US"/>
        </w:rPr>
        <w:t>：</w:t>
      </w:r>
      <w:r>
        <w:rPr>
          <w:rFonts w:hAnsi="宋体"/>
          <w:color w:val="auto"/>
          <w:sz w:val="21"/>
          <w:lang w:val="en-US"/>
        </w:rPr>
        <w:t xml:space="preserve">   </w:t>
      </w:r>
      <w:r>
        <w:rPr>
          <w:rFonts w:hint="eastAsia" w:hAnsi="宋体"/>
          <w:color w:val="auto"/>
          <w:sz w:val="21"/>
        </w:rPr>
        <w:t>年</w:t>
      </w:r>
      <w:r>
        <w:rPr>
          <w:rFonts w:hAnsi="宋体"/>
          <w:color w:val="auto"/>
          <w:sz w:val="21"/>
          <w:lang w:val="en-US"/>
        </w:rPr>
        <w:t xml:space="preserve">   </w:t>
      </w:r>
      <w:r>
        <w:rPr>
          <w:rFonts w:hint="eastAsia" w:hAnsi="宋体"/>
          <w:color w:val="auto"/>
          <w:sz w:val="21"/>
        </w:rPr>
        <w:t>月</w:t>
      </w:r>
      <w:r>
        <w:rPr>
          <w:rFonts w:hAnsi="宋体"/>
          <w:color w:val="auto"/>
          <w:sz w:val="21"/>
          <w:lang w:val="en-US"/>
        </w:rPr>
        <w:t xml:space="preserve">   </w:t>
      </w:r>
      <w:r>
        <w:rPr>
          <w:rFonts w:hint="eastAsia" w:hAnsi="宋体"/>
          <w:color w:val="auto"/>
          <w:sz w:val="21"/>
        </w:rPr>
        <w:t>日</w:t>
      </w:r>
    </w:p>
    <w:p w14:paraId="17C0FBA5">
      <w:pPr>
        <w:rPr>
          <w:color w:val="auto"/>
        </w:rPr>
      </w:pPr>
    </w:p>
    <w:p w14:paraId="49669DF0">
      <w:pPr>
        <w:pStyle w:val="3"/>
        <w:ind w:firstLine="0"/>
        <w:jc w:val="left"/>
        <w:rPr>
          <w:rFonts w:hAnsi="宋体"/>
          <w:color w:val="auto"/>
          <w:sz w:val="21"/>
          <w:szCs w:val="21"/>
        </w:rPr>
      </w:pPr>
      <w:r>
        <w:rPr>
          <w:rFonts w:hAnsi="宋体"/>
          <w:color w:val="auto"/>
          <w:sz w:val="21"/>
          <w:szCs w:val="21"/>
        </w:rPr>
        <w:br w:type="page"/>
      </w:r>
      <w:bookmarkStart w:id="303" w:name="_Toc9285"/>
      <w:bookmarkStart w:id="304" w:name="_Toc4479"/>
      <w:r>
        <w:rPr>
          <w:rFonts w:hint="eastAsia" w:hAnsi="宋体"/>
          <w:bCs/>
          <w:color w:val="auto"/>
          <w:sz w:val="21"/>
          <w:szCs w:val="21"/>
        </w:rPr>
        <w:t>格式</w:t>
      </w:r>
      <w:r>
        <w:rPr>
          <w:rFonts w:hAnsi="宋体"/>
          <w:bCs/>
          <w:color w:val="auto"/>
          <w:sz w:val="21"/>
          <w:szCs w:val="21"/>
        </w:rPr>
        <w:t>1</w:t>
      </w:r>
      <w:r>
        <w:rPr>
          <w:rFonts w:hint="eastAsia" w:hAnsi="宋体"/>
          <w:bCs/>
          <w:color w:val="auto"/>
          <w:sz w:val="21"/>
          <w:szCs w:val="21"/>
        </w:rPr>
        <w:t>0</w:t>
      </w:r>
      <w:r>
        <w:rPr>
          <w:rFonts w:hAnsi="宋体"/>
          <w:bCs/>
          <w:color w:val="auto"/>
          <w:sz w:val="21"/>
          <w:szCs w:val="21"/>
        </w:rPr>
        <w:t xml:space="preserve"> 监狱企业的证明文件（如需）</w:t>
      </w:r>
      <w:bookmarkEnd w:id="303"/>
      <w:bookmarkEnd w:id="304"/>
    </w:p>
    <w:p w14:paraId="7889FC83">
      <w:pPr>
        <w:rPr>
          <w:color w:val="auto"/>
        </w:rPr>
      </w:pPr>
    </w:p>
    <w:p w14:paraId="38E77218">
      <w:pPr>
        <w:spacing w:line="360" w:lineRule="auto"/>
        <w:jc w:val="center"/>
        <w:rPr>
          <w:rFonts w:ascii="宋体" w:hAnsi="宋体"/>
          <w:b/>
          <w:color w:val="auto"/>
          <w:spacing w:val="20"/>
          <w:sz w:val="28"/>
          <w:szCs w:val="28"/>
        </w:rPr>
      </w:pPr>
      <w:r>
        <w:rPr>
          <w:rFonts w:ascii="宋体" w:hAnsi="宋体"/>
          <w:b/>
          <w:color w:val="auto"/>
          <w:spacing w:val="20"/>
          <w:sz w:val="28"/>
          <w:szCs w:val="28"/>
        </w:rPr>
        <w:t>监狱企业的证明文件</w:t>
      </w:r>
    </w:p>
    <w:p w14:paraId="5B105407">
      <w:pPr>
        <w:rPr>
          <w:color w:val="auto"/>
        </w:rPr>
      </w:pPr>
    </w:p>
    <w:bookmarkEnd w:id="301"/>
    <w:bookmarkEnd w:id="302"/>
    <w:p w14:paraId="108D9821">
      <w:pPr>
        <w:spacing w:line="360" w:lineRule="auto"/>
        <w:rPr>
          <w:bCs/>
          <w:color w:val="auto"/>
        </w:rPr>
      </w:pPr>
      <w:r>
        <w:rPr>
          <w:rFonts w:ascii="宋体" w:hAnsi="宋体"/>
          <w:color w:val="auto"/>
          <w:spacing w:val="6"/>
          <w:szCs w:val="21"/>
        </w:rPr>
        <w:t>说明：监狱企业参加采购活动时，应当提供由省级以上监狱管理局、戒毒管理局（含新疆生产建设兵团）出具的属于监狱企业的证明文件并加盖投标单位公</w:t>
      </w:r>
      <w:r>
        <w:rPr>
          <w:rFonts w:hint="eastAsia" w:ascii="宋体" w:hAnsi="宋体"/>
          <w:color w:val="auto"/>
          <w:spacing w:val="6"/>
          <w:szCs w:val="21"/>
        </w:rPr>
        <w:t>章</w:t>
      </w:r>
      <w:r>
        <w:rPr>
          <w:bCs/>
          <w:color w:val="auto"/>
        </w:rPr>
        <w:br w:type="page"/>
      </w:r>
    </w:p>
    <w:bookmarkEnd w:id="295"/>
    <w:bookmarkEnd w:id="296"/>
    <w:p w14:paraId="6F806C94">
      <w:pPr>
        <w:pStyle w:val="3"/>
        <w:jc w:val="center"/>
        <w:rPr>
          <w:color w:val="auto"/>
        </w:rPr>
      </w:pPr>
      <w:bookmarkStart w:id="305" w:name="_承诺函"/>
      <w:bookmarkEnd w:id="305"/>
      <w:bookmarkStart w:id="306" w:name="_Toc12860"/>
      <w:bookmarkStart w:id="307" w:name="_Toc15836"/>
      <w:bookmarkStart w:id="308" w:name="_Toc410738983"/>
      <w:bookmarkStart w:id="309" w:name="_Toc416770261"/>
      <w:bookmarkStart w:id="310" w:name="_Toc416771371"/>
      <w:bookmarkStart w:id="311" w:name="_Toc410736184"/>
      <w:r>
        <w:rPr>
          <w:rFonts w:hAnsi="宋体"/>
          <w:color w:val="auto"/>
          <w:sz w:val="44"/>
          <w:szCs w:val="44"/>
        </w:rPr>
        <w:t>二、技术部</w:t>
      </w:r>
      <w:r>
        <w:rPr>
          <w:rFonts w:hint="eastAsia" w:hAnsi="宋体"/>
          <w:color w:val="auto"/>
          <w:sz w:val="44"/>
          <w:szCs w:val="44"/>
        </w:rPr>
        <w:t>分</w:t>
      </w:r>
      <w:bookmarkEnd w:id="306"/>
      <w:bookmarkEnd w:id="307"/>
    </w:p>
    <w:p w14:paraId="3E31605D">
      <w:pPr>
        <w:pStyle w:val="3"/>
        <w:ind w:firstLine="0"/>
        <w:jc w:val="left"/>
        <w:rPr>
          <w:rFonts w:hAnsi="宋体"/>
          <w:bCs/>
          <w:color w:val="auto"/>
          <w:sz w:val="21"/>
          <w:szCs w:val="21"/>
        </w:rPr>
      </w:pPr>
      <w:bookmarkStart w:id="312" w:name="_Toc2690"/>
      <w:bookmarkStart w:id="313" w:name="_Toc28648"/>
      <w:r>
        <w:rPr>
          <w:rFonts w:hint="eastAsia" w:hAnsi="宋体"/>
          <w:bCs/>
          <w:color w:val="auto"/>
          <w:sz w:val="21"/>
          <w:szCs w:val="21"/>
        </w:rPr>
        <w:t>格式</w:t>
      </w:r>
      <w:r>
        <w:rPr>
          <w:rFonts w:hAnsi="宋体"/>
          <w:bCs/>
          <w:color w:val="auto"/>
          <w:sz w:val="21"/>
          <w:szCs w:val="21"/>
        </w:rPr>
        <w:t>1</w:t>
      </w:r>
      <w:r>
        <w:rPr>
          <w:rFonts w:hint="eastAsia" w:hAnsi="宋体"/>
          <w:bCs/>
          <w:color w:val="auto"/>
          <w:sz w:val="21"/>
          <w:szCs w:val="21"/>
        </w:rPr>
        <w:t>1</w:t>
      </w:r>
      <w:r>
        <w:rPr>
          <w:rFonts w:hAnsi="宋体"/>
          <w:bCs/>
          <w:color w:val="auto"/>
          <w:sz w:val="21"/>
          <w:szCs w:val="21"/>
        </w:rPr>
        <w:t xml:space="preserve"> 项目方案（格式自拟）</w:t>
      </w:r>
      <w:bookmarkEnd w:id="312"/>
      <w:bookmarkEnd w:id="313"/>
    </w:p>
    <w:p w14:paraId="77FD6903">
      <w:pPr>
        <w:tabs>
          <w:tab w:val="left" w:pos="0"/>
        </w:tabs>
        <w:spacing w:line="360" w:lineRule="auto"/>
        <w:rPr>
          <w:rFonts w:ascii="宋体" w:hAnsi="宋体"/>
          <w:b/>
          <w:bCs/>
          <w:color w:val="auto"/>
          <w:szCs w:val="21"/>
        </w:rPr>
      </w:pPr>
      <w:r>
        <w:rPr>
          <w:rFonts w:hint="eastAsia" w:ascii="宋体" w:hAnsi="宋体"/>
          <w:b/>
          <w:bCs/>
          <w:color w:val="auto"/>
          <w:szCs w:val="21"/>
        </w:rPr>
        <w:t>响应供应商</w:t>
      </w:r>
      <w:r>
        <w:rPr>
          <w:rFonts w:ascii="宋体" w:hAnsi="宋体"/>
          <w:b/>
          <w:bCs/>
          <w:color w:val="auto"/>
          <w:szCs w:val="21"/>
        </w:rPr>
        <w:t>须充分响应磋商文件要</w:t>
      </w:r>
      <w:r>
        <w:rPr>
          <w:rFonts w:hint="eastAsia" w:ascii="宋体" w:hAnsi="宋体"/>
          <w:b/>
          <w:bCs/>
          <w:color w:val="auto"/>
          <w:szCs w:val="21"/>
        </w:rPr>
        <w:t>求</w:t>
      </w:r>
      <w:r>
        <w:rPr>
          <w:rFonts w:ascii="宋体" w:hAnsi="宋体"/>
          <w:b/>
          <w:bCs/>
          <w:color w:val="auto"/>
          <w:szCs w:val="21"/>
        </w:rPr>
        <w:t>,结合项目实际情况编制详细完整的实施方案，包括但不限于下列内容：</w:t>
      </w:r>
    </w:p>
    <w:p w14:paraId="320DC40A">
      <w:pPr>
        <w:snapToGrid w:val="0"/>
        <w:spacing w:line="360" w:lineRule="auto"/>
        <w:rPr>
          <w:rFonts w:ascii="宋体" w:hAnsi="宋体"/>
          <w:bCs/>
          <w:color w:val="auto"/>
          <w:szCs w:val="21"/>
        </w:rPr>
      </w:pPr>
    </w:p>
    <w:p w14:paraId="2BB512BD">
      <w:pPr>
        <w:snapToGrid w:val="0"/>
        <w:spacing w:line="360" w:lineRule="auto"/>
        <w:rPr>
          <w:rFonts w:hint="eastAsia"/>
          <w:color w:val="auto"/>
          <w:spacing w:val="4"/>
          <w:szCs w:val="21"/>
        </w:rPr>
      </w:pPr>
      <w:r>
        <w:rPr>
          <w:rFonts w:hint="eastAsia"/>
          <w:color w:val="auto"/>
          <w:spacing w:val="4"/>
          <w:szCs w:val="21"/>
          <w:lang w:val="en-US" w:eastAsia="zh-CN"/>
        </w:rPr>
        <w:t>1.</w:t>
      </w:r>
      <w:r>
        <w:rPr>
          <w:color w:val="auto"/>
        </w:rPr>
        <w:t>项目理解程度</w:t>
      </w:r>
      <w:r>
        <w:rPr>
          <w:rFonts w:hint="eastAsia" w:ascii="宋体" w:hAnsi="宋体"/>
          <w:bCs/>
          <w:color w:val="auto"/>
          <w:szCs w:val="21"/>
        </w:rPr>
        <w:t>；</w:t>
      </w:r>
    </w:p>
    <w:p w14:paraId="51D4C4DD">
      <w:pPr>
        <w:snapToGrid w:val="0"/>
        <w:spacing w:line="360" w:lineRule="auto"/>
        <w:rPr>
          <w:rFonts w:hint="eastAsia"/>
          <w:color w:val="auto"/>
          <w:spacing w:val="4"/>
          <w:szCs w:val="21"/>
        </w:rPr>
      </w:pPr>
      <w:r>
        <w:rPr>
          <w:rFonts w:hint="eastAsia"/>
          <w:color w:val="auto"/>
          <w:spacing w:val="4"/>
          <w:szCs w:val="21"/>
          <w:lang w:val="en-US" w:eastAsia="zh-CN"/>
        </w:rPr>
        <w:t>2.</w:t>
      </w:r>
      <w:r>
        <w:rPr>
          <w:color w:val="auto"/>
        </w:rPr>
        <w:t>对重点难点分析及对策</w:t>
      </w:r>
      <w:r>
        <w:rPr>
          <w:rFonts w:hint="eastAsia" w:ascii="宋体" w:hAnsi="宋体"/>
          <w:bCs/>
          <w:color w:val="auto"/>
          <w:szCs w:val="21"/>
        </w:rPr>
        <w:t>；</w:t>
      </w:r>
    </w:p>
    <w:p w14:paraId="30AD71D1">
      <w:pPr>
        <w:snapToGrid w:val="0"/>
        <w:spacing w:line="360" w:lineRule="auto"/>
        <w:rPr>
          <w:rFonts w:hint="eastAsia" w:ascii="Times New Roman" w:hAnsi="Times New Roman" w:eastAsia="宋体" w:cs="Times New Roman"/>
          <w:color w:val="auto"/>
        </w:rPr>
      </w:pPr>
      <w:r>
        <w:rPr>
          <w:rFonts w:hint="eastAsia"/>
          <w:color w:val="auto"/>
          <w:spacing w:val="4"/>
          <w:szCs w:val="21"/>
          <w:lang w:val="en-US" w:eastAsia="zh-CN"/>
        </w:rPr>
        <w:t>3.</w:t>
      </w:r>
      <w:r>
        <w:rPr>
          <w:color w:val="auto"/>
        </w:rPr>
        <w:t>组</w:t>
      </w:r>
      <w:r>
        <w:rPr>
          <w:rFonts w:ascii="Times New Roman" w:hAnsi="Times New Roman" w:eastAsia="宋体" w:cs="Times New Roman"/>
          <w:color w:val="auto"/>
        </w:rPr>
        <w:t>织方案</w:t>
      </w:r>
      <w:r>
        <w:rPr>
          <w:rFonts w:hint="eastAsia" w:ascii="Times New Roman" w:hAnsi="Times New Roman" w:eastAsia="宋体" w:cs="Times New Roman"/>
          <w:color w:val="auto"/>
        </w:rPr>
        <w:t>；</w:t>
      </w:r>
    </w:p>
    <w:p w14:paraId="5D3A77C5">
      <w:pPr>
        <w:snapToGrid w:val="0"/>
        <w:spacing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服务方案</w:t>
      </w:r>
      <w:r>
        <w:rPr>
          <w:rFonts w:hint="eastAsia" w:ascii="Times New Roman" w:hAnsi="Times New Roman" w:eastAsia="宋体" w:cs="Times New Roman"/>
          <w:color w:val="auto"/>
        </w:rPr>
        <w:t>；</w:t>
      </w:r>
    </w:p>
    <w:p w14:paraId="4E954AFF">
      <w:pPr>
        <w:snapToGrid w:val="0"/>
        <w:spacing w:line="360" w:lineRule="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保障措施</w:t>
      </w:r>
      <w:r>
        <w:rPr>
          <w:rFonts w:hint="eastAsia" w:ascii="Times New Roman" w:hAnsi="Times New Roman" w:eastAsia="宋体" w:cs="Times New Roman"/>
          <w:color w:val="auto"/>
          <w:lang w:eastAsia="zh-CN"/>
        </w:rPr>
        <w:t>；</w:t>
      </w:r>
    </w:p>
    <w:p w14:paraId="5E7A7472">
      <w:pPr>
        <w:snapToGrid w:val="0"/>
        <w:spacing w:line="360" w:lineRule="auto"/>
        <w:rPr>
          <w:rFonts w:ascii="宋体" w:hAnsi="宋体"/>
          <w:bCs/>
          <w:color w:val="auto"/>
          <w:szCs w:val="21"/>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认为需要的其</w:t>
      </w:r>
      <w:r>
        <w:rPr>
          <w:rFonts w:hint="eastAsia" w:ascii="宋体" w:hAnsi="宋体"/>
          <w:bCs/>
          <w:color w:val="auto"/>
          <w:szCs w:val="21"/>
        </w:rPr>
        <w:t>他方案。</w:t>
      </w:r>
    </w:p>
    <w:p w14:paraId="623EDC8F">
      <w:pPr>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br w:type="page"/>
      </w:r>
    </w:p>
    <w:bookmarkEnd w:id="308"/>
    <w:bookmarkEnd w:id="309"/>
    <w:bookmarkEnd w:id="310"/>
    <w:bookmarkEnd w:id="311"/>
    <w:p w14:paraId="7AFDE63F">
      <w:pPr>
        <w:pStyle w:val="3"/>
        <w:ind w:firstLine="0"/>
        <w:jc w:val="center"/>
        <w:rPr>
          <w:color w:val="auto"/>
          <w:spacing w:val="4"/>
          <w:szCs w:val="21"/>
        </w:rPr>
      </w:pPr>
      <w:bookmarkStart w:id="314" w:name="_Toc28218"/>
      <w:bookmarkStart w:id="315" w:name="_Toc21094"/>
      <w:bookmarkStart w:id="316" w:name="_Toc50691037"/>
      <w:bookmarkStart w:id="317" w:name="_Toc50703730"/>
      <w:bookmarkStart w:id="318" w:name="_Toc43264518"/>
      <w:r>
        <w:rPr>
          <w:rFonts w:hAnsi="宋体"/>
          <w:color w:val="auto"/>
          <w:sz w:val="44"/>
          <w:szCs w:val="44"/>
        </w:rPr>
        <w:t>三、商务部分</w:t>
      </w:r>
      <w:bookmarkEnd w:id="314"/>
      <w:bookmarkEnd w:id="315"/>
    </w:p>
    <w:bookmarkEnd w:id="316"/>
    <w:bookmarkEnd w:id="317"/>
    <w:p w14:paraId="3696BCE3">
      <w:pPr>
        <w:spacing w:line="360" w:lineRule="auto"/>
        <w:outlineLvl w:val="1"/>
        <w:rPr>
          <w:rFonts w:ascii="宋体" w:hAnsi="宋体"/>
          <w:b/>
          <w:bCs/>
          <w:color w:val="auto"/>
          <w:szCs w:val="21"/>
        </w:rPr>
      </w:pPr>
      <w:bookmarkStart w:id="319" w:name="_Toc9947"/>
      <w:bookmarkStart w:id="320" w:name="_Toc25669"/>
      <w:bookmarkStart w:id="321" w:name="_Toc247899591"/>
      <w:r>
        <w:rPr>
          <w:rFonts w:hint="eastAsia" w:hAnsi="宋体"/>
          <w:b/>
          <w:bCs/>
          <w:color w:val="auto"/>
          <w:szCs w:val="21"/>
        </w:rPr>
        <w:t>格式1</w:t>
      </w:r>
      <w:r>
        <w:rPr>
          <w:rFonts w:hint="eastAsia" w:hAnsi="宋体"/>
          <w:b/>
          <w:bCs/>
          <w:color w:val="auto"/>
          <w:szCs w:val="21"/>
          <w:lang w:val="en-US" w:eastAsia="zh-CN"/>
        </w:rPr>
        <w:t>2</w:t>
      </w:r>
      <w:r>
        <w:rPr>
          <w:rFonts w:hint="eastAsia" w:hAnsi="宋体"/>
          <w:b/>
          <w:bCs/>
          <w:color w:val="auto"/>
          <w:szCs w:val="21"/>
        </w:rPr>
        <w:t xml:space="preserve"> </w:t>
      </w:r>
      <w:r>
        <w:rPr>
          <w:rFonts w:hint="eastAsia" w:ascii="宋体" w:hAnsi="宋体"/>
          <w:b/>
          <w:bCs/>
          <w:color w:val="auto"/>
          <w:szCs w:val="21"/>
        </w:rPr>
        <w:t>同类项目业绩一览表</w:t>
      </w:r>
      <w:bookmarkEnd w:id="319"/>
      <w:bookmarkEnd w:id="320"/>
      <w:bookmarkEnd w:id="321"/>
    </w:p>
    <w:p w14:paraId="6BE3AE1D">
      <w:pPr>
        <w:spacing w:line="276" w:lineRule="auto"/>
        <w:rPr>
          <w:rFonts w:hint="eastAsia" w:ascii="宋体" w:hAnsi="宋体" w:eastAsia="宋体" w:cs="宋体"/>
          <w:color w:val="auto"/>
          <w:kern w:val="28"/>
          <w:szCs w:val="21"/>
          <w:lang w:eastAsia="zh-CN"/>
        </w:rPr>
      </w:pPr>
      <w:r>
        <w:rPr>
          <w:rFonts w:ascii="宋体" w:hAnsi="宋体" w:cs="宋体"/>
          <w:color w:val="auto"/>
          <w:kern w:val="28"/>
          <w:szCs w:val="21"/>
        </w:rPr>
        <w:t>项目名称：</w:t>
      </w:r>
      <w:r>
        <w:rPr>
          <w:rFonts w:hint="eastAsia" w:ascii="宋体" w:hAnsi="宋体" w:cs="宋体"/>
          <w:color w:val="auto"/>
          <w:kern w:val="28"/>
          <w:szCs w:val="21"/>
          <w:lang w:eastAsia="zh-CN"/>
        </w:rPr>
        <w:t>2024年广州市南沙政务服务公众考核满意度调查项目</w:t>
      </w:r>
    </w:p>
    <w:p w14:paraId="27BC8963">
      <w:pPr>
        <w:spacing w:line="276" w:lineRule="auto"/>
        <w:rPr>
          <w:rFonts w:hint="eastAsia" w:ascii="宋体" w:hAnsi="宋体" w:eastAsia="宋体" w:cs="宋体"/>
          <w:color w:val="auto"/>
          <w:kern w:val="28"/>
          <w:szCs w:val="21"/>
          <w:lang w:eastAsia="zh-CN"/>
        </w:rPr>
      </w:pPr>
      <w:r>
        <w:rPr>
          <w:rFonts w:ascii="宋体" w:hAnsi="宋体" w:cs="宋体"/>
          <w:color w:val="auto"/>
          <w:kern w:val="28"/>
          <w:szCs w:val="21"/>
        </w:rPr>
        <w:t>项目编号：</w:t>
      </w:r>
      <w:r>
        <w:rPr>
          <w:rFonts w:hint="eastAsia" w:ascii="宋体" w:hAnsi="宋体" w:cs="宋体"/>
          <w:color w:val="auto"/>
          <w:kern w:val="28"/>
          <w:szCs w:val="21"/>
          <w:lang w:eastAsia="zh-CN"/>
        </w:rPr>
        <w:t>GDWCFFC2312121</w:t>
      </w:r>
    </w:p>
    <w:tbl>
      <w:tblPr>
        <w:tblStyle w:val="27"/>
        <w:tblW w:w="9536"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13"/>
        <w:gridCol w:w="1417"/>
        <w:gridCol w:w="1276"/>
        <w:gridCol w:w="1984"/>
        <w:gridCol w:w="1418"/>
        <w:gridCol w:w="1365"/>
      </w:tblGrid>
      <w:tr w14:paraId="13B4151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3" w:type="dxa"/>
            <w:tcBorders>
              <w:top w:val="double" w:color="auto" w:sz="2" w:space="0"/>
              <w:left w:val="double" w:color="auto" w:sz="2" w:space="0"/>
              <w:bottom w:val="single" w:color="auto" w:sz="4" w:space="0"/>
              <w:right w:val="single" w:color="auto" w:sz="4" w:space="0"/>
            </w:tcBorders>
            <w:shd w:val="clear" w:color="auto" w:fill="D9D9D9"/>
            <w:vAlign w:val="center"/>
          </w:tcPr>
          <w:p w14:paraId="35978E7A">
            <w:pPr>
              <w:jc w:val="center"/>
              <w:rPr>
                <w:rFonts w:ascii="宋体" w:hAnsi="宋体"/>
                <w:b/>
                <w:color w:val="auto"/>
                <w:szCs w:val="21"/>
              </w:rPr>
            </w:pPr>
            <w:r>
              <w:rPr>
                <w:rFonts w:hint="eastAsia" w:ascii="宋体" w:hAnsi="宋体"/>
                <w:b/>
                <w:color w:val="auto"/>
              </w:rPr>
              <w:t>序号</w:t>
            </w:r>
          </w:p>
        </w:tc>
        <w:tc>
          <w:tcPr>
            <w:tcW w:w="1313" w:type="dxa"/>
            <w:tcBorders>
              <w:top w:val="double" w:color="auto" w:sz="2" w:space="0"/>
              <w:left w:val="single" w:color="auto" w:sz="4" w:space="0"/>
              <w:bottom w:val="single" w:color="auto" w:sz="4" w:space="0"/>
              <w:right w:val="single" w:color="auto" w:sz="4" w:space="0"/>
            </w:tcBorders>
            <w:shd w:val="clear" w:color="auto" w:fill="D9D9D9"/>
            <w:vAlign w:val="center"/>
          </w:tcPr>
          <w:p w14:paraId="3384DBC6">
            <w:pPr>
              <w:jc w:val="center"/>
              <w:rPr>
                <w:rFonts w:ascii="宋体" w:hAnsi="宋体"/>
                <w:b/>
                <w:color w:val="auto"/>
                <w:szCs w:val="21"/>
              </w:rPr>
            </w:pPr>
            <w:r>
              <w:rPr>
                <w:rFonts w:hint="eastAsia" w:ascii="宋体" w:hAnsi="宋体"/>
                <w:b/>
                <w:color w:val="auto"/>
              </w:rPr>
              <w:t>项目名称</w:t>
            </w:r>
          </w:p>
        </w:tc>
        <w:tc>
          <w:tcPr>
            <w:tcW w:w="1417" w:type="dxa"/>
            <w:tcBorders>
              <w:top w:val="double" w:color="auto" w:sz="2" w:space="0"/>
              <w:left w:val="single" w:color="auto" w:sz="4" w:space="0"/>
              <w:bottom w:val="single" w:color="auto" w:sz="4" w:space="0"/>
              <w:right w:val="single" w:color="auto" w:sz="4" w:space="0"/>
            </w:tcBorders>
            <w:shd w:val="clear" w:color="auto" w:fill="D9D9D9"/>
            <w:vAlign w:val="center"/>
          </w:tcPr>
          <w:p w14:paraId="6A425B93">
            <w:pPr>
              <w:jc w:val="center"/>
              <w:rPr>
                <w:rFonts w:ascii="宋体" w:hAnsi="宋体"/>
                <w:b/>
                <w:color w:val="auto"/>
                <w:szCs w:val="21"/>
              </w:rPr>
            </w:pPr>
            <w:r>
              <w:rPr>
                <w:rFonts w:hint="eastAsia" w:ascii="宋体" w:hAnsi="宋体"/>
                <w:b/>
                <w:color w:val="auto"/>
              </w:rPr>
              <w:t>采购单位</w:t>
            </w:r>
          </w:p>
        </w:tc>
        <w:tc>
          <w:tcPr>
            <w:tcW w:w="1276" w:type="dxa"/>
            <w:tcBorders>
              <w:top w:val="double" w:color="auto" w:sz="2" w:space="0"/>
              <w:left w:val="single" w:color="auto" w:sz="4" w:space="0"/>
              <w:bottom w:val="single" w:color="auto" w:sz="4" w:space="0"/>
              <w:right w:val="single" w:color="auto" w:sz="4" w:space="0"/>
            </w:tcBorders>
            <w:shd w:val="clear" w:color="auto" w:fill="D9D9D9"/>
            <w:vAlign w:val="center"/>
          </w:tcPr>
          <w:p w14:paraId="115046B9">
            <w:pPr>
              <w:jc w:val="center"/>
              <w:rPr>
                <w:rFonts w:ascii="宋体" w:hAnsi="宋体"/>
                <w:b/>
                <w:color w:val="auto"/>
                <w:szCs w:val="21"/>
              </w:rPr>
            </w:pPr>
            <w:r>
              <w:rPr>
                <w:rFonts w:hint="eastAsia" w:ascii="宋体" w:hAnsi="宋体"/>
                <w:b/>
                <w:color w:val="auto"/>
              </w:rPr>
              <w:t>合同金额</w:t>
            </w:r>
          </w:p>
        </w:tc>
        <w:tc>
          <w:tcPr>
            <w:tcW w:w="1984" w:type="dxa"/>
            <w:tcBorders>
              <w:top w:val="double" w:color="auto" w:sz="2" w:space="0"/>
              <w:left w:val="single" w:color="auto" w:sz="4" w:space="0"/>
              <w:bottom w:val="single" w:color="auto" w:sz="4" w:space="0"/>
              <w:right w:val="single" w:color="auto" w:sz="4" w:space="0"/>
            </w:tcBorders>
            <w:shd w:val="clear" w:color="auto" w:fill="D9D9D9"/>
            <w:vAlign w:val="center"/>
          </w:tcPr>
          <w:p w14:paraId="6322EF6A">
            <w:pPr>
              <w:jc w:val="center"/>
              <w:rPr>
                <w:rFonts w:ascii="宋体" w:hAnsi="宋体"/>
                <w:b/>
                <w:color w:val="auto"/>
                <w:szCs w:val="21"/>
              </w:rPr>
            </w:pPr>
            <w:r>
              <w:rPr>
                <w:rFonts w:ascii="宋体" w:hAnsi="宋体"/>
                <w:b/>
                <w:color w:val="auto"/>
              </w:rPr>
              <w:t>成交</w:t>
            </w:r>
            <w:r>
              <w:rPr>
                <w:rFonts w:hint="eastAsia" w:ascii="宋体" w:hAnsi="宋体"/>
                <w:b/>
                <w:color w:val="auto"/>
              </w:rPr>
              <w:t>时间</w:t>
            </w:r>
          </w:p>
          <w:p w14:paraId="3CE657E8">
            <w:pPr>
              <w:jc w:val="center"/>
              <w:rPr>
                <w:rFonts w:ascii="宋体" w:hAnsi="宋体"/>
                <w:b/>
                <w:color w:val="auto"/>
                <w:szCs w:val="21"/>
              </w:rPr>
            </w:pPr>
            <w:r>
              <w:rPr>
                <w:rFonts w:hint="eastAsia" w:ascii="宋体" w:hAnsi="宋体"/>
                <w:b/>
                <w:color w:val="auto"/>
              </w:rPr>
              <w:t>/合同签订时间</w:t>
            </w:r>
          </w:p>
        </w:tc>
        <w:tc>
          <w:tcPr>
            <w:tcW w:w="1418" w:type="dxa"/>
            <w:tcBorders>
              <w:top w:val="double" w:color="auto" w:sz="2" w:space="0"/>
              <w:left w:val="single" w:color="auto" w:sz="4" w:space="0"/>
              <w:bottom w:val="single" w:color="auto" w:sz="4" w:space="0"/>
              <w:right w:val="single" w:color="auto" w:sz="4" w:space="0"/>
            </w:tcBorders>
            <w:shd w:val="clear" w:color="auto" w:fill="D9D9D9"/>
            <w:vAlign w:val="center"/>
          </w:tcPr>
          <w:p w14:paraId="50617FBA">
            <w:pPr>
              <w:jc w:val="center"/>
              <w:rPr>
                <w:rFonts w:ascii="宋体" w:hAnsi="宋体"/>
                <w:b/>
                <w:color w:val="auto"/>
                <w:szCs w:val="21"/>
              </w:rPr>
            </w:pPr>
            <w:r>
              <w:rPr>
                <w:rFonts w:hint="eastAsia" w:ascii="宋体" w:hAnsi="宋体"/>
                <w:b/>
                <w:color w:val="auto"/>
              </w:rPr>
              <w:t>服务时间</w:t>
            </w:r>
          </w:p>
        </w:tc>
        <w:tc>
          <w:tcPr>
            <w:tcW w:w="1365" w:type="dxa"/>
            <w:tcBorders>
              <w:top w:val="double" w:color="auto" w:sz="2" w:space="0"/>
              <w:left w:val="single" w:color="auto" w:sz="4" w:space="0"/>
              <w:bottom w:val="single" w:color="auto" w:sz="4" w:space="0"/>
              <w:right w:val="double" w:color="auto" w:sz="2" w:space="0"/>
            </w:tcBorders>
            <w:shd w:val="clear" w:color="auto" w:fill="D9D9D9"/>
            <w:vAlign w:val="center"/>
          </w:tcPr>
          <w:p w14:paraId="45487114">
            <w:pPr>
              <w:jc w:val="center"/>
              <w:rPr>
                <w:rFonts w:ascii="宋体" w:hAnsi="宋体"/>
                <w:b/>
                <w:color w:val="auto"/>
                <w:szCs w:val="21"/>
              </w:rPr>
            </w:pPr>
            <w:r>
              <w:rPr>
                <w:rFonts w:hint="eastAsia" w:ascii="宋体" w:hAnsi="宋体"/>
                <w:b/>
                <w:color w:val="auto"/>
              </w:rPr>
              <w:t>业主联系人及联系电话</w:t>
            </w:r>
          </w:p>
        </w:tc>
      </w:tr>
      <w:tr w14:paraId="060CBC4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7B78F6E2">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47FD6E17">
            <w:pPr>
              <w:pStyle w:val="13"/>
              <w:ind w:left="5250"/>
              <w:jc w:val="center"/>
              <w:rPr>
                <w:rFonts w:ascii="宋体" w:hAnsi="宋体"/>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BA3D571">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B043B02">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13C36E2">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E5F576C">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6D8E2360">
            <w:pPr>
              <w:jc w:val="center"/>
              <w:rPr>
                <w:rFonts w:ascii="宋体" w:hAnsi="宋体"/>
                <w:color w:val="auto"/>
                <w:szCs w:val="21"/>
              </w:rPr>
            </w:pPr>
          </w:p>
        </w:tc>
      </w:tr>
      <w:tr w14:paraId="7370810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6CD07BFB">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4BA2EB6E">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898AB74">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7C4E27A">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0B7A1120">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662D1A5">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6998F5AB">
            <w:pPr>
              <w:jc w:val="center"/>
              <w:rPr>
                <w:rFonts w:ascii="宋体" w:hAnsi="宋体"/>
                <w:color w:val="auto"/>
                <w:szCs w:val="21"/>
              </w:rPr>
            </w:pPr>
          </w:p>
        </w:tc>
      </w:tr>
      <w:tr w14:paraId="12261FB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477392E3">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E9EC28B">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E3822C8">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88B48D0">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6C22ED30">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2BF011E">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6AE0567F">
            <w:pPr>
              <w:jc w:val="center"/>
              <w:rPr>
                <w:rFonts w:ascii="宋体" w:hAnsi="宋体"/>
                <w:color w:val="auto"/>
                <w:szCs w:val="21"/>
              </w:rPr>
            </w:pPr>
          </w:p>
        </w:tc>
      </w:tr>
      <w:tr w14:paraId="2F37DB0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34803CA7">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F8413F8">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E89FBEA">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C291F90">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F55D178">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B26D3A5">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5C9F03E5">
            <w:pPr>
              <w:jc w:val="center"/>
              <w:rPr>
                <w:rFonts w:ascii="宋体" w:hAnsi="宋体"/>
                <w:color w:val="auto"/>
                <w:szCs w:val="21"/>
              </w:rPr>
            </w:pPr>
          </w:p>
        </w:tc>
      </w:tr>
      <w:tr w14:paraId="251CDC4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1257B115">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9A03CAC">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D4850B9">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7F3B7A4">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CDDCF78">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439A558">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4A5AEB22">
            <w:pPr>
              <w:jc w:val="center"/>
              <w:rPr>
                <w:rFonts w:ascii="宋体" w:hAnsi="宋体"/>
                <w:color w:val="auto"/>
                <w:szCs w:val="21"/>
              </w:rPr>
            </w:pPr>
          </w:p>
        </w:tc>
      </w:tr>
      <w:tr w14:paraId="224D9D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60F0BEED">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4896E26A">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2123877">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78B8752">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D05ED5F">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C389D85">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4684B348">
            <w:pPr>
              <w:jc w:val="center"/>
              <w:rPr>
                <w:rFonts w:ascii="宋体" w:hAnsi="宋体"/>
                <w:color w:val="auto"/>
                <w:szCs w:val="21"/>
              </w:rPr>
            </w:pPr>
          </w:p>
        </w:tc>
      </w:tr>
      <w:tr w14:paraId="490CD5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78258553">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0184F202">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E785FAF">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A38A607">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F24A3AB">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38D63D9">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1F49E777">
            <w:pPr>
              <w:jc w:val="center"/>
              <w:rPr>
                <w:rFonts w:ascii="宋体" w:hAnsi="宋体"/>
                <w:color w:val="auto"/>
                <w:szCs w:val="21"/>
              </w:rPr>
            </w:pPr>
          </w:p>
        </w:tc>
      </w:tr>
      <w:tr w14:paraId="18B2AB5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3479DD1B">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5B083C5">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92AFB87">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02336E4">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7D2C591">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6058732">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2357E89C">
            <w:pPr>
              <w:jc w:val="center"/>
              <w:rPr>
                <w:rFonts w:ascii="宋体" w:hAnsi="宋体"/>
                <w:color w:val="auto"/>
                <w:szCs w:val="21"/>
              </w:rPr>
            </w:pPr>
          </w:p>
        </w:tc>
      </w:tr>
      <w:tr w14:paraId="4FEE327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1886CF90">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280F765">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7CB15FA">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B739F3E">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12566A3">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0B5D21B">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0490FE59">
            <w:pPr>
              <w:jc w:val="center"/>
              <w:rPr>
                <w:rFonts w:ascii="宋体" w:hAnsi="宋体"/>
                <w:color w:val="auto"/>
                <w:szCs w:val="21"/>
              </w:rPr>
            </w:pPr>
          </w:p>
        </w:tc>
      </w:tr>
      <w:tr w14:paraId="4CC7116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739329C2">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D3AC295">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A1EC75F">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1DA4300">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2BC67E2">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7F59907">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187CDB32">
            <w:pPr>
              <w:jc w:val="center"/>
              <w:rPr>
                <w:rFonts w:ascii="宋体" w:hAnsi="宋体"/>
                <w:color w:val="auto"/>
                <w:szCs w:val="21"/>
              </w:rPr>
            </w:pPr>
          </w:p>
        </w:tc>
      </w:tr>
      <w:tr w14:paraId="7F85AB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single" w:color="auto" w:sz="4" w:space="0"/>
              <w:right w:val="single" w:color="auto" w:sz="4" w:space="0"/>
            </w:tcBorders>
            <w:vAlign w:val="center"/>
          </w:tcPr>
          <w:p w14:paraId="20C402C6">
            <w:pPr>
              <w:jc w:val="center"/>
              <w:rPr>
                <w:rFonts w:ascii="宋体" w:hAnsi="宋体"/>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03BD049E">
            <w:pPr>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745A1A4">
            <w:pPr>
              <w:jc w:val="center"/>
              <w:rPr>
                <w:rFonts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A7249D8">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0CF21B35">
            <w:pPr>
              <w:jc w:val="center"/>
              <w:rPr>
                <w:rFonts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9035414">
            <w:pPr>
              <w:jc w:val="center"/>
              <w:rPr>
                <w:rFonts w:ascii="宋体" w:hAnsi="宋体"/>
                <w:color w:val="auto"/>
                <w:szCs w:val="21"/>
              </w:rPr>
            </w:pPr>
          </w:p>
        </w:tc>
        <w:tc>
          <w:tcPr>
            <w:tcW w:w="1365" w:type="dxa"/>
            <w:tcBorders>
              <w:top w:val="single" w:color="auto" w:sz="4" w:space="0"/>
              <w:left w:val="single" w:color="auto" w:sz="4" w:space="0"/>
              <w:bottom w:val="single" w:color="auto" w:sz="4" w:space="0"/>
              <w:right w:val="double" w:color="auto" w:sz="2" w:space="0"/>
            </w:tcBorders>
            <w:vAlign w:val="center"/>
          </w:tcPr>
          <w:p w14:paraId="000B6262">
            <w:pPr>
              <w:jc w:val="center"/>
              <w:rPr>
                <w:rFonts w:ascii="宋体" w:hAnsi="宋体"/>
                <w:color w:val="auto"/>
                <w:szCs w:val="21"/>
              </w:rPr>
            </w:pPr>
          </w:p>
        </w:tc>
      </w:tr>
      <w:tr w14:paraId="65C2D17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tcBorders>
              <w:top w:val="single" w:color="auto" w:sz="4" w:space="0"/>
              <w:left w:val="double" w:color="auto" w:sz="2" w:space="0"/>
              <w:bottom w:val="double" w:color="auto" w:sz="2" w:space="0"/>
              <w:right w:val="single" w:color="auto" w:sz="4" w:space="0"/>
            </w:tcBorders>
            <w:vAlign w:val="center"/>
          </w:tcPr>
          <w:p w14:paraId="2E09ED1D">
            <w:pPr>
              <w:jc w:val="center"/>
              <w:rPr>
                <w:rFonts w:ascii="宋体" w:hAnsi="宋体"/>
                <w:color w:val="auto"/>
                <w:szCs w:val="21"/>
              </w:rPr>
            </w:pPr>
            <w:r>
              <w:rPr>
                <w:rFonts w:hint="eastAsia" w:ascii="宋体" w:hAnsi="宋体"/>
                <w:color w:val="auto"/>
              </w:rPr>
              <w:t>…</w:t>
            </w:r>
          </w:p>
        </w:tc>
        <w:tc>
          <w:tcPr>
            <w:tcW w:w="1313" w:type="dxa"/>
            <w:tcBorders>
              <w:top w:val="single" w:color="auto" w:sz="4" w:space="0"/>
              <w:left w:val="single" w:color="auto" w:sz="4" w:space="0"/>
              <w:bottom w:val="double" w:color="auto" w:sz="2" w:space="0"/>
              <w:right w:val="single" w:color="auto" w:sz="4" w:space="0"/>
            </w:tcBorders>
            <w:vAlign w:val="center"/>
          </w:tcPr>
          <w:p w14:paraId="76B7D56D">
            <w:pPr>
              <w:jc w:val="center"/>
              <w:rPr>
                <w:rFonts w:ascii="宋体" w:hAnsi="宋体"/>
                <w:color w:val="auto"/>
                <w:szCs w:val="21"/>
              </w:rPr>
            </w:pPr>
          </w:p>
        </w:tc>
        <w:tc>
          <w:tcPr>
            <w:tcW w:w="1417" w:type="dxa"/>
            <w:tcBorders>
              <w:top w:val="single" w:color="auto" w:sz="4" w:space="0"/>
              <w:left w:val="single" w:color="auto" w:sz="4" w:space="0"/>
              <w:bottom w:val="double" w:color="auto" w:sz="2" w:space="0"/>
              <w:right w:val="single" w:color="auto" w:sz="4" w:space="0"/>
            </w:tcBorders>
            <w:vAlign w:val="center"/>
          </w:tcPr>
          <w:p w14:paraId="69639F23">
            <w:pPr>
              <w:jc w:val="center"/>
              <w:rPr>
                <w:rFonts w:ascii="宋体" w:hAnsi="宋体"/>
                <w:color w:val="auto"/>
                <w:szCs w:val="21"/>
              </w:rPr>
            </w:pPr>
          </w:p>
        </w:tc>
        <w:tc>
          <w:tcPr>
            <w:tcW w:w="1276" w:type="dxa"/>
            <w:tcBorders>
              <w:top w:val="single" w:color="auto" w:sz="4" w:space="0"/>
              <w:left w:val="single" w:color="auto" w:sz="4" w:space="0"/>
              <w:bottom w:val="double" w:color="auto" w:sz="2" w:space="0"/>
              <w:right w:val="single" w:color="auto" w:sz="4" w:space="0"/>
            </w:tcBorders>
            <w:vAlign w:val="center"/>
          </w:tcPr>
          <w:p w14:paraId="3FCBFFE1">
            <w:pPr>
              <w:jc w:val="center"/>
              <w:rPr>
                <w:rFonts w:ascii="宋体" w:hAnsi="宋体"/>
                <w:color w:val="auto"/>
                <w:szCs w:val="21"/>
              </w:rPr>
            </w:pPr>
          </w:p>
        </w:tc>
        <w:tc>
          <w:tcPr>
            <w:tcW w:w="1984" w:type="dxa"/>
            <w:tcBorders>
              <w:top w:val="single" w:color="auto" w:sz="4" w:space="0"/>
              <w:left w:val="single" w:color="auto" w:sz="4" w:space="0"/>
              <w:bottom w:val="double" w:color="auto" w:sz="2" w:space="0"/>
              <w:right w:val="single" w:color="auto" w:sz="4" w:space="0"/>
            </w:tcBorders>
            <w:vAlign w:val="center"/>
          </w:tcPr>
          <w:p w14:paraId="29123AB6">
            <w:pPr>
              <w:jc w:val="center"/>
              <w:rPr>
                <w:rFonts w:ascii="宋体" w:hAnsi="宋体"/>
                <w:color w:val="auto"/>
                <w:szCs w:val="21"/>
              </w:rPr>
            </w:pPr>
          </w:p>
        </w:tc>
        <w:tc>
          <w:tcPr>
            <w:tcW w:w="1418" w:type="dxa"/>
            <w:tcBorders>
              <w:top w:val="single" w:color="auto" w:sz="4" w:space="0"/>
              <w:left w:val="single" w:color="auto" w:sz="4" w:space="0"/>
              <w:bottom w:val="double" w:color="auto" w:sz="2" w:space="0"/>
              <w:right w:val="single" w:color="auto" w:sz="4" w:space="0"/>
            </w:tcBorders>
            <w:vAlign w:val="center"/>
          </w:tcPr>
          <w:p w14:paraId="60613861">
            <w:pPr>
              <w:jc w:val="center"/>
              <w:rPr>
                <w:rFonts w:ascii="宋体" w:hAnsi="宋体"/>
                <w:color w:val="auto"/>
                <w:szCs w:val="21"/>
              </w:rPr>
            </w:pPr>
          </w:p>
        </w:tc>
        <w:tc>
          <w:tcPr>
            <w:tcW w:w="1365" w:type="dxa"/>
            <w:tcBorders>
              <w:top w:val="single" w:color="auto" w:sz="4" w:space="0"/>
              <w:left w:val="single" w:color="auto" w:sz="4" w:space="0"/>
              <w:bottom w:val="double" w:color="auto" w:sz="2" w:space="0"/>
              <w:right w:val="double" w:color="auto" w:sz="2" w:space="0"/>
            </w:tcBorders>
            <w:vAlign w:val="center"/>
          </w:tcPr>
          <w:p w14:paraId="03C1A7D6">
            <w:pPr>
              <w:jc w:val="center"/>
              <w:rPr>
                <w:rFonts w:ascii="宋体" w:hAnsi="宋体"/>
                <w:color w:val="auto"/>
                <w:szCs w:val="21"/>
              </w:rPr>
            </w:pPr>
          </w:p>
        </w:tc>
      </w:tr>
    </w:tbl>
    <w:p w14:paraId="0E7A037D">
      <w:pPr>
        <w:rPr>
          <w:color w:val="auto"/>
          <w:szCs w:val="21"/>
        </w:rPr>
      </w:pPr>
      <w:r>
        <w:rPr>
          <w:rFonts w:hint="eastAsia" w:ascii="宋体" w:hAnsi="宋体"/>
          <w:b/>
          <w:color w:val="auto"/>
        </w:rPr>
        <w:t>注：请根据评审标准提供相应证明材料。</w:t>
      </w:r>
    </w:p>
    <w:p w14:paraId="1171F422">
      <w:pPr>
        <w:spacing w:line="360" w:lineRule="auto"/>
        <w:rPr>
          <w:color w:val="auto"/>
          <w:spacing w:val="4"/>
          <w:szCs w:val="21"/>
        </w:rPr>
      </w:pPr>
    </w:p>
    <w:p w14:paraId="2206FD95">
      <w:pPr>
        <w:pStyle w:val="9"/>
        <w:rPr>
          <w:color w:val="auto"/>
        </w:rPr>
      </w:pPr>
      <w:r>
        <w:rPr>
          <w:color w:val="auto"/>
        </w:rPr>
        <w:br w:type="page"/>
      </w:r>
    </w:p>
    <w:p w14:paraId="7EE96324">
      <w:pPr>
        <w:spacing w:line="360" w:lineRule="auto"/>
        <w:outlineLvl w:val="1"/>
        <w:rPr>
          <w:rFonts w:ascii="宋体" w:hAnsi="宋体"/>
          <w:b/>
          <w:bCs/>
          <w:color w:val="auto"/>
          <w:szCs w:val="21"/>
        </w:rPr>
      </w:pPr>
      <w:bookmarkStart w:id="322" w:name="_Toc25598"/>
      <w:bookmarkStart w:id="323" w:name="_Toc2659"/>
      <w:bookmarkStart w:id="324" w:name="_Toc707750393"/>
      <w:r>
        <w:rPr>
          <w:rFonts w:hint="eastAsia" w:hAnsi="宋体"/>
          <w:b/>
          <w:bCs/>
          <w:color w:val="auto"/>
          <w:szCs w:val="21"/>
        </w:rPr>
        <w:t>格式1</w:t>
      </w:r>
      <w:r>
        <w:rPr>
          <w:rFonts w:hint="eastAsia" w:hAnsi="宋体"/>
          <w:b/>
          <w:bCs/>
          <w:color w:val="auto"/>
          <w:szCs w:val="21"/>
          <w:lang w:val="en-US" w:eastAsia="zh-CN"/>
        </w:rPr>
        <w:t>3</w:t>
      </w:r>
      <w:r>
        <w:rPr>
          <w:rFonts w:hint="eastAsia" w:hAnsi="宋体"/>
          <w:b/>
          <w:bCs/>
          <w:color w:val="auto"/>
          <w:szCs w:val="21"/>
        </w:rPr>
        <w:t xml:space="preserve"> </w:t>
      </w:r>
      <w:r>
        <w:rPr>
          <w:rFonts w:hint="eastAsia" w:hAnsi="宋体"/>
          <w:b/>
          <w:bCs/>
          <w:color w:val="auto"/>
          <w:szCs w:val="21"/>
          <w:lang w:val="en-US" w:eastAsia="zh-CN"/>
        </w:rPr>
        <w:t>履约能力</w:t>
      </w:r>
      <w:bookmarkEnd w:id="322"/>
      <w:bookmarkEnd w:id="323"/>
    </w:p>
    <w:p w14:paraId="2B7C3AB1">
      <w:pPr>
        <w:rPr>
          <w:rFonts w:hint="eastAsia" w:hAnsi="宋体"/>
          <w:b/>
          <w:bCs/>
          <w:color w:val="auto"/>
          <w:szCs w:val="21"/>
        </w:rPr>
      </w:pPr>
      <w:r>
        <w:rPr>
          <w:rFonts w:hint="eastAsia" w:hAnsi="宋体"/>
          <w:b/>
          <w:bCs/>
          <w:color w:val="auto"/>
          <w:szCs w:val="21"/>
        </w:rPr>
        <w:br w:type="page"/>
      </w:r>
    </w:p>
    <w:p w14:paraId="2A769F06">
      <w:pPr>
        <w:spacing w:line="360" w:lineRule="auto"/>
        <w:outlineLvl w:val="1"/>
        <w:rPr>
          <w:rFonts w:hint="eastAsia" w:ascii="Times New Roman" w:hAnsi="宋体" w:eastAsia="宋体" w:cs="Times New Roman"/>
          <w:b/>
          <w:bCs/>
          <w:color w:val="auto"/>
          <w:szCs w:val="21"/>
        </w:rPr>
      </w:pPr>
      <w:bookmarkStart w:id="325" w:name="_Toc32516"/>
      <w:bookmarkStart w:id="326" w:name="_Toc12026"/>
      <w:r>
        <w:rPr>
          <w:rFonts w:hint="eastAsia" w:ascii="Times New Roman" w:hAnsi="宋体" w:eastAsia="宋体" w:cs="Times New Roman"/>
          <w:b/>
          <w:bCs/>
          <w:color w:val="auto"/>
          <w:szCs w:val="21"/>
        </w:rPr>
        <w:t>格式1</w:t>
      </w:r>
      <w:r>
        <w:rPr>
          <w:rFonts w:hint="eastAsia" w:ascii="Times New Roman" w:hAnsi="宋体" w:eastAsia="宋体" w:cs="Times New Roman"/>
          <w:b/>
          <w:bCs/>
          <w:color w:val="auto"/>
          <w:szCs w:val="21"/>
          <w:lang w:val="en-US" w:eastAsia="zh-CN"/>
        </w:rPr>
        <w:t>4</w:t>
      </w:r>
      <w:r>
        <w:rPr>
          <w:rFonts w:hint="eastAsia" w:ascii="Times New Roman" w:hAnsi="宋体" w:eastAsia="宋体" w:cs="Times New Roman"/>
          <w:b/>
          <w:bCs/>
          <w:color w:val="auto"/>
          <w:szCs w:val="21"/>
        </w:rPr>
        <w:t xml:space="preserve"> </w:t>
      </w:r>
      <w:bookmarkEnd w:id="324"/>
      <w:r>
        <w:rPr>
          <w:rFonts w:hint="eastAsia" w:ascii="Times New Roman" w:hAnsi="宋体" w:eastAsia="宋体" w:cs="Times New Roman"/>
          <w:b/>
          <w:bCs/>
          <w:color w:val="auto"/>
          <w:szCs w:val="21"/>
        </w:rPr>
        <w:t>拟投入本项目的项目负责人情况</w:t>
      </w:r>
      <w:bookmarkEnd w:id="325"/>
      <w:bookmarkEnd w:id="326"/>
    </w:p>
    <w:p w14:paraId="76ED91EE">
      <w:pPr>
        <w:rPr>
          <w:rFonts w:hint="eastAsia" w:ascii="Times New Roman" w:hAnsi="宋体" w:eastAsia="宋体" w:cs="Times New Roman"/>
          <w:b/>
          <w:bCs/>
          <w:color w:val="auto"/>
          <w:szCs w:val="21"/>
        </w:rPr>
      </w:pPr>
    </w:p>
    <w:p w14:paraId="348CD687">
      <w:pPr>
        <w:rPr>
          <w:rFonts w:hint="eastAsia" w:ascii="Times New Roman" w:hAnsi="宋体" w:eastAsia="宋体" w:cs="Times New Roman"/>
          <w:b/>
          <w:bCs/>
          <w:color w:val="auto"/>
          <w:szCs w:val="21"/>
        </w:rPr>
      </w:pPr>
    </w:p>
    <w:p w14:paraId="74404E42">
      <w:pPr>
        <w:rPr>
          <w:rFonts w:hint="eastAsia" w:ascii="Times New Roman" w:hAnsi="宋体" w:eastAsia="宋体" w:cs="Times New Roman"/>
          <w:b/>
          <w:bCs/>
          <w:color w:val="auto"/>
          <w:szCs w:val="21"/>
        </w:rPr>
      </w:pPr>
    </w:p>
    <w:p w14:paraId="2671303D">
      <w:pPr>
        <w:rPr>
          <w:rFonts w:hint="eastAsia" w:ascii="Times New Roman" w:hAnsi="宋体" w:eastAsia="宋体" w:cs="Times New Roman"/>
          <w:b/>
          <w:bCs/>
          <w:color w:val="auto"/>
          <w:szCs w:val="21"/>
        </w:rPr>
      </w:pPr>
    </w:p>
    <w:p w14:paraId="0A985599">
      <w:pPr>
        <w:rPr>
          <w:rFonts w:hint="eastAsia" w:ascii="Times New Roman" w:hAnsi="宋体" w:eastAsia="宋体" w:cs="Times New Roman"/>
          <w:b/>
          <w:bCs/>
          <w:color w:val="auto"/>
          <w:szCs w:val="21"/>
        </w:rPr>
      </w:pPr>
    </w:p>
    <w:p w14:paraId="2B73386E">
      <w:pPr>
        <w:rPr>
          <w:rFonts w:hint="eastAsia" w:ascii="Times New Roman" w:hAnsi="宋体" w:eastAsia="宋体" w:cs="Times New Roman"/>
          <w:b/>
          <w:bCs/>
          <w:color w:val="auto"/>
          <w:szCs w:val="21"/>
        </w:rPr>
      </w:pPr>
    </w:p>
    <w:p w14:paraId="704ECB50">
      <w:pPr>
        <w:rPr>
          <w:rFonts w:hint="eastAsia" w:ascii="Times New Roman" w:hAnsi="宋体" w:eastAsia="宋体" w:cs="Times New Roman"/>
          <w:b/>
          <w:bCs/>
          <w:color w:val="auto"/>
          <w:szCs w:val="21"/>
        </w:rPr>
      </w:pPr>
    </w:p>
    <w:p w14:paraId="5097D4F2">
      <w:pPr>
        <w:rPr>
          <w:rFonts w:hint="eastAsia" w:ascii="Times New Roman" w:hAnsi="宋体" w:eastAsia="宋体" w:cs="Times New Roman"/>
          <w:b/>
          <w:bCs/>
          <w:color w:val="auto"/>
          <w:szCs w:val="21"/>
        </w:rPr>
      </w:pPr>
    </w:p>
    <w:p w14:paraId="3081BC6E">
      <w:pPr>
        <w:rPr>
          <w:rFonts w:hint="eastAsia" w:ascii="Times New Roman" w:hAnsi="宋体" w:eastAsia="宋体" w:cs="Times New Roman"/>
          <w:b/>
          <w:bCs/>
          <w:color w:val="auto"/>
          <w:szCs w:val="21"/>
        </w:rPr>
      </w:pPr>
    </w:p>
    <w:p w14:paraId="7DAC0EDA">
      <w:pPr>
        <w:rPr>
          <w:rFonts w:hint="eastAsia" w:ascii="Times New Roman" w:hAnsi="宋体" w:eastAsia="宋体" w:cs="Times New Roman"/>
          <w:b/>
          <w:bCs/>
          <w:color w:val="auto"/>
          <w:szCs w:val="21"/>
        </w:rPr>
      </w:pPr>
    </w:p>
    <w:p w14:paraId="679975F2">
      <w:pPr>
        <w:rPr>
          <w:rFonts w:hint="eastAsia" w:ascii="Times New Roman" w:hAnsi="宋体" w:eastAsia="宋体" w:cs="Times New Roman"/>
          <w:b/>
          <w:bCs/>
          <w:color w:val="auto"/>
          <w:szCs w:val="21"/>
        </w:rPr>
      </w:pPr>
    </w:p>
    <w:p w14:paraId="09878B13">
      <w:pPr>
        <w:rPr>
          <w:rFonts w:hint="eastAsia" w:ascii="Times New Roman" w:hAnsi="宋体" w:eastAsia="宋体" w:cs="Times New Roman"/>
          <w:b/>
          <w:bCs/>
          <w:color w:val="auto"/>
          <w:szCs w:val="21"/>
        </w:rPr>
      </w:pPr>
    </w:p>
    <w:p w14:paraId="3AF71A24">
      <w:pPr>
        <w:rPr>
          <w:rFonts w:hint="eastAsia" w:ascii="Times New Roman" w:hAnsi="宋体" w:eastAsia="宋体" w:cs="Times New Roman"/>
          <w:b/>
          <w:bCs/>
          <w:color w:val="auto"/>
          <w:szCs w:val="21"/>
        </w:rPr>
      </w:pPr>
    </w:p>
    <w:p w14:paraId="00852280">
      <w:pPr>
        <w:rPr>
          <w:rFonts w:hint="eastAsia" w:ascii="Times New Roman" w:hAnsi="宋体" w:eastAsia="宋体" w:cs="Times New Roman"/>
          <w:b/>
          <w:bCs/>
          <w:color w:val="auto"/>
          <w:szCs w:val="21"/>
        </w:rPr>
      </w:pPr>
    </w:p>
    <w:p w14:paraId="02CF789B">
      <w:pPr>
        <w:rPr>
          <w:rFonts w:hint="eastAsia" w:ascii="Times New Roman" w:hAnsi="宋体" w:eastAsia="宋体" w:cs="Times New Roman"/>
          <w:b/>
          <w:bCs/>
          <w:color w:val="auto"/>
          <w:szCs w:val="21"/>
        </w:rPr>
      </w:pPr>
    </w:p>
    <w:p w14:paraId="1949A88E">
      <w:pPr>
        <w:rPr>
          <w:rFonts w:hint="eastAsia" w:ascii="Times New Roman" w:hAnsi="宋体" w:eastAsia="宋体" w:cs="Times New Roman"/>
          <w:b/>
          <w:bCs/>
          <w:color w:val="auto"/>
          <w:szCs w:val="21"/>
        </w:rPr>
      </w:pPr>
    </w:p>
    <w:p w14:paraId="51531609">
      <w:pPr>
        <w:rPr>
          <w:rFonts w:hint="eastAsia" w:ascii="Times New Roman" w:hAnsi="宋体" w:eastAsia="宋体" w:cs="Times New Roman"/>
          <w:b/>
          <w:bCs/>
          <w:color w:val="auto"/>
          <w:szCs w:val="21"/>
        </w:rPr>
      </w:pPr>
    </w:p>
    <w:p w14:paraId="4D87BED5">
      <w:pPr>
        <w:rPr>
          <w:rFonts w:hint="eastAsia" w:ascii="Times New Roman" w:hAnsi="宋体" w:eastAsia="宋体" w:cs="Times New Roman"/>
          <w:b/>
          <w:bCs/>
          <w:color w:val="auto"/>
          <w:szCs w:val="21"/>
        </w:rPr>
      </w:pPr>
    </w:p>
    <w:p w14:paraId="4A0EB13C">
      <w:pPr>
        <w:rPr>
          <w:rFonts w:hint="eastAsia" w:ascii="Times New Roman" w:hAnsi="宋体" w:eastAsia="宋体" w:cs="Times New Roman"/>
          <w:b/>
          <w:bCs/>
          <w:color w:val="auto"/>
          <w:szCs w:val="21"/>
        </w:rPr>
      </w:pPr>
    </w:p>
    <w:p w14:paraId="5D71937C">
      <w:pPr>
        <w:rPr>
          <w:rFonts w:hint="eastAsia" w:ascii="Times New Roman" w:hAnsi="宋体" w:eastAsia="宋体" w:cs="Times New Roman"/>
          <w:b/>
          <w:bCs/>
          <w:color w:val="auto"/>
          <w:szCs w:val="21"/>
        </w:rPr>
      </w:pPr>
    </w:p>
    <w:p w14:paraId="73B17308">
      <w:pPr>
        <w:spacing w:line="360" w:lineRule="auto"/>
        <w:outlineLvl w:val="1"/>
        <w:rPr>
          <w:rFonts w:hint="eastAsia" w:ascii="Times New Roman" w:hAnsi="宋体" w:eastAsia="宋体" w:cs="Times New Roman"/>
          <w:b/>
          <w:bCs/>
          <w:color w:val="auto"/>
          <w:szCs w:val="21"/>
        </w:rPr>
      </w:pPr>
      <w:bookmarkStart w:id="327" w:name="_Toc15783"/>
      <w:bookmarkStart w:id="328" w:name="_Toc24703"/>
      <w:r>
        <w:rPr>
          <w:rFonts w:hint="eastAsia" w:ascii="Times New Roman" w:hAnsi="宋体" w:eastAsia="宋体" w:cs="Times New Roman"/>
          <w:b/>
          <w:bCs/>
          <w:color w:val="auto"/>
          <w:szCs w:val="21"/>
        </w:rPr>
        <w:t>格式1</w:t>
      </w:r>
      <w:r>
        <w:rPr>
          <w:rFonts w:hint="eastAsia" w:ascii="Times New Roman" w:hAnsi="宋体" w:eastAsia="宋体" w:cs="Times New Roman"/>
          <w:b/>
          <w:bCs/>
          <w:color w:val="auto"/>
          <w:szCs w:val="21"/>
          <w:lang w:val="en-US" w:eastAsia="zh-CN"/>
        </w:rPr>
        <w:t>5</w:t>
      </w:r>
      <w:r>
        <w:rPr>
          <w:rFonts w:hint="eastAsia" w:ascii="Times New Roman" w:hAnsi="宋体" w:eastAsia="宋体" w:cs="Times New Roman"/>
          <w:b/>
          <w:bCs/>
          <w:color w:val="auto"/>
          <w:szCs w:val="21"/>
        </w:rPr>
        <w:t xml:space="preserve"> 拟投入本项目的项目团队情况</w:t>
      </w:r>
      <w:bookmarkEnd w:id="327"/>
      <w:bookmarkEnd w:id="328"/>
    </w:p>
    <w:p w14:paraId="01AE6F13">
      <w:pPr>
        <w:spacing w:line="360" w:lineRule="auto"/>
        <w:rPr>
          <w:color w:val="auto"/>
          <w:spacing w:val="4"/>
          <w:szCs w:val="21"/>
        </w:rPr>
      </w:pPr>
    </w:p>
    <w:p w14:paraId="20209CC1">
      <w:pPr>
        <w:rPr>
          <w:color w:val="auto"/>
        </w:rPr>
      </w:pPr>
    </w:p>
    <w:p w14:paraId="09BD34AA">
      <w:pPr>
        <w:widowControl/>
        <w:jc w:val="left"/>
        <w:rPr>
          <w:color w:val="auto"/>
        </w:rPr>
      </w:pPr>
      <w:r>
        <w:rPr>
          <w:color w:val="auto"/>
        </w:rPr>
        <w:br w:type="page"/>
      </w:r>
    </w:p>
    <w:p w14:paraId="22773F17">
      <w:pPr>
        <w:pStyle w:val="3"/>
        <w:ind w:firstLine="0"/>
        <w:jc w:val="center"/>
        <w:rPr>
          <w:rFonts w:hAnsi="宋体"/>
          <w:color w:val="auto"/>
          <w:sz w:val="21"/>
          <w:szCs w:val="21"/>
        </w:rPr>
      </w:pPr>
      <w:bookmarkStart w:id="329" w:name="_Toc32156"/>
      <w:bookmarkStart w:id="330" w:name="_Toc436"/>
      <w:r>
        <w:rPr>
          <w:rFonts w:hint="eastAsia" w:hAnsi="宋体"/>
          <w:color w:val="auto"/>
          <w:sz w:val="44"/>
          <w:szCs w:val="44"/>
        </w:rPr>
        <w:t>四、价格部分</w:t>
      </w:r>
      <w:bookmarkEnd w:id="329"/>
      <w:bookmarkEnd w:id="330"/>
    </w:p>
    <w:p w14:paraId="44074888">
      <w:pPr>
        <w:pStyle w:val="3"/>
        <w:ind w:firstLine="0"/>
        <w:jc w:val="left"/>
        <w:rPr>
          <w:rFonts w:hAnsi="宋体"/>
          <w:bCs/>
          <w:color w:val="auto"/>
          <w:sz w:val="21"/>
          <w:szCs w:val="21"/>
        </w:rPr>
      </w:pPr>
      <w:bookmarkStart w:id="331" w:name="_Toc5582"/>
      <w:bookmarkStart w:id="332" w:name="_Toc30009"/>
      <w:r>
        <w:rPr>
          <w:rFonts w:hint="eastAsia" w:hAnsi="宋体"/>
          <w:bCs/>
          <w:color w:val="auto"/>
          <w:sz w:val="21"/>
          <w:szCs w:val="21"/>
        </w:rPr>
        <w:t>格式1</w:t>
      </w:r>
      <w:r>
        <w:rPr>
          <w:rFonts w:hint="eastAsia" w:hAnsi="宋体"/>
          <w:bCs/>
          <w:color w:val="auto"/>
          <w:sz w:val="21"/>
          <w:szCs w:val="21"/>
          <w:lang w:val="en-US" w:eastAsia="zh-CN"/>
        </w:rPr>
        <w:t>6</w:t>
      </w:r>
      <w:r>
        <w:rPr>
          <w:rFonts w:hAnsi="宋体"/>
          <w:bCs/>
          <w:color w:val="auto"/>
          <w:sz w:val="21"/>
          <w:szCs w:val="21"/>
        </w:rPr>
        <w:t xml:space="preserve"> 报价一览表（首次报价）</w:t>
      </w:r>
      <w:bookmarkEnd w:id="331"/>
      <w:bookmarkEnd w:id="332"/>
    </w:p>
    <w:p w14:paraId="65791EB9">
      <w:pPr>
        <w:spacing w:line="360" w:lineRule="auto"/>
        <w:ind w:left="1050" w:hanging="1050" w:hangingChars="500"/>
        <w:rPr>
          <w:rFonts w:hint="eastAsia" w:ascii="宋体" w:hAnsi="宋体" w:eastAsia="宋体" w:cs="Tahoma"/>
          <w:color w:val="auto"/>
          <w:szCs w:val="21"/>
          <w:lang w:eastAsia="zh-CN"/>
        </w:rPr>
      </w:pPr>
      <w:r>
        <w:rPr>
          <w:rFonts w:ascii="宋体" w:hAnsi="宋体"/>
          <w:color w:val="auto"/>
          <w:szCs w:val="21"/>
        </w:rPr>
        <w:t>项目名称：</w:t>
      </w:r>
      <w:r>
        <w:rPr>
          <w:rFonts w:hint="eastAsia" w:ascii="宋体" w:hAnsi="宋体" w:cs="Tahoma"/>
          <w:color w:val="auto"/>
          <w:szCs w:val="21"/>
          <w:lang w:eastAsia="zh-CN"/>
        </w:rPr>
        <w:t>2024年广州市南沙政务服务公众考核满意度调查项目</w:t>
      </w:r>
    </w:p>
    <w:p w14:paraId="5DEA260F">
      <w:pPr>
        <w:spacing w:line="360" w:lineRule="auto"/>
        <w:rPr>
          <w:rFonts w:hint="eastAsia" w:ascii="宋体" w:hAnsi="宋体" w:eastAsia="宋体"/>
          <w:color w:val="auto"/>
          <w:szCs w:val="21"/>
          <w:lang w:eastAsia="zh-CN"/>
        </w:rPr>
      </w:pPr>
      <w:r>
        <w:rPr>
          <w:rFonts w:ascii="宋体" w:hAnsi="宋体"/>
          <w:color w:val="auto"/>
          <w:szCs w:val="21"/>
        </w:rPr>
        <w:t>项目编号：</w:t>
      </w:r>
      <w:r>
        <w:rPr>
          <w:rFonts w:hint="eastAsia" w:ascii="宋体" w:hAnsi="宋体"/>
          <w:color w:val="auto"/>
          <w:szCs w:val="21"/>
          <w:lang w:eastAsia="zh-CN"/>
        </w:rPr>
        <w:t>GDWCFFC2312121</w:t>
      </w:r>
    </w:p>
    <w:tbl>
      <w:tblPr>
        <w:tblStyle w:val="27"/>
        <w:tblW w:w="9532" w:type="dxa"/>
        <w:tblInd w:w="25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2835"/>
        <w:gridCol w:w="3720"/>
      </w:tblGrid>
      <w:tr w14:paraId="76C8D4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2977" w:type="dxa"/>
            <w:vAlign w:val="center"/>
          </w:tcPr>
          <w:p w14:paraId="7BEB6BCE">
            <w:pPr>
              <w:jc w:val="center"/>
              <w:rPr>
                <w:rFonts w:ascii="宋体" w:hAnsi="宋体"/>
                <w:b/>
                <w:color w:val="auto"/>
                <w:szCs w:val="21"/>
              </w:rPr>
            </w:pPr>
            <w:r>
              <w:rPr>
                <w:rFonts w:hint="eastAsia" w:ascii="宋体" w:hAnsi="宋体"/>
                <w:b/>
                <w:color w:val="auto"/>
                <w:szCs w:val="21"/>
              </w:rPr>
              <w:t>响应供应商</w:t>
            </w:r>
          </w:p>
        </w:tc>
        <w:tc>
          <w:tcPr>
            <w:tcW w:w="2835" w:type="dxa"/>
            <w:vAlign w:val="center"/>
          </w:tcPr>
          <w:p w14:paraId="606FF54D">
            <w:pPr>
              <w:spacing w:line="360" w:lineRule="auto"/>
              <w:jc w:val="center"/>
              <w:rPr>
                <w:rFonts w:ascii="宋体" w:hAnsi="宋体" w:cs="宋体"/>
                <w:b/>
                <w:color w:val="auto"/>
                <w:szCs w:val="21"/>
              </w:rPr>
            </w:pPr>
            <w:r>
              <w:rPr>
                <w:rFonts w:hint="eastAsia" w:ascii="宋体" w:hAnsi="宋体" w:cs="宋体"/>
                <w:b/>
                <w:color w:val="auto"/>
                <w:szCs w:val="21"/>
              </w:rPr>
              <w:t>初次</w:t>
            </w:r>
            <w:r>
              <w:rPr>
                <w:rFonts w:ascii="宋体" w:hAnsi="宋体" w:cs="宋体"/>
                <w:b/>
                <w:color w:val="auto"/>
                <w:szCs w:val="21"/>
              </w:rPr>
              <w:t>报价（元）</w:t>
            </w:r>
          </w:p>
        </w:tc>
        <w:tc>
          <w:tcPr>
            <w:tcW w:w="3720" w:type="dxa"/>
            <w:vAlign w:val="center"/>
          </w:tcPr>
          <w:p w14:paraId="4578026E">
            <w:pPr>
              <w:spacing w:line="360" w:lineRule="auto"/>
              <w:jc w:val="center"/>
              <w:rPr>
                <w:rFonts w:hint="eastAsia" w:ascii="宋体" w:hAnsi="宋体" w:eastAsia="宋体" w:cs="宋体"/>
                <w:b/>
                <w:color w:val="auto"/>
                <w:szCs w:val="21"/>
                <w:lang w:eastAsia="zh-CN"/>
              </w:rPr>
            </w:pPr>
            <w:r>
              <w:rPr>
                <w:rFonts w:hint="eastAsia" w:ascii="宋体" w:hAnsi="宋体" w:cs="宋体"/>
                <w:b/>
                <w:color w:val="auto"/>
                <w:szCs w:val="21"/>
                <w:lang w:eastAsia="zh-CN"/>
              </w:rPr>
              <w:t>合同履行期限</w:t>
            </w:r>
          </w:p>
        </w:tc>
      </w:tr>
      <w:tr w14:paraId="639784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977" w:type="dxa"/>
            <w:vAlign w:val="center"/>
          </w:tcPr>
          <w:p w14:paraId="2615AD3E">
            <w:pPr>
              <w:jc w:val="center"/>
              <w:rPr>
                <w:rFonts w:ascii="宋体" w:hAnsi="宋体"/>
                <w:b/>
                <w:color w:val="auto"/>
                <w:szCs w:val="21"/>
              </w:rPr>
            </w:pPr>
          </w:p>
        </w:tc>
        <w:tc>
          <w:tcPr>
            <w:tcW w:w="2835" w:type="dxa"/>
            <w:vAlign w:val="center"/>
          </w:tcPr>
          <w:p w14:paraId="5F87DE34">
            <w:pPr>
              <w:ind w:left="795"/>
              <w:jc w:val="center"/>
              <w:rPr>
                <w:rFonts w:ascii="宋体" w:hAnsi="宋体"/>
                <w:b/>
                <w:color w:val="auto"/>
                <w:szCs w:val="21"/>
              </w:rPr>
            </w:pPr>
          </w:p>
        </w:tc>
        <w:tc>
          <w:tcPr>
            <w:tcW w:w="3720" w:type="dxa"/>
            <w:vAlign w:val="center"/>
          </w:tcPr>
          <w:p w14:paraId="5133E793">
            <w:pPr>
              <w:pStyle w:val="10"/>
              <w:snapToGrid w:val="0"/>
              <w:spacing w:line="360" w:lineRule="auto"/>
              <w:ind w:left="0" w:leftChars="0" w:right="25" w:rightChars="12" w:firstLine="0" w:firstLineChars="0"/>
              <w:rPr>
                <w:rFonts w:ascii="宋体" w:hAnsi="宋体"/>
                <w:color w:val="auto"/>
                <w:szCs w:val="21"/>
              </w:rPr>
            </w:pPr>
            <w:r>
              <w:rPr>
                <w:rFonts w:hint="eastAsia" w:ascii="宋体" w:hAnsi="宋体"/>
                <w:color w:val="auto"/>
                <w:highlight w:val="none"/>
                <w:lang w:eastAsia="zh-CN"/>
              </w:rPr>
              <w:t>2024年1月1日至2024年12月31日</w:t>
            </w:r>
            <w:r>
              <w:rPr>
                <w:rFonts w:hint="eastAsia" w:ascii="宋体" w:hAnsi="宋体"/>
                <w:color w:val="auto"/>
                <w:highlight w:val="none"/>
              </w:rPr>
              <w:t>。</w:t>
            </w:r>
          </w:p>
        </w:tc>
      </w:tr>
    </w:tbl>
    <w:p w14:paraId="4C5F9739">
      <w:pPr>
        <w:spacing w:line="360" w:lineRule="auto"/>
        <w:rPr>
          <w:rFonts w:ascii="宋体" w:hAnsi="宋体"/>
          <w:color w:val="auto"/>
          <w:szCs w:val="21"/>
        </w:rPr>
      </w:pPr>
    </w:p>
    <w:p w14:paraId="4D3B81D7">
      <w:pPr>
        <w:wordWrap w:val="0"/>
        <w:spacing w:line="480" w:lineRule="auto"/>
        <w:ind w:right="420"/>
        <w:jc w:val="right"/>
        <w:rPr>
          <w:rFonts w:ascii="宋体" w:hAnsi="宋体"/>
          <w:bCs/>
          <w:color w:val="auto"/>
          <w:szCs w:val="21"/>
        </w:rPr>
      </w:pPr>
    </w:p>
    <w:p w14:paraId="6214F55A">
      <w:pPr>
        <w:wordWrap w:val="0"/>
        <w:spacing w:line="480" w:lineRule="auto"/>
        <w:jc w:val="right"/>
        <w:rPr>
          <w:rFonts w:ascii="宋体" w:hAnsi="宋体"/>
          <w:bCs/>
          <w:color w:val="auto"/>
          <w:szCs w:val="21"/>
        </w:rPr>
      </w:pPr>
    </w:p>
    <w:p w14:paraId="5A984796">
      <w:pPr>
        <w:wordWrap w:val="0"/>
        <w:spacing w:line="360" w:lineRule="auto"/>
        <w:ind w:right="210"/>
        <w:jc w:val="left"/>
        <w:rPr>
          <w:rFonts w:ascii="宋体" w:hAnsi="宋体"/>
          <w:bCs/>
          <w:color w:val="auto"/>
          <w:szCs w:val="21"/>
        </w:rPr>
      </w:pPr>
      <w:r>
        <w:rPr>
          <w:rFonts w:hint="eastAsia" w:ascii="宋体" w:hAnsi="宋体"/>
          <w:bCs/>
          <w:color w:val="auto"/>
          <w:szCs w:val="21"/>
        </w:rPr>
        <w:t>响应供应商</w:t>
      </w:r>
      <w:r>
        <w:rPr>
          <w:rFonts w:ascii="宋体" w:hAnsi="宋体"/>
          <w:bCs/>
          <w:color w:val="auto"/>
          <w:szCs w:val="21"/>
        </w:rPr>
        <w:t>名称（盖公章）：</w:t>
      </w:r>
      <w:r>
        <w:rPr>
          <w:rFonts w:hint="eastAsia" w:ascii="宋体" w:hAnsi="宋体"/>
          <w:bCs/>
          <w:color w:val="auto"/>
          <w:szCs w:val="21"/>
        </w:rPr>
        <w:t xml:space="preserve"> </w:t>
      </w:r>
    </w:p>
    <w:p w14:paraId="3CD943C3">
      <w:pPr>
        <w:wordWrap w:val="0"/>
        <w:spacing w:line="360" w:lineRule="auto"/>
        <w:ind w:right="420"/>
        <w:rPr>
          <w:rFonts w:ascii="宋体" w:hAnsi="宋体"/>
          <w:bCs/>
          <w:color w:val="auto"/>
          <w:szCs w:val="21"/>
        </w:rPr>
      </w:pPr>
      <w:r>
        <w:rPr>
          <w:rFonts w:hint="eastAsia" w:ascii="宋体" w:hAnsi="宋体"/>
          <w:bCs/>
          <w:color w:val="auto"/>
          <w:szCs w:val="21"/>
        </w:rPr>
        <w:t>日</w:t>
      </w:r>
      <w:r>
        <w:rPr>
          <w:rFonts w:ascii="宋体" w:hAnsi="宋体"/>
          <w:bCs/>
          <w:color w:val="auto"/>
          <w:szCs w:val="21"/>
        </w:rPr>
        <w:t xml:space="preserve">   </w:t>
      </w:r>
      <w:r>
        <w:rPr>
          <w:rFonts w:hint="eastAsia" w:ascii="宋体" w:hAnsi="宋体"/>
          <w:bCs/>
          <w:color w:val="auto"/>
          <w:szCs w:val="21"/>
        </w:rPr>
        <w:t>期：</w:t>
      </w: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 xml:space="preserve">日           </w:t>
      </w:r>
    </w:p>
    <w:p w14:paraId="2E8E08DE">
      <w:pPr>
        <w:pStyle w:val="22"/>
        <w:spacing w:line="360" w:lineRule="auto"/>
        <w:ind w:left="422" w:hanging="422" w:hangingChars="200"/>
        <w:rPr>
          <w:rFonts w:ascii="宋体" w:hAnsi="宋体"/>
          <w:b/>
          <w:bCs/>
          <w:color w:val="auto"/>
          <w:szCs w:val="21"/>
        </w:rPr>
      </w:pPr>
    </w:p>
    <w:p w14:paraId="586B4440">
      <w:pPr>
        <w:pStyle w:val="22"/>
        <w:spacing w:line="360" w:lineRule="auto"/>
        <w:ind w:left="422" w:hanging="422" w:hangingChars="200"/>
        <w:rPr>
          <w:rFonts w:ascii="宋体" w:hAnsi="宋体"/>
          <w:b/>
          <w:bCs/>
          <w:color w:val="auto"/>
          <w:szCs w:val="21"/>
        </w:rPr>
      </w:pPr>
    </w:p>
    <w:p w14:paraId="16AF9E3B">
      <w:pPr>
        <w:pStyle w:val="22"/>
        <w:spacing w:line="360" w:lineRule="auto"/>
        <w:rPr>
          <w:rFonts w:ascii="宋体" w:hAnsi="宋体"/>
          <w:b/>
          <w:bCs/>
          <w:color w:val="auto"/>
          <w:szCs w:val="21"/>
        </w:rPr>
      </w:pPr>
    </w:p>
    <w:p w14:paraId="2A63DABF">
      <w:pPr>
        <w:spacing w:line="360" w:lineRule="auto"/>
        <w:rPr>
          <w:rFonts w:ascii="宋体" w:hAnsi="宋体"/>
          <w:b/>
          <w:bCs/>
          <w:color w:val="auto"/>
          <w:szCs w:val="21"/>
        </w:rPr>
      </w:pPr>
      <w:r>
        <w:rPr>
          <w:rFonts w:hint="eastAsia" w:ascii="宋体" w:hAnsi="宋体"/>
          <w:b/>
          <w:bCs/>
          <w:color w:val="auto"/>
          <w:szCs w:val="21"/>
        </w:rPr>
        <w:t>注：</w:t>
      </w:r>
    </w:p>
    <w:p w14:paraId="68A4D3B4">
      <w:pPr>
        <w:spacing w:line="360" w:lineRule="auto"/>
        <w:rPr>
          <w:rFonts w:ascii="宋体" w:hAnsi="宋体"/>
          <w:b/>
          <w:color w:val="auto"/>
          <w:szCs w:val="21"/>
        </w:rPr>
      </w:pPr>
      <w:r>
        <w:rPr>
          <w:rFonts w:hint="eastAsia" w:ascii="宋体" w:hAnsi="宋体"/>
          <w:b/>
          <w:color w:val="auto"/>
          <w:szCs w:val="21"/>
        </w:rPr>
        <w:t>1</w:t>
      </w:r>
      <w:r>
        <w:rPr>
          <w:rFonts w:ascii="宋体" w:hAnsi="宋体"/>
          <w:b/>
          <w:color w:val="auto"/>
          <w:szCs w:val="21"/>
        </w:rPr>
        <w:t>.</w:t>
      </w:r>
      <w:r>
        <w:rPr>
          <w:rFonts w:hint="eastAsia" w:ascii="宋体" w:hAnsi="宋体"/>
          <w:b/>
          <w:color w:val="auto"/>
          <w:szCs w:val="21"/>
        </w:rPr>
        <w:t>预算金额（最高限价）：¥</w:t>
      </w:r>
      <w:r>
        <w:rPr>
          <w:rFonts w:hint="eastAsia" w:ascii="宋体" w:hAnsi="宋体"/>
          <w:b/>
          <w:color w:val="auto"/>
          <w:szCs w:val="21"/>
          <w:lang w:eastAsia="zh-CN"/>
        </w:rPr>
        <w:t>792,800.00</w:t>
      </w:r>
      <w:r>
        <w:rPr>
          <w:rFonts w:hint="eastAsia" w:ascii="宋体" w:hAnsi="宋体"/>
          <w:b/>
          <w:color w:val="auto"/>
          <w:szCs w:val="21"/>
        </w:rPr>
        <w:t>元，凡超过最高限价的，一律视为无效报价。</w:t>
      </w:r>
    </w:p>
    <w:p w14:paraId="615847C8">
      <w:pPr>
        <w:spacing w:line="360" w:lineRule="auto"/>
        <w:rPr>
          <w:rFonts w:ascii="宋体" w:hAnsi="宋体"/>
          <w:b/>
          <w:color w:val="auto"/>
          <w:szCs w:val="21"/>
        </w:rPr>
      </w:pPr>
      <w:r>
        <w:rPr>
          <w:rFonts w:hint="eastAsia" w:ascii="宋体" w:hAnsi="宋体"/>
          <w:b/>
          <w:color w:val="auto"/>
          <w:szCs w:val="21"/>
        </w:rPr>
        <w:t>2.</w:t>
      </w:r>
      <w:r>
        <w:rPr>
          <w:rFonts w:ascii="宋体" w:hAnsi="宋体"/>
          <w:b/>
          <w:color w:val="auto"/>
          <w:szCs w:val="21"/>
        </w:rPr>
        <w:t>上述日期均以日历日为单位，包括法定节假日。</w:t>
      </w:r>
    </w:p>
    <w:p w14:paraId="4B89F767">
      <w:pPr>
        <w:spacing w:line="360" w:lineRule="auto"/>
        <w:rPr>
          <w:rFonts w:ascii="宋体" w:hAnsi="宋体"/>
          <w:b/>
          <w:color w:val="auto"/>
          <w:szCs w:val="21"/>
        </w:rPr>
      </w:pPr>
      <w:r>
        <w:rPr>
          <w:rFonts w:hint="eastAsia" w:ascii="宋体" w:hAnsi="宋体"/>
          <w:b/>
          <w:color w:val="auto"/>
          <w:szCs w:val="21"/>
        </w:rPr>
        <w:t>3</w:t>
      </w:r>
      <w:r>
        <w:rPr>
          <w:rFonts w:ascii="宋体" w:hAnsi="宋体"/>
          <w:b/>
          <w:color w:val="auto"/>
          <w:szCs w:val="21"/>
        </w:rPr>
        <w:t>.对含糊不清或不确定的报价将视为无效报价。</w:t>
      </w:r>
    </w:p>
    <w:p w14:paraId="72F72432">
      <w:pPr>
        <w:spacing w:line="360" w:lineRule="auto"/>
        <w:ind w:left="425" w:hanging="425"/>
        <w:outlineLvl w:val="1"/>
        <w:rPr>
          <w:color w:val="auto"/>
          <w:szCs w:val="21"/>
        </w:rPr>
      </w:pPr>
      <w:r>
        <w:rPr>
          <w:rFonts w:hAnsi="宋体"/>
          <w:color w:val="auto"/>
          <w:szCs w:val="21"/>
        </w:rPr>
        <w:br w:type="page"/>
      </w:r>
      <w:bookmarkStart w:id="333" w:name="_Toc27626"/>
      <w:bookmarkStart w:id="334" w:name="_Toc8689"/>
      <w:r>
        <w:rPr>
          <w:rFonts w:hint="eastAsia" w:ascii="宋体" w:hAnsi="宋体"/>
          <w:b/>
          <w:bCs/>
          <w:color w:val="auto"/>
          <w:szCs w:val="21"/>
        </w:rPr>
        <w:t>格式1</w:t>
      </w:r>
      <w:r>
        <w:rPr>
          <w:rFonts w:hint="eastAsia" w:ascii="宋体" w:hAnsi="宋体"/>
          <w:b/>
          <w:bCs/>
          <w:color w:val="auto"/>
          <w:szCs w:val="21"/>
          <w:lang w:val="en-US" w:eastAsia="zh-CN"/>
        </w:rPr>
        <w:t>7</w:t>
      </w:r>
      <w:r>
        <w:rPr>
          <w:rFonts w:ascii="宋体" w:hAnsi="宋体"/>
          <w:b/>
          <w:bCs/>
          <w:color w:val="auto"/>
          <w:szCs w:val="21"/>
        </w:rPr>
        <w:t xml:space="preserve"> 报价明细表</w:t>
      </w:r>
      <w:bookmarkEnd w:id="333"/>
      <w:bookmarkEnd w:id="334"/>
    </w:p>
    <w:p w14:paraId="62436431">
      <w:pPr>
        <w:spacing w:line="360" w:lineRule="auto"/>
        <w:ind w:firstLine="420" w:firstLineChars="200"/>
        <w:rPr>
          <w:rFonts w:ascii="宋体" w:hAnsi="宋体"/>
          <w:color w:val="auto"/>
        </w:rPr>
      </w:pPr>
      <w:r>
        <w:rPr>
          <w:rFonts w:hint="eastAsia" w:ascii="宋体" w:hAnsi="宋体"/>
          <w:color w:val="auto"/>
        </w:rPr>
        <w:t>1.响应报价为所投项目的执行投标价，包括响应供应商履行本项目合同（如果成交）所必须的所有成本费用和响应供应商应承担的一切税费。如果响应供应商在成交并签署合同后，在项目实施过程中出现任何遗漏，均由成交供应商免费提供，采购人将不再支付任何费用。</w:t>
      </w:r>
    </w:p>
    <w:p w14:paraId="044818D3">
      <w:pPr>
        <w:spacing w:line="360" w:lineRule="auto"/>
        <w:ind w:left="480"/>
        <w:rPr>
          <w:rFonts w:ascii="宋体" w:hAnsi="宋体"/>
          <w:color w:val="auto"/>
          <w:szCs w:val="21"/>
        </w:rPr>
      </w:pPr>
      <w:r>
        <w:rPr>
          <w:rFonts w:hint="eastAsia" w:ascii="宋体" w:hAnsi="宋体" w:cs="Arial"/>
          <w:color w:val="auto"/>
        </w:rPr>
        <w:t>2.请响应供应商进行详细的报价分析（格式自定）。</w:t>
      </w:r>
    </w:p>
    <w:p w14:paraId="7C80B5E3">
      <w:pPr>
        <w:spacing w:line="360" w:lineRule="auto"/>
        <w:ind w:left="480"/>
        <w:rPr>
          <w:rFonts w:ascii="宋体" w:hAnsi="宋体"/>
          <w:color w:val="auto"/>
          <w:szCs w:val="21"/>
        </w:rPr>
      </w:pPr>
    </w:p>
    <w:p w14:paraId="54280DD4">
      <w:pPr>
        <w:spacing w:line="360" w:lineRule="auto"/>
        <w:ind w:left="480"/>
        <w:rPr>
          <w:rFonts w:ascii="宋体" w:hAnsi="宋体"/>
          <w:color w:val="auto"/>
          <w:szCs w:val="21"/>
        </w:rPr>
      </w:pPr>
    </w:p>
    <w:p w14:paraId="7AF6FB58">
      <w:pPr>
        <w:spacing w:line="360" w:lineRule="auto"/>
        <w:ind w:left="480"/>
        <w:rPr>
          <w:rFonts w:ascii="宋体" w:hAnsi="宋体"/>
          <w:color w:val="auto"/>
          <w:szCs w:val="21"/>
        </w:rPr>
      </w:pPr>
    </w:p>
    <w:bookmarkEnd w:id="318"/>
    <w:p w14:paraId="50386F3C">
      <w:pPr>
        <w:spacing w:line="360" w:lineRule="auto"/>
        <w:ind w:left="480"/>
        <w:rPr>
          <w:rFonts w:ascii="宋体" w:hAnsi="宋体"/>
          <w:color w:val="auto"/>
          <w:szCs w:val="21"/>
        </w:rPr>
      </w:pPr>
    </w:p>
    <w:p w14:paraId="42965650">
      <w:pPr>
        <w:rPr>
          <w:color w:val="auto"/>
          <w:szCs w:val="21"/>
        </w:rPr>
      </w:pPr>
    </w:p>
    <w:p w14:paraId="00D1CB6E">
      <w:pPr>
        <w:rPr>
          <w:color w:val="auto"/>
          <w:szCs w:val="21"/>
        </w:rPr>
      </w:pPr>
    </w:p>
    <w:sectPr>
      <w:footerReference r:id="rId10" w:type="default"/>
      <w:pgSz w:w="11906" w:h="16838"/>
      <w:pgMar w:top="1276" w:right="1191" w:bottom="1191" w:left="1361" w:header="737"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Corbel"/>
    <w:panose1 w:val="00000000000000000000"/>
    <w:charset w:val="00"/>
    <w:family w:val="auto"/>
    <w:pitch w:val="default"/>
    <w:sig w:usb0="00000000" w:usb1="00000000" w:usb2="00000000" w:usb3="00000000" w:csb0="00000000" w:csb1="00000000"/>
  </w:font>
  <w:font w:name="PingFang SC">
    <w:altName w:val="Malgun Gothic Semilight"/>
    <w:panose1 w:val="00000000000000000000"/>
    <w:charset w:val="86"/>
    <w:family w:val="auto"/>
    <w:pitch w:val="default"/>
    <w:sig w:usb0="00000000" w:usb1="00000000" w:usb2="00000000" w:usb3="00000000" w:csb0="0016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 of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695E">
    <w:pPr>
      <w:pStyle w:val="65"/>
      <w:jc w:val="both"/>
      <w:rPr>
        <w:rFonts w:cs="Tahom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C0D8">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B13D">
    <w:pPr>
      <w:pStyle w:val="65"/>
      <w:jc w:val="both"/>
      <w:rPr>
        <w:rFonts w:cs="Tahoma"/>
      </w:rPr>
    </w:pPr>
    <w:r>
      <w:rPr>
        <w:rFonts w:hint="eastAsia" w:cs="Tahoma"/>
        <w:bCs/>
        <w:kern w:val="28"/>
      </w:rPr>
      <w:t>联系电话：020-85515579</w:t>
    </w:r>
    <w:r>
      <w:rPr>
        <w:rFonts w:cs="Tahoma"/>
        <w:bCs/>
        <w:kern w:val="28"/>
        <w:lang w:eastAsia="zh-TW"/>
      </w:rPr>
      <w:t xml:space="preserve">                                                       </w:t>
    </w:r>
    <w:r>
      <w:rPr>
        <w:rFonts w:hint="eastAsia" w:cs="Tahoma"/>
        <w:bCs/>
        <w:kern w:val="28"/>
      </w:rPr>
      <w:t xml:space="preserve">  </w:t>
    </w:r>
    <w:r>
      <w:rPr>
        <w:rFonts w:cs="Tahoma"/>
        <w:bCs/>
        <w:kern w:val="28"/>
        <w:lang w:eastAsia="zh-TW"/>
      </w:rPr>
      <w:t xml:space="preserve"> </w:t>
    </w:r>
    <w:r>
      <w:rPr>
        <w:rFonts w:hint="eastAsia" w:cs="宋体"/>
      </w:rPr>
      <w:t>邮箱：</w:t>
    </w:r>
    <w:r>
      <w:fldChar w:fldCharType="begin"/>
    </w:r>
    <w:r>
      <w:instrText xml:space="preserve"> HYPERLINK "mailto:gdwczb01@163.com" </w:instrText>
    </w:r>
    <w:r>
      <w:fldChar w:fldCharType="separate"/>
    </w:r>
    <w:r>
      <w:rPr>
        <w:rStyle w:val="32"/>
        <w:rFonts w:cs="宋体"/>
        <w:sz w:val="18"/>
        <w:szCs w:val="18"/>
        <w:lang w:val="zh-CN"/>
      </w:rPr>
      <w:t>gdwczb01@163.com</w:t>
    </w:r>
    <w:r>
      <w:rPr>
        <w:rStyle w:val="32"/>
        <w:rFonts w:cs="宋体"/>
        <w:sz w:val="18"/>
        <w:szCs w:val="18"/>
        <w:lang w:val="zh-CN"/>
      </w:rPr>
      <w:fldChar w:fldCharType="end"/>
    </w:r>
    <w:r>
      <w:rPr>
        <w:rFonts w:hint="eastAsia" w:cs="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2085">
    <w:pPr>
      <w:pStyle w:val="16"/>
    </w:pPr>
    <w:r>
      <w:rPr>
        <w:rFonts w:hint="eastAsia" w:cs="Tahoma"/>
        <w:bCs/>
        <w:kern w:val="28"/>
      </w:rPr>
      <w:t>联系电话：020-85515579</w:t>
    </w:r>
    <w:r>
      <w:rPr>
        <w:rFonts w:cs="Tahoma"/>
        <w:bCs/>
        <w:kern w:val="28"/>
        <w:lang w:eastAsia="zh-TW"/>
      </w:rPr>
      <w:t xml:space="preserve">                                                       </w:t>
    </w:r>
    <w:r>
      <w:rPr>
        <w:rFonts w:hint="eastAsia" w:cs="Tahoma"/>
        <w:bCs/>
        <w:kern w:val="28"/>
      </w:rPr>
      <w:t xml:space="preserve">  </w:t>
    </w:r>
    <w:r>
      <w:rPr>
        <w:rFonts w:cs="Tahoma"/>
        <w:bCs/>
        <w:kern w:val="28"/>
        <w:lang w:eastAsia="zh-TW"/>
      </w:rPr>
      <w:t xml:space="preserve"> </w:t>
    </w:r>
    <w:r>
      <w:rPr>
        <w:rFonts w:hint="eastAsia" w:cs="宋体"/>
      </w:rPr>
      <w:t>邮箱：</w:t>
    </w:r>
    <w:r>
      <w:rPr>
        <w:rFonts w:cs="宋体"/>
      </w:rPr>
      <w:t xml:space="preserve">gdwczb01@163.com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9F65">
    <w:pPr>
      <w:pStyle w:val="65"/>
      <w:pBdr>
        <w:top w:val="single" w:color="auto" w:sz="6" w:space="2"/>
      </w:pBdr>
      <w:wordWrap w:val="0"/>
      <w:rPr>
        <w:rFonts w:cs="Tahoma"/>
      </w:rPr>
    </w:pPr>
    <w:r>
      <w:rPr>
        <w:rFonts w:hint="eastAsia" w:cs="Tahoma"/>
        <w:bCs/>
        <w:kern w:val="28"/>
      </w:rPr>
      <w:t>联系电话：</w:t>
    </w:r>
    <w:r>
      <w:rPr>
        <w:rFonts w:cs="Tahoma"/>
        <w:bCs/>
        <w:kern w:val="28"/>
        <w:lang w:eastAsia="zh-TW"/>
      </w:rPr>
      <w:t>02</w:t>
    </w:r>
    <w:r>
      <w:rPr>
        <w:rFonts w:hint="eastAsia" w:cs="Tahoma"/>
        <w:bCs/>
        <w:kern w:val="28"/>
      </w:rPr>
      <w:t>0-85515579</w:t>
    </w:r>
    <w:r>
      <w:rPr>
        <w:rFonts w:cs="Tahoma"/>
        <w:bCs/>
        <w:kern w:val="28"/>
        <w:lang w:eastAsia="zh-TW"/>
      </w:rPr>
      <w:t xml:space="preserve">                             </w:t>
    </w:r>
    <w:r>
      <w:rPr>
        <w:rFonts w:cs="Tahoma"/>
        <w:bCs/>
        <w:kern w:val="28"/>
      </w:rPr>
      <w:fldChar w:fldCharType="begin"/>
    </w:r>
    <w:r>
      <w:rPr>
        <w:rFonts w:cs="Tahoma"/>
        <w:bCs/>
        <w:kern w:val="28"/>
      </w:rPr>
      <w:instrText xml:space="preserve">PAGE   \* MERGEFORMAT</w:instrText>
    </w:r>
    <w:r>
      <w:rPr>
        <w:rFonts w:cs="Tahoma"/>
        <w:bCs/>
        <w:kern w:val="28"/>
      </w:rPr>
      <w:fldChar w:fldCharType="separate"/>
    </w:r>
    <w:r>
      <w:rPr>
        <w:rFonts w:cs="Tahoma"/>
        <w:bCs/>
        <w:kern w:val="28"/>
        <w:lang w:eastAsia="zh-TW"/>
      </w:rPr>
      <w:t>47</w:t>
    </w:r>
    <w:r>
      <w:rPr>
        <w:rFonts w:cs="Tahoma"/>
        <w:bCs/>
        <w:kern w:val="28"/>
      </w:rPr>
      <w:fldChar w:fldCharType="end"/>
    </w:r>
    <w:r>
      <w:rPr>
        <w:rFonts w:cs="Tahoma"/>
        <w:bCs/>
        <w:kern w:val="28"/>
        <w:lang w:eastAsia="zh-TW"/>
      </w:rPr>
      <w:t xml:space="preserve">                         </w:t>
    </w:r>
    <w:r>
      <w:rPr>
        <w:rFonts w:hint="eastAsia" w:cs="宋体"/>
      </w:rPr>
      <w:t>邮箱：</w:t>
    </w:r>
    <w:r>
      <w:fldChar w:fldCharType="begin"/>
    </w:r>
    <w:r>
      <w:instrText xml:space="preserve"> HYPERLINK "mailto:gdwczb01@163.com" </w:instrText>
    </w:r>
    <w:r>
      <w:fldChar w:fldCharType="separate"/>
    </w:r>
    <w:r>
      <w:rPr>
        <w:rStyle w:val="32"/>
        <w:rFonts w:cs="宋体"/>
        <w:sz w:val="18"/>
        <w:szCs w:val="18"/>
        <w:lang w:val="zh-CN"/>
      </w:rPr>
      <w:t>gdwczb01@163.com</w:t>
    </w:r>
    <w:r>
      <w:rPr>
        <w:rStyle w:val="32"/>
        <w:rFonts w:cs="宋体"/>
        <w:sz w:val="18"/>
        <w:szCs w:val="18"/>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BBE7">
    <w:pPr>
      <w:pStyle w:val="17"/>
      <w:spacing w:line="240" w:lineRule="auto"/>
      <w:ind w:right="720" w:firstLine="540" w:firstLineChars="300"/>
      <w:jc w:val="both"/>
      <w:rPr>
        <w:szCs w:val="18"/>
      </w:rPr>
    </w:pPr>
    <w:r>
      <w:rPr>
        <w:lang w:val="en-US"/>
      </w:rPr>
      <w:drawing>
        <wp:anchor distT="0" distB="0" distL="114300" distR="114300" simplePos="0" relativeHeight="251659264" behindDoc="0" locked="0" layoutInCell="1" allowOverlap="1">
          <wp:simplePos x="0" y="0"/>
          <wp:positionH relativeFrom="column">
            <wp:posOffset>-45085</wp:posOffset>
          </wp:positionH>
          <wp:positionV relativeFrom="paragraph">
            <wp:posOffset>-85090</wp:posOffset>
          </wp:positionV>
          <wp:extent cx="457200" cy="318770"/>
          <wp:effectExtent l="0" t="0" r="0" b="5080"/>
          <wp:wrapNone/>
          <wp:docPr id="1" name="图片 1" descr="C:\Users\DELL\AppData\Local\Temp\WeChat Files\98372054b57150257b3049d8a616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WeChat Files\98372054b57150257b3049d8a616e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57200" cy="318976"/>
                  </a:xfrm>
                  <a:prstGeom prst="rect">
                    <a:avLst/>
                  </a:prstGeom>
                  <a:noFill/>
                  <a:ln>
                    <a:noFill/>
                  </a:ln>
                </pic:spPr>
              </pic:pic>
            </a:graphicData>
          </a:graphic>
        </wp:anchor>
      </w:drawing>
    </w:r>
    <w:r>
      <w:rPr>
        <w:rFonts w:hint="eastAsia" w:ascii="华文楷体" w:hAnsi="华文楷体" w:eastAsia="华文楷体" w:cs="华文楷体"/>
        <w:b/>
        <w:bCs/>
        <w:sz w:val="21"/>
        <w:szCs w:val="21"/>
      </w:rPr>
      <w:t>广东为诚招标代理有限公司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68AF">
    <w:pPr>
      <w:pStyle w:val="17"/>
      <w:pBdr>
        <w:bottom w:val="none" w:color="auto" w:sz="0" w:space="0"/>
      </w:pBdr>
      <w:ind w:firstLine="0"/>
      <w:jc w:val="both"/>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2F1A">
    <w:pPr>
      <w:pStyle w:val="17"/>
      <w:pBdr>
        <w:bottom w:val="single" w:color="auto" w:sz="6" w:space="0"/>
      </w:pBdr>
      <w:spacing w:line="240" w:lineRule="auto"/>
      <w:ind w:firstLine="360" w:firstLineChars="200"/>
      <w:jc w:val="both"/>
      <w:rPr>
        <w:szCs w:val="18"/>
      </w:rPr>
    </w:pPr>
    <w:r>
      <w:rPr>
        <w:lang w:val="en-US"/>
      </w:rPr>
      <w:drawing>
        <wp:anchor distT="0" distB="0" distL="114300" distR="114300" simplePos="0" relativeHeight="251660288" behindDoc="0" locked="0" layoutInCell="1" allowOverlap="1">
          <wp:simplePos x="0" y="0"/>
          <wp:positionH relativeFrom="column">
            <wp:posOffset>-94615</wp:posOffset>
          </wp:positionH>
          <wp:positionV relativeFrom="paragraph">
            <wp:posOffset>-102235</wp:posOffset>
          </wp:positionV>
          <wp:extent cx="457200" cy="318770"/>
          <wp:effectExtent l="0" t="0" r="0" b="5080"/>
          <wp:wrapNone/>
          <wp:docPr id="8" name="图片 8" descr="C:\Users\DELL\AppData\Local\Temp\WeChat Files\98372054b57150257b3049d8a616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ELL\AppData\Local\Temp\WeChat Files\98372054b57150257b3049d8a616e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57200" cy="318976"/>
                  </a:xfrm>
                  <a:prstGeom prst="rect">
                    <a:avLst/>
                  </a:prstGeom>
                  <a:noFill/>
                  <a:ln>
                    <a:noFill/>
                  </a:ln>
                </pic:spPr>
              </pic:pic>
            </a:graphicData>
          </a:graphic>
        </wp:anchor>
      </w:drawing>
    </w:r>
    <w:r>
      <w:rPr>
        <w:rFonts w:hint="eastAsia" w:ascii="华文楷体" w:hAnsi="华文楷体" w:eastAsia="华文楷体" w:cs="华文楷体"/>
        <w:b/>
        <w:bCs/>
        <w:sz w:val="21"/>
        <w:szCs w:val="21"/>
      </w:rPr>
      <w:t>广东为诚招标代理有限公司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2.1"/>
      <w:lvlJc w:val="left"/>
      <w:pPr>
        <w:tabs>
          <w:tab w:val="left" w:pos="1118"/>
        </w:tabs>
        <w:ind w:left="1118" w:hanging="851"/>
      </w:pPr>
      <w:rPr>
        <w:rFonts w:hint="eastAsia" w:ascii="宋体" w:eastAsia="宋体"/>
        <w:b w:val="0"/>
        <w:i w:val="0"/>
        <w:color w:val="auto"/>
        <w:sz w:val="21"/>
        <w:szCs w:val="24"/>
      </w:rPr>
    </w:lvl>
    <w:lvl w:ilvl="2" w:tentative="0">
      <w:start w:val="1"/>
      <w:numFmt w:val="decimal"/>
      <w:lvlText w:val="%1.%2.%3"/>
      <w:lvlJc w:val="left"/>
      <w:pPr>
        <w:tabs>
          <w:tab w:val="left" w:pos="1118"/>
        </w:tabs>
        <w:ind w:left="1118" w:hanging="851"/>
      </w:pPr>
      <w:rPr>
        <w:rFonts w:hint="eastAsia"/>
      </w:rPr>
    </w:lvl>
    <w:lvl w:ilvl="3" w:tentative="0">
      <w:start w:val="1"/>
      <w:numFmt w:val="decimal"/>
      <w:lvlText w:val="(%4)"/>
      <w:lvlJc w:val="left"/>
      <w:pPr>
        <w:tabs>
          <w:tab w:val="left" w:pos="1118"/>
        </w:tabs>
        <w:ind w:left="1118" w:hanging="567"/>
      </w:pPr>
      <w:rPr>
        <w:rFonts w:hint="eastAsia" w:ascii="宋体" w:eastAsia="宋体"/>
        <w:b w:val="0"/>
        <w:i w:val="0"/>
        <w:color w:val="000000"/>
        <w:sz w:val="21"/>
      </w:rPr>
    </w:lvl>
    <w:lvl w:ilvl="4" w:tentative="0">
      <w:start w:val="1"/>
      <w:numFmt w:val="decimal"/>
      <w:lvlText w:val="%1.%2.%3.%4.%5"/>
      <w:lvlJc w:val="left"/>
      <w:pPr>
        <w:tabs>
          <w:tab w:val="left" w:pos="687"/>
        </w:tabs>
        <w:ind w:left="687" w:hanging="420"/>
      </w:pPr>
      <w:rPr>
        <w:rFonts w:hint="eastAsia"/>
      </w:rPr>
    </w:lvl>
    <w:lvl w:ilvl="5" w:tentative="0">
      <w:start w:val="1"/>
      <w:numFmt w:val="decimal"/>
      <w:lvlText w:val="%1.%2.%3.%4.%5.%6"/>
      <w:lvlJc w:val="left"/>
      <w:pPr>
        <w:tabs>
          <w:tab w:val="left" w:pos="687"/>
        </w:tabs>
        <w:ind w:left="687" w:hanging="420"/>
      </w:pPr>
      <w:rPr>
        <w:rFonts w:hint="eastAsia"/>
      </w:rPr>
    </w:lvl>
    <w:lvl w:ilvl="6" w:tentative="0">
      <w:start w:val="1"/>
      <w:numFmt w:val="decimal"/>
      <w:lvlText w:val="%1.%2.%3.%4.%5.%6.%7"/>
      <w:lvlJc w:val="left"/>
      <w:pPr>
        <w:tabs>
          <w:tab w:val="left" w:pos="687"/>
        </w:tabs>
        <w:ind w:left="687" w:hanging="420"/>
      </w:pPr>
      <w:rPr>
        <w:rFonts w:hint="eastAsia"/>
      </w:rPr>
    </w:lvl>
    <w:lvl w:ilvl="7" w:tentative="0">
      <w:start w:val="1"/>
      <w:numFmt w:val="decimal"/>
      <w:lvlText w:val="%1.%2.%3.%4.%5.%6.%7.%8"/>
      <w:lvlJc w:val="left"/>
      <w:pPr>
        <w:tabs>
          <w:tab w:val="left" w:pos="687"/>
        </w:tabs>
        <w:ind w:left="687" w:hanging="420"/>
      </w:pPr>
      <w:rPr>
        <w:rFonts w:hint="eastAsia"/>
      </w:rPr>
    </w:lvl>
    <w:lvl w:ilvl="8" w:tentative="0">
      <w:start w:val="1"/>
      <w:numFmt w:val="decimal"/>
      <w:lvlText w:val="%1.%2.%3.%4.%5.%6.%7.%8.%9"/>
      <w:lvlJc w:val="left"/>
      <w:pPr>
        <w:tabs>
          <w:tab w:val="left" w:pos="687"/>
        </w:tabs>
        <w:ind w:left="687" w:hanging="420"/>
      </w:pPr>
      <w:rPr>
        <w:rFonts w:hint="eastAsia"/>
      </w:rPr>
    </w:lvl>
  </w:abstractNum>
  <w:abstractNum w:abstractNumId="1">
    <w:nsid w:val="00000032"/>
    <w:multiLevelType w:val="multilevel"/>
    <w:tmpl w:val="00000032"/>
    <w:lvl w:ilvl="0" w:tentative="0">
      <w:start w:val="1"/>
      <w:numFmt w:val="decimal"/>
      <w:lvlText w:val="（%1）"/>
      <w:lvlJc w:val="left"/>
      <w:pPr>
        <w:tabs>
          <w:tab w:val="left" w:pos="1080"/>
        </w:tabs>
        <w:ind w:left="1080" w:hanging="1080"/>
      </w:pPr>
    </w:lvl>
    <w:lvl w:ilvl="1" w:tentative="0">
      <w:start w:val="1"/>
      <w:numFmt w:val="bullet"/>
      <w:lvlText w:val=""/>
      <w:lvlJc w:val="left"/>
      <w:pPr>
        <w:tabs>
          <w:tab w:val="left" w:pos="600"/>
        </w:tabs>
        <w:ind w:left="60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3CF1A00"/>
    <w:multiLevelType w:val="multilevel"/>
    <w:tmpl w:val="13CF1A00"/>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0C669B"/>
    <w:multiLevelType w:val="multilevel"/>
    <w:tmpl w:val="290C669B"/>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E6B5119"/>
    <w:multiLevelType w:val="multilevel"/>
    <w:tmpl w:val="3E6B51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00C500D"/>
    <w:multiLevelType w:val="multilevel"/>
    <w:tmpl w:val="400C500D"/>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1066F9"/>
    <w:multiLevelType w:val="multilevel"/>
    <w:tmpl w:val="4F1066F9"/>
    <w:lvl w:ilvl="0" w:tentative="0">
      <w:start w:val="1"/>
      <w:numFmt w:val="upperLetter"/>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5E662A9E"/>
    <w:multiLevelType w:val="multilevel"/>
    <w:tmpl w:val="5E662A9E"/>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15B4ED"/>
    <w:multiLevelType w:val="multilevel"/>
    <w:tmpl w:val="6115B4ED"/>
    <w:lvl w:ilvl="0" w:tentative="0">
      <w:start w:val="1"/>
      <w:numFmt w:val="japaneseCounting"/>
      <w:lvlText w:val="%1、"/>
      <w:lvlJc w:val="left"/>
      <w:pPr>
        <w:ind w:left="360" w:hanging="3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761D1E"/>
    <w:multiLevelType w:val="multilevel"/>
    <w:tmpl w:val="62761D1E"/>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9307748"/>
    <w:multiLevelType w:val="multilevel"/>
    <w:tmpl w:val="79307748"/>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1.%2"/>
      <w:lvlJc w:val="left"/>
      <w:pPr>
        <w:tabs>
          <w:tab w:val="left" w:pos="851"/>
        </w:tabs>
        <w:ind w:left="851" w:hanging="851"/>
      </w:pPr>
      <w:rPr>
        <w:rFonts w:hint="eastAsia" w:ascii="宋体" w:eastAsia="宋体"/>
        <w:b w:val="0"/>
        <w:i w:val="0"/>
        <w:color w:val="auto"/>
        <w:sz w:val="21"/>
      </w:rPr>
    </w:lvl>
    <w:lvl w:ilvl="2" w:tentative="0">
      <w:start w:val="1"/>
      <w:numFmt w:val="decimal"/>
      <w:lvlText w:val="%1.%2.%3"/>
      <w:lvlJc w:val="left"/>
      <w:pPr>
        <w:tabs>
          <w:tab w:val="left" w:pos="851"/>
        </w:tabs>
        <w:ind w:left="851" w:hanging="851"/>
      </w:pPr>
      <w:rPr>
        <w:rFonts w:hint="eastAsia"/>
      </w:rPr>
    </w:lvl>
    <w:lvl w:ilvl="3" w:tentative="0">
      <w:start w:val="1"/>
      <w:numFmt w:val="decimal"/>
      <w:lvlText w:val="(%4)"/>
      <w:lvlJc w:val="left"/>
      <w:pPr>
        <w:tabs>
          <w:tab w:val="left" w:pos="851"/>
        </w:tabs>
        <w:ind w:left="851" w:hanging="567"/>
      </w:pPr>
      <w:rPr>
        <w:rFonts w:hint="eastAsia" w:ascii="宋体" w:eastAsia="宋体"/>
        <w:b w:val="0"/>
        <w:i w:val="0"/>
        <w:color w:val="000000"/>
        <w:sz w:val="21"/>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lvlOverride w:ilvl="0">
      <w:startOverride w:val="1"/>
    </w:lvlOverride>
  </w:num>
  <w:num w:numId="2">
    <w:abstractNumId w:val="8"/>
    <w:lvlOverride w:ilvl="0">
      <w:lvl w:ilvl="0" w:tentative="1">
        <w:start w:val="1"/>
        <w:numFmt w:val="chineseCountingThousand"/>
        <w:suff w:val="nothing"/>
        <w:lvlText w:val="%1、"/>
        <w:lvlJc w:val="left"/>
        <w:pPr>
          <w:ind w:left="360" w:hanging="360"/>
        </w:pPr>
        <w:rPr>
          <w:rFonts w:hint="default"/>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3">
    <w:abstractNumId w:val="5"/>
  </w:num>
  <w:num w:numId="4">
    <w:abstractNumId w:val="0"/>
  </w:num>
  <w:num w:numId="5">
    <w:abstractNumId w:val="4"/>
  </w:num>
  <w:num w:numId="6">
    <w:abstractNumId w:val="9"/>
  </w:num>
  <w:num w:numId="7">
    <w:abstractNumId w:val="11"/>
  </w:num>
  <w:num w:numId="8">
    <w:abstractNumId w:val="1"/>
  </w:num>
  <w:num w:numId="9">
    <w:abstractNumId w:val="6"/>
  </w:num>
  <w:num w:numId="10">
    <w:abstractNumId w:val="12"/>
  </w:num>
  <w:num w:numId="11">
    <w:abstractNumId w:val="7"/>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75F70"/>
    <w:rsid w:val="00004C1E"/>
    <w:rsid w:val="0000677D"/>
    <w:rsid w:val="00011DC7"/>
    <w:rsid w:val="00050124"/>
    <w:rsid w:val="00050CCB"/>
    <w:rsid w:val="000559D4"/>
    <w:rsid w:val="00060C3A"/>
    <w:rsid w:val="00070733"/>
    <w:rsid w:val="00071131"/>
    <w:rsid w:val="00071A24"/>
    <w:rsid w:val="000728EB"/>
    <w:rsid w:val="00080835"/>
    <w:rsid w:val="00083125"/>
    <w:rsid w:val="00084936"/>
    <w:rsid w:val="00092FF9"/>
    <w:rsid w:val="000A293D"/>
    <w:rsid w:val="000B12D9"/>
    <w:rsid w:val="000C4ED6"/>
    <w:rsid w:val="000F20BC"/>
    <w:rsid w:val="000F6520"/>
    <w:rsid w:val="001042A6"/>
    <w:rsid w:val="001066A3"/>
    <w:rsid w:val="001067D2"/>
    <w:rsid w:val="00107337"/>
    <w:rsid w:val="00113338"/>
    <w:rsid w:val="001232FA"/>
    <w:rsid w:val="001275D3"/>
    <w:rsid w:val="00132C24"/>
    <w:rsid w:val="00140850"/>
    <w:rsid w:val="0014733C"/>
    <w:rsid w:val="00163F5B"/>
    <w:rsid w:val="00166074"/>
    <w:rsid w:val="00170069"/>
    <w:rsid w:val="00173042"/>
    <w:rsid w:val="001737D3"/>
    <w:rsid w:val="0017765D"/>
    <w:rsid w:val="00190F7D"/>
    <w:rsid w:val="00196FB4"/>
    <w:rsid w:val="001A1FC8"/>
    <w:rsid w:val="001A77EA"/>
    <w:rsid w:val="001B59B2"/>
    <w:rsid w:val="001C251E"/>
    <w:rsid w:val="001C322A"/>
    <w:rsid w:val="001C5D30"/>
    <w:rsid w:val="001D0FCB"/>
    <w:rsid w:val="001D39CC"/>
    <w:rsid w:val="001D4EAC"/>
    <w:rsid w:val="001E5C5C"/>
    <w:rsid w:val="001F0BE8"/>
    <w:rsid w:val="001F4248"/>
    <w:rsid w:val="001F6B47"/>
    <w:rsid w:val="00202FC5"/>
    <w:rsid w:val="00214DE5"/>
    <w:rsid w:val="00215A4E"/>
    <w:rsid w:val="00215AA3"/>
    <w:rsid w:val="00220779"/>
    <w:rsid w:val="00222AB7"/>
    <w:rsid w:val="00222DF9"/>
    <w:rsid w:val="00223C2B"/>
    <w:rsid w:val="00232B46"/>
    <w:rsid w:val="002509B1"/>
    <w:rsid w:val="0025291B"/>
    <w:rsid w:val="002554F7"/>
    <w:rsid w:val="002657B1"/>
    <w:rsid w:val="00265A0E"/>
    <w:rsid w:val="002702D9"/>
    <w:rsid w:val="0027199D"/>
    <w:rsid w:val="00274990"/>
    <w:rsid w:val="00280A5B"/>
    <w:rsid w:val="002878FA"/>
    <w:rsid w:val="002A1603"/>
    <w:rsid w:val="002A4229"/>
    <w:rsid w:val="002A6F2A"/>
    <w:rsid w:val="002A7FA5"/>
    <w:rsid w:val="002B017D"/>
    <w:rsid w:val="002B175A"/>
    <w:rsid w:val="002B5FDA"/>
    <w:rsid w:val="002C3342"/>
    <w:rsid w:val="002C344C"/>
    <w:rsid w:val="002D2329"/>
    <w:rsid w:val="002D60F5"/>
    <w:rsid w:val="002E44F3"/>
    <w:rsid w:val="002E50D1"/>
    <w:rsid w:val="002E7FE6"/>
    <w:rsid w:val="002F1ED5"/>
    <w:rsid w:val="002F4B67"/>
    <w:rsid w:val="002F66F1"/>
    <w:rsid w:val="003028CD"/>
    <w:rsid w:val="0031059F"/>
    <w:rsid w:val="00313075"/>
    <w:rsid w:val="00321B65"/>
    <w:rsid w:val="00321C87"/>
    <w:rsid w:val="00332333"/>
    <w:rsid w:val="0034476C"/>
    <w:rsid w:val="003538FB"/>
    <w:rsid w:val="00356DAD"/>
    <w:rsid w:val="003630FB"/>
    <w:rsid w:val="00375934"/>
    <w:rsid w:val="003776BC"/>
    <w:rsid w:val="003777A5"/>
    <w:rsid w:val="003832E1"/>
    <w:rsid w:val="0038581A"/>
    <w:rsid w:val="00386756"/>
    <w:rsid w:val="00386A53"/>
    <w:rsid w:val="00386F9B"/>
    <w:rsid w:val="003921E5"/>
    <w:rsid w:val="0039694A"/>
    <w:rsid w:val="003A268D"/>
    <w:rsid w:val="003A3F3D"/>
    <w:rsid w:val="003A4A25"/>
    <w:rsid w:val="003A6BBB"/>
    <w:rsid w:val="003B0424"/>
    <w:rsid w:val="003B1882"/>
    <w:rsid w:val="003B2B3B"/>
    <w:rsid w:val="003C1A80"/>
    <w:rsid w:val="003C36F7"/>
    <w:rsid w:val="003D031B"/>
    <w:rsid w:val="003D3C9C"/>
    <w:rsid w:val="003D5594"/>
    <w:rsid w:val="003D6AA5"/>
    <w:rsid w:val="003E46A9"/>
    <w:rsid w:val="003E7705"/>
    <w:rsid w:val="003F6036"/>
    <w:rsid w:val="00411935"/>
    <w:rsid w:val="00414F19"/>
    <w:rsid w:val="00422676"/>
    <w:rsid w:val="00423535"/>
    <w:rsid w:val="00433FFF"/>
    <w:rsid w:val="00436BA9"/>
    <w:rsid w:val="00437042"/>
    <w:rsid w:val="0043771C"/>
    <w:rsid w:val="00444CF6"/>
    <w:rsid w:val="004458FA"/>
    <w:rsid w:val="00463B44"/>
    <w:rsid w:val="00472611"/>
    <w:rsid w:val="00473166"/>
    <w:rsid w:val="00491C5D"/>
    <w:rsid w:val="00491F1D"/>
    <w:rsid w:val="00492157"/>
    <w:rsid w:val="00494F33"/>
    <w:rsid w:val="0049720A"/>
    <w:rsid w:val="004A50B8"/>
    <w:rsid w:val="004A7FEA"/>
    <w:rsid w:val="004C0F14"/>
    <w:rsid w:val="004C1C44"/>
    <w:rsid w:val="004D136A"/>
    <w:rsid w:val="004D18F5"/>
    <w:rsid w:val="004D362C"/>
    <w:rsid w:val="004D4CCD"/>
    <w:rsid w:val="004E11F2"/>
    <w:rsid w:val="004F2212"/>
    <w:rsid w:val="004F6D9A"/>
    <w:rsid w:val="0050621E"/>
    <w:rsid w:val="00524BBC"/>
    <w:rsid w:val="00525D69"/>
    <w:rsid w:val="00530C78"/>
    <w:rsid w:val="005313AA"/>
    <w:rsid w:val="00537576"/>
    <w:rsid w:val="005441FB"/>
    <w:rsid w:val="00550A9E"/>
    <w:rsid w:val="00564365"/>
    <w:rsid w:val="005663ED"/>
    <w:rsid w:val="0057185E"/>
    <w:rsid w:val="00580BDB"/>
    <w:rsid w:val="005824A5"/>
    <w:rsid w:val="00586756"/>
    <w:rsid w:val="005A47BD"/>
    <w:rsid w:val="005B4CFC"/>
    <w:rsid w:val="005D13CA"/>
    <w:rsid w:val="005D42DD"/>
    <w:rsid w:val="005D7E45"/>
    <w:rsid w:val="00601766"/>
    <w:rsid w:val="006027DC"/>
    <w:rsid w:val="0060621D"/>
    <w:rsid w:val="00612BB8"/>
    <w:rsid w:val="006139B5"/>
    <w:rsid w:val="00616195"/>
    <w:rsid w:val="00617A2D"/>
    <w:rsid w:val="00620C78"/>
    <w:rsid w:val="006266D0"/>
    <w:rsid w:val="00640630"/>
    <w:rsid w:val="00642676"/>
    <w:rsid w:val="00642CE5"/>
    <w:rsid w:val="006456FA"/>
    <w:rsid w:val="00647D63"/>
    <w:rsid w:val="0065041B"/>
    <w:rsid w:val="00656221"/>
    <w:rsid w:val="00656B72"/>
    <w:rsid w:val="00662589"/>
    <w:rsid w:val="006668C9"/>
    <w:rsid w:val="0067268A"/>
    <w:rsid w:val="00675F70"/>
    <w:rsid w:val="0067701F"/>
    <w:rsid w:val="00683096"/>
    <w:rsid w:val="00684FA6"/>
    <w:rsid w:val="00687A2E"/>
    <w:rsid w:val="00696956"/>
    <w:rsid w:val="006A6767"/>
    <w:rsid w:val="006C3610"/>
    <w:rsid w:val="006C6CF5"/>
    <w:rsid w:val="006C717D"/>
    <w:rsid w:val="006C7FBB"/>
    <w:rsid w:val="006D197D"/>
    <w:rsid w:val="006D7571"/>
    <w:rsid w:val="006F47C0"/>
    <w:rsid w:val="00700C1C"/>
    <w:rsid w:val="00702D73"/>
    <w:rsid w:val="00705391"/>
    <w:rsid w:val="00711FE8"/>
    <w:rsid w:val="0071256C"/>
    <w:rsid w:val="00713D13"/>
    <w:rsid w:val="00722228"/>
    <w:rsid w:val="00722A92"/>
    <w:rsid w:val="00736174"/>
    <w:rsid w:val="0074272C"/>
    <w:rsid w:val="00745AF9"/>
    <w:rsid w:val="00760C40"/>
    <w:rsid w:val="007730C7"/>
    <w:rsid w:val="00780B62"/>
    <w:rsid w:val="007851EC"/>
    <w:rsid w:val="007958AE"/>
    <w:rsid w:val="007A4040"/>
    <w:rsid w:val="007A563A"/>
    <w:rsid w:val="007A63BE"/>
    <w:rsid w:val="007C5EE1"/>
    <w:rsid w:val="007C78AB"/>
    <w:rsid w:val="007D03BD"/>
    <w:rsid w:val="007D1803"/>
    <w:rsid w:val="007D5A66"/>
    <w:rsid w:val="007E7039"/>
    <w:rsid w:val="007E7885"/>
    <w:rsid w:val="007F0BE0"/>
    <w:rsid w:val="008069EB"/>
    <w:rsid w:val="008133B7"/>
    <w:rsid w:val="008148FC"/>
    <w:rsid w:val="00820889"/>
    <w:rsid w:val="008301F5"/>
    <w:rsid w:val="008353C2"/>
    <w:rsid w:val="008354EA"/>
    <w:rsid w:val="00836122"/>
    <w:rsid w:val="0083739D"/>
    <w:rsid w:val="008468F7"/>
    <w:rsid w:val="00846B03"/>
    <w:rsid w:val="00847DEE"/>
    <w:rsid w:val="008504CF"/>
    <w:rsid w:val="00850815"/>
    <w:rsid w:val="00856A75"/>
    <w:rsid w:val="00857FAD"/>
    <w:rsid w:val="00864A07"/>
    <w:rsid w:val="00865852"/>
    <w:rsid w:val="00875DB0"/>
    <w:rsid w:val="00887103"/>
    <w:rsid w:val="00897C09"/>
    <w:rsid w:val="008A1931"/>
    <w:rsid w:val="008A1A72"/>
    <w:rsid w:val="008A26CF"/>
    <w:rsid w:val="008A5AEE"/>
    <w:rsid w:val="008B0C51"/>
    <w:rsid w:val="008B1B2C"/>
    <w:rsid w:val="008B4CBD"/>
    <w:rsid w:val="008B7AF6"/>
    <w:rsid w:val="008C0E2F"/>
    <w:rsid w:val="008C607C"/>
    <w:rsid w:val="008D7CFC"/>
    <w:rsid w:val="008E47AE"/>
    <w:rsid w:val="008E5CD6"/>
    <w:rsid w:val="008E6AEC"/>
    <w:rsid w:val="008E7C97"/>
    <w:rsid w:val="008F38D8"/>
    <w:rsid w:val="008F3979"/>
    <w:rsid w:val="009034B1"/>
    <w:rsid w:val="009055AE"/>
    <w:rsid w:val="00907AF5"/>
    <w:rsid w:val="00911A74"/>
    <w:rsid w:val="0091370C"/>
    <w:rsid w:val="00927A4D"/>
    <w:rsid w:val="00927B72"/>
    <w:rsid w:val="0093139A"/>
    <w:rsid w:val="0093201F"/>
    <w:rsid w:val="009326E1"/>
    <w:rsid w:val="00936EE7"/>
    <w:rsid w:val="00950312"/>
    <w:rsid w:val="0096218C"/>
    <w:rsid w:val="00964471"/>
    <w:rsid w:val="00975669"/>
    <w:rsid w:val="00975806"/>
    <w:rsid w:val="009774B0"/>
    <w:rsid w:val="00981480"/>
    <w:rsid w:val="009859D2"/>
    <w:rsid w:val="00986EAD"/>
    <w:rsid w:val="00990A6C"/>
    <w:rsid w:val="009A2DBF"/>
    <w:rsid w:val="009B5911"/>
    <w:rsid w:val="009B6799"/>
    <w:rsid w:val="009C1690"/>
    <w:rsid w:val="009C1C77"/>
    <w:rsid w:val="009C4BF5"/>
    <w:rsid w:val="009D405C"/>
    <w:rsid w:val="009D7538"/>
    <w:rsid w:val="009E2E96"/>
    <w:rsid w:val="009F5A5B"/>
    <w:rsid w:val="00A21D88"/>
    <w:rsid w:val="00A253DD"/>
    <w:rsid w:val="00A330EA"/>
    <w:rsid w:val="00A33985"/>
    <w:rsid w:val="00A341B1"/>
    <w:rsid w:val="00A50CC6"/>
    <w:rsid w:val="00A57129"/>
    <w:rsid w:val="00A579AB"/>
    <w:rsid w:val="00A87701"/>
    <w:rsid w:val="00A9260A"/>
    <w:rsid w:val="00AA07E9"/>
    <w:rsid w:val="00AB3E41"/>
    <w:rsid w:val="00AC30BB"/>
    <w:rsid w:val="00AD5BCB"/>
    <w:rsid w:val="00AD6194"/>
    <w:rsid w:val="00AD6A84"/>
    <w:rsid w:val="00AE07E6"/>
    <w:rsid w:val="00AF4D19"/>
    <w:rsid w:val="00AF561B"/>
    <w:rsid w:val="00AF6BF7"/>
    <w:rsid w:val="00B1190A"/>
    <w:rsid w:val="00B151DB"/>
    <w:rsid w:val="00B2750E"/>
    <w:rsid w:val="00B41950"/>
    <w:rsid w:val="00B53BA4"/>
    <w:rsid w:val="00B5764D"/>
    <w:rsid w:val="00B639C9"/>
    <w:rsid w:val="00B74B77"/>
    <w:rsid w:val="00B857C7"/>
    <w:rsid w:val="00B912D6"/>
    <w:rsid w:val="00B977F2"/>
    <w:rsid w:val="00BA2007"/>
    <w:rsid w:val="00BA3CEF"/>
    <w:rsid w:val="00BA75B3"/>
    <w:rsid w:val="00BB24A6"/>
    <w:rsid w:val="00BB50BA"/>
    <w:rsid w:val="00BC41FA"/>
    <w:rsid w:val="00BC67EA"/>
    <w:rsid w:val="00BD1A78"/>
    <w:rsid w:val="00BD208E"/>
    <w:rsid w:val="00BE0D93"/>
    <w:rsid w:val="00BE1F7E"/>
    <w:rsid w:val="00BE360C"/>
    <w:rsid w:val="00BE7A38"/>
    <w:rsid w:val="00BE7C66"/>
    <w:rsid w:val="00C01668"/>
    <w:rsid w:val="00C02960"/>
    <w:rsid w:val="00C0711D"/>
    <w:rsid w:val="00C113FD"/>
    <w:rsid w:val="00C20DB4"/>
    <w:rsid w:val="00C23699"/>
    <w:rsid w:val="00C25EE5"/>
    <w:rsid w:val="00C314E0"/>
    <w:rsid w:val="00C37164"/>
    <w:rsid w:val="00C423A1"/>
    <w:rsid w:val="00C4434A"/>
    <w:rsid w:val="00C45544"/>
    <w:rsid w:val="00C456F4"/>
    <w:rsid w:val="00C624CC"/>
    <w:rsid w:val="00C77ECA"/>
    <w:rsid w:val="00C87787"/>
    <w:rsid w:val="00C91848"/>
    <w:rsid w:val="00C9291E"/>
    <w:rsid w:val="00C92E40"/>
    <w:rsid w:val="00CB0A15"/>
    <w:rsid w:val="00CC1DE1"/>
    <w:rsid w:val="00CD0885"/>
    <w:rsid w:val="00CD2AAB"/>
    <w:rsid w:val="00CD64AB"/>
    <w:rsid w:val="00CD7B17"/>
    <w:rsid w:val="00CE34BB"/>
    <w:rsid w:val="00CF07D2"/>
    <w:rsid w:val="00CF0D0F"/>
    <w:rsid w:val="00CF5101"/>
    <w:rsid w:val="00CF648A"/>
    <w:rsid w:val="00D00DF0"/>
    <w:rsid w:val="00D01DC2"/>
    <w:rsid w:val="00D12C03"/>
    <w:rsid w:val="00D17904"/>
    <w:rsid w:val="00D20636"/>
    <w:rsid w:val="00D207D9"/>
    <w:rsid w:val="00D226A4"/>
    <w:rsid w:val="00D242B4"/>
    <w:rsid w:val="00D3704C"/>
    <w:rsid w:val="00D3762C"/>
    <w:rsid w:val="00D4349B"/>
    <w:rsid w:val="00D43A21"/>
    <w:rsid w:val="00D44572"/>
    <w:rsid w:val="00D5028F"/>
    <w:rsid w:val="00D52636"/>
    <w:rsid w:val="00D5319E"/>
    <w:rsid w:val="00D55A2C"/>
    <w:rsid w:val="00D561A9"/>
    <w:rsid w:val="00D614AD"/>
    <w:rsid w:val="00D64EDD"/>
    <w:rsid w:val="00D655DE"/>
    <w:rsid w:val="00D71E74"/>
    <w:rsid w:val="00D75866"/>
    <w:rsid w:val="00D7598C"/>
    <w:rsid w:val="00D825BD"/>
    <w:rsid w:val="00D85162"/>
    <w:rsid w:val="00D9578C"/>
    <w:rsid w:val="00DA4264"/>
    <w:rsid w:val="00DA7017"/>
    <w:rsid w:val="00DB411B"/>
    <w:rsid w:val="00DB7B4E"/>
    <w:rsid w:val="00DC1655"/>
    <w:rsid w:val="00DC4846"/>
    <w:rsid w:val="00DD301F"/>
    <w:rsid w:val="00DD5198"/>
    <w:rsid w:val="00DD6B89"/>
    <w:rsid w:val="00DE13F2"/>
    <w:rsid w:val="00DE4747"/>
    <w:rsid w:val="00DE646D"/>
    <w:rsid w:val="00DF2FCC"/>
    <w:rsid w:val="00DF69BA"/>
    <w:rsid w:val="00E04B44"/>
    <w:rsid w:val="00E11973"/>
    <w:rsid w:val="00E164FE"/>
    <w:rsid w:val="00E22677"/>
    <w:rsid w:val="00E458DC"/>
    <w:rsid w:val="00E51A00"/>
    <w:rsid w:val="00E55FDB"/>
    <w:rsid w:val="00E56753"/>
    <w:rsid w:val="00E63D90"/>
    <w:rsid w:val="00E71F57"/>
    <w:rsid w:val="00E800BF"/>
    <w:rsid w:val="00E90BB9"/>
    <w:rsid w:val="00E95E6E"/>
    <w:rsid w:val="00E969D1"/>
    <w:rsid w:val="00EA35AC"/>
    <w:rsid w:val="00EB3252"/>
    <w:rsid w:val="00EB4264"/>
    <w:rsid w:val="00EC3759"/>
    <w:rsid w:val="00EC4C9A"/>
    <w:rsid w:val="00EE3159"/>
    <w:rsid w:val="00EE3B9C"/>
    <w:rsid w:val="00EF110A"/>
    <w:rsid w:val="00EF5A02"/>
    <w:rsid w:val="00F048E6"/>
    <w:rsid w:val="00F04CAB"/>
    <w:rsid w:val="00F10F5D"/>
    <w:rsid w:val="00F20FDF"/>
    <w:rsid w:val="00F250BC"/>
    <w:rsid w:val="00F32C49"/>
    <w:rsid w:val="00F37527"/>
    <w:rsid w:val="00F451C8"/>
    <w:rsid w:val="00F53A19"/>
    <w:rsid w:val="00F543A7"/>
    <w:rsid w:val="00F67660"/>
    <w:rsid w:val="00F67A0A"/>
    <w:rsid w:val="00F67E98"/>
    <w:rsid w:val="00F755EB"/>
    <w:rsid w:val="00F7670F"/>
    <w:rsid w:val="00F77E3B"/>
    <w:rsid w:val="00F82071"/>
    <w:rsid w:val="00F84A3B"/>
    <w:rsid w:val="00F91930"/>
    <w:rsid w:val="00F929DA"/>
    <w:rsid w:val="00F93FA2"/>
    <w:rsid w:val="00F95AC1"/>
    <w:rsid w:val="00FA08EC"/>
    <w:rsid w:val="00FA0A20"/>
    <w:rsid w:val="00FA16AD"/>
    <w:rsid w:val="00FA3041"/>
    <w:rsid w:val="00FA7B44"/>
    <w:rsid w:val="00FC116B"/>
    <w:rsid w:val="00FC1F5B"/>
    <w:rsid w:val="00FC281A"/>
    <w:rsid w:val="00FC3CAD"/>
    <w:rsid w:val="00FD0436"/>
    <w:rsid w:val="00FD0C9A"/>
    <w:rsid w:val="00FD5773"/>
    <w:rsid w:val="00FE122A"/>
    <w:rsid w:val="00FE2B8E"/>
    <w:rsid w:val="00FE6079"/>
    <w:rsid w:val="00FF191C"/>
    <w:rsid w:val="00FF5EEF"/>
    <w:rsid w:val="00FF651A"/>
    <w:rsid w:val="032777F4"/>
    <w:rsid w:val="036534BD"/>
    <w:rsid w:val="042C5709"/>
    <w:rsid w:val="04900962"/>
    <w:rsid w:val="074B6B6E"/>
    <w:rsid w:val="07782E74"/>
    <w:rsid w:val="07DD4D7D"/>
    <w:rsid w:val="08FA6BDA"/>
    <w:rsid w:val="098B2F28"/>
    <w:rsid w:val="0AD85115"/>
    <w:rsid w:val="0B805E4D"/>
    <w:rsid w:val="0BA7570B"/>
    <w:rsid w:val="0BF41AA4"/>
    <w:rsid w:val="0CDA5363"/>
    <w:rsid w:val="0CEE31B2"/>
    <w:rsid w:val="0D9C6F30"/>
    <w:rsid w:val="145B7936"/>
    <w:rsid w:val="146C6F9B"/>
    <w:rsid w:val="16F875C8"/>
    <w:rsid w:val="1718494F"/>
    <w:rsid w:val="17962D0D"/>
    <w:rsid w:val="186C102B"/>
    <w:rsid w:val="19232803"/>
    <w:rsid w:val="1B117437"/>
    <w:rsid w:val="1D397795"/>
    <w:rsid w:val="1E0304C4"/>
    <w:rsid w:val="1F3A2FFF"/>
    <w:rsid w:val="204534EB"/>
    <w:rsid w:val="233C5EED"/>
    <w:rsid w:val="235059ED"/>
    <w:rsid w:val="247E3131"/>
    <w:rsid w:val="25DE67EF"/>
    <w:rsid w:val="2BEE1E31"/>
    <w:rsid w:val="2C673B78"/>
    <w:rsid w:val="2CB62FA2"/>
    <w:rsid w:val="2DE80E95"/>
    <w:rsid w:val="2E432479"/>
    <w:rsid w:val="2E9767C9"/>
    <w:rsid w:val="2F106472"/>
    <w:rsid w:val="300B279C"/>
    <w:rsid w:val="30220A79"/>
    <w:rsid w:val="315504DD"/>
    <w:rsid w:val="3273688E"/>
    <w:rsid w:val="34C661BB"/>
    <w:rsid w:val="352D4332"/>
    <w:rsid w:val="35D80B26"/>
    <w:rsid w:val="36901289"/>
    <w:rsid w:val="37852602"/>
    <w:rsid w:val="37E2635A"/>
    <w:rsid w:val="384A1310"/>
    <w:rsid w:val="38B54566"/>
    <w:rsid w:val="3A4E27D1"/>
    <w:rsid w:val="3A537A2F"/>
    <w:rsid w:val="3A7C7310"/>
    <w:rsid w:val="3A8D4FE6"/>
    <w:rsid w:val="3C991CF1"/>
    <w:rsid w:val="3D1141CF"/>
    <w:rsid w:val="3DFB68D0"/>
    <w:rsid w:val="3DFE3033"/>
    <w:rsid w:val="3E882FC1"/>
    <w:rsid w:val="3EF34153"/>
    <w:rsid w:val="42E20B56"/>
    <w:rsid w:val="441D1561"/>
    <w:rsid w:val="4563628C"/>
    <w:rsid w:val="45640F0E"/>
    <w:rsid w:val="461F4CDC"/>
    <w:rsid w:val="465D139C"/>
    <w:rsid w:val="46EF7B3C"/>
    <w:rsid w:val="471458D2"/>
    <w:rsid w:val="4A9B40C9"/>
    <w:rsid w:val="4C714DD6"/>
    <w:rsid w:val="4F6A6DDE"/>
    <w:rsid w:val="4F752A6D"/>
    <w:rsid w:val="4FF20647"/>
    <w:rsid w:val="53747E54"/>
    <w:rsid w:val="56E73510"/>
    <w:rsid w:val="57522A75"/>
    <w:rsid w:val="591069CD"/>
    <w:rsid w:val="5FD07819"/>
    <w:rsid w:val="62563962"/>
    <w:rsid w:val="638102A3"/>
    <w:rsid w:val="65872748"/>
    <w:rsid w:val="65B921A7"/>
    <w:rsid w:val="66AC74B8"/>
    <w:rsid w:val="69E542F7"/>
    <w:rsid w:val="6A4D20DD"/>
    <w:rsid w:val="6B494A74"/>
    <w:rsid w:val="6D5B1B80"/>
    <w:rsid w:val="6E6C10A8"/>
    <w:rsid w:val="6E912BBB"/>
    <w:rsid w:val="6F3C414C"/>
    <w:rsid w:val="6FB262AA"/>
    <w:rsid w:val="708E16A4"/>
    <w:rsid w:val="71173F6F"/>
    <w:rsid w:val="744A3A15"/>
    <w:rsid w:val="75C30A3B"/>
    <w:rsid w:val="76FDD8DA"/>
    <w:rsid w:val="78C84028"/>
    <w:rsid w:val="79746A08"/>
    <w:rsid w:val="79EB405E"/>
    <w:rsid w:val="7B606F7F"/>
    <w:rsid w:val="7BFCDDCF"/>
    <w:rsid w:val="7EBA6561"/>
    <w:rsid w:val="7FAF5BCE"/>
    <w:rsid w:val="E1A97EAD"/>
    <w:rsid w:val="F6EF54AF"/>
    <w:rsid w:val="FEFFA3E8"/>
    <w:rsid w:val="FFEB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2"/>
      <w:szCs w:val="20"/>
    </w:rPr>
  </w:style>
  <w:style w:type="paragraph" w:styleId="3">
    <w:name w:val="heading 2"/>
    <w:basedOn w:val="1"/>
    <w:next w:val="1"/>
    <w:link w:val="34"/>
    <w:qFormat/>
    <w:uiPriority w:val="9"/>
    <w:pPr>
      <w:keepNext/>
      <w:keepLines/>
      <w:spacing w:before="260" w:after="120" w:line="360" w:lineRule="auto"/>
      <w:ind w:firstLine="482"/>
      <w:outlineLvl w:val="1"/>
    </w:pPr>
    <w:rPr>
      <w:rFonts w:ascii="宋体" w:hAnsi="Arial"/>
      <w:b/>
      <w:sz w:val="30"/>
      <w:szCs w:val="20"/>
    </w:rPr>
  </w:style>
  <w:style w:type="paragraph" w:styleId="4">
    <w:name w:val="heading 3"/>
    <w:basedOn w:val="1"/>
    <w:next w:val="5"/>
    <w:link w:val="36"/>
    <w:qFormat/>
    <w:uiPriority w:val="9"/>
    <w:pPr>
      <w:keepNext/>
      <w:keepLines/>
      <w:spacing w:before="260" w:after="260" w:line="416" w:lineRule="auto"/>
      <w:outlineLvl w:val="2"/>
    </w:pPr>
    <w:rPr>
      <w:b/>
      <w:bCs/>
      <w:sz w:val="32"/>
      <w:szCs w:val="32"/>
      <w:lang w:val="zh-CN"/>
    </w:rPr>
  </w:style>
  <w:style w:type="paragraph" w:styleId="6">
    <w:name w:val="heading 4"/>
    <w:basedOn w:val="1"/>
    <w:next w:val="1"/>
    <w:link w:val="37"/>
    <w:qFormat/>
    <w:uiPriority w:val="9"/>
    <w:pPr>
      <w:keepNext/>
      <w:keepLines/>
      <w:spacing w:before="280" w:after="290" w:line="376" w:lineRule="auto"/>
      <w:outlineLvl w:val="3"/>
    </w:pPr>
    <w:rPr>
      <w:rFonts w:ascii="Cambria" w:hAnsi="Cambria"/>
      <w:b/>
      <w:bCs/>
      <w:sz w:val="28"/>
      <w:szCs w:val="28"/>
      <w:lang w:val="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pPr>
    <w:rPr>
      <w:szCs w:val="20"/>
      <w:lang w:val="zh-CN"/>
    </w:rPr>
  </w:style>
  <w:style w:type="paragraph" w:styleId="7">
    <w:name w:val="Document Map"/>
    <w:basedOn w:val="1"/>
    <w:link w:val="40"/>
    <w:unhideWhenUsed/>
    <w:qFormat/>
    <w:uiPriority w:val="99"/>
    <w:rPr>
      <w:rFonts w:ascii="宋体"/>
      <w:sz w:val="18"/>
      <w:szCs w:val="18"/>
      <w:lang w:val="zh-CN"/>
    </w:rPr>
  </w:style>
  <w:style w:type="paragraph" w:styleId="8">
    <w:name w:val="annotation text"/>
    <w:basedOn w:val="1"/>
    <w:link w:val="38"/>
    <w:unhideWhenUsed/>
    <w:qFormat/>
    <w:uiPriority w:val="99"/>
    <w:pPr>
      <w:jc w:val="left"/>
    </w:pPr>
    <w:rPr>
      <w:lang w:val="zh-CN"/>
    </w:rPr>
  </w:style>
  <w:style w:type="paragraph" w:styleId="9">
    <w:name w:val="Body Text"/>
    <w:basedOn w:val="1"/>
    <w:next w:val="10"/>
    <w:link w:val="41"/>
    <w:unhideWhenUsed/>
    <w:qFormat/>
    <w:uiPriority w:val="99"/>
    <w:pPr>
      <w:spacing w:line="480" w:lineRule="auto"/>
    </w:pPr>
    <w:rPr>
      <w:sz w:val="24"/>
      <w:lang w:val="zh-CN"/>
    </w:rPr>
  </w:style>
  <w:style w:type="paragraph" w:styleId="10">
    <w:name w:val="Body Text Indent"/>
    <w:basedOn w:val="1"/>
    <w:link w:val="42"/>
    <w:unhideWhenUsed/>
    <w:qFormat/>
    <w:uiPriority w:val="99"/>
    <w:pPr>
      <w:spacing w:after="120"/>
      <w:ind w:left="420" w:leftChars="200"/>
    </w:pPr>
    <w:rPr>
      <w:lang w:val="zh-CN"/>
    </w:rPr>
  </w:style>
  <w:style w:type="paragraph" w:styleId="11">
    <w:name w:val="toc 3"/>
    <w:basedOn w:val="1"/>
    <w:next w:val="1"/>
    <w:unhideWhenUsed/>
    <w:qFormat/>
    <w:uiPriority w:val="39"/>
    <w:pPr>
      <w:ind w:left="840" w:leftChars="400"/>
    </w:pPr>
  </w:style>
  <w:style w:type="paragraph" w:styleId="12">
    <w:name w:val="Plain Text"/>
    <w:basedOn w:val="1"/>
    <w:link w:val="43"/>
    <w:unhideWhenUsed/>
    <w:qFormat/>
    <w:uiPriority w:val="0"/>
    <w:pPr>
      <w:spacing w:line="360" w:lineRule="auto"/>
    </w:pPr>
    <w:rPr>
      <w:rFonts w:ascii="宋体" w:hAnsi="Courier New"/>
      <w:sz w:val="24"/>
      <w:szCs w:val="21"/>
      <w:lang w:val="zh-CN"/>
    </w:rPr>
  </w:style>
  <w:style w:type="paragraph" w:styleId="13">
    <w:name w:val="Date"/>
    <w:basedOn w:val="1"/>
    <w:next w:val="1"/>
    <w:link w:val="44"/>
    <w:unhideWhenUsed/>
    <w:qFormat/>
    <w:uiPriority w:val="99"/>
    <w:pPr>
      <w:ind w:left="100" w:leftChars="2500"/>
    </w:pPr>
    <w:rPr>
      <w:sz w:val="36"/>
      <w:lang w:val="zh-CN"/>
    </w:rPr>
  </w:style>
  <w:style w:type="paragraph" w:styleId="14">
    <w:name w:val="Body Text Indent 2"/>
    <w:basedOn w:val="1"/>
    <w:unhideWhenUsed/>
    <w:qFormat/>
    <w:uiPriority w:val="99"/>
    <w:pPr>
      <w:snapToGrid w:val="0"/>
      <w:spacing w:line="360" w:lineRule="auto"/>
      <w:ind w:left="840" w:leftChars="400"/>
    </w:pPr>
  </w:style>
  <w:style w:type="paragraph" w:styleId="15">
    <w:name w:val="Balloon Text"/>
    <w:basedOn w:val="1"/>
    <w:link w:val="45"/>
    <w:unhideWhenUsed/>
    <w:qFormat/>
    <w:uiPriority w:val="99"/>
    <w:rPr>
      <w:sz w:val="18"/>
      <w:szCs w:val="18"/>
      <w:lang w:val="zh-CN"/>
    </w:rPr>
  </w:style>
  <w:style w:type="paragraph" w:styleId="16">
    <w:name w:val="footer"/>
    <w:basedOn w:val="1"/>
    <w:link w:val="46"/>
    <w:unhideWhenUsed/>
    <w:qFormat/>
    <w:uiPriority w:val="99"/>
    <w:pPr>
      <w:tabs>
        <w:tab w:val="center" w:pos="4153"/>
        <w:tab w:val="right" w:pos="8306"/>
      </w:tabs>
      <w:snapToGrid w:val="0"/>
      <w:spacing w:line="360" w:lineRule="auto"/>
      <w:jc w:val="left"/>
    </w:pPr>
    <w:rPr>
      <w:rFonts w:ascii="Times" w:hAnsi="Times"/>
      <w:sz w:val="18"/>
      <w:szCs w:val="18"/>
      <w:lang w:val="zh-CN"/>
    </w:rPr>
  </w:style>
  <w:style w:type="paragraph" w:styleId="17">
    <w:name w:val="header"/>
    <w:basedOn w:val="1"/>
    <w:link w:val="47"/>
    <w:unhideWhenUsed/>
    <w:qFormat/>
    <w:uiPriority w:val="99"/>
    <w:pPr>
      <w:pBdr>
        <w:bottom w:val="single" w:color="auto" w:sz="6" w:space="1"/>
      </w:pBdr>
      <w:tabs>
        <w:tab w:val="center" w:pos="4153"/>
        <w:tab w:val="right" w:pos="8306"/>
      </w:tabs>
      <w:snapToGrid w:val="0"/>
      <w:spacing w:line="360" w:lineRule="auto"/>
      <w:ind w:firstLine="425"/>
      <w:jc w:val="center"/>
    </w:pPr>
    <w:rPr>
      <w:rFonts w:ascii="Times" w:hAnsi="Times"/>
      <w:sz w:val="18"/>
      <w:szCs w:val="20"/>
      <w:lang w:val="zh-CN"/>
    </w:rPr>
  </w:style>
  <w:style w:type="paragraph" w:styleId="18">
    <w:name w:val="toc 1"/>
    <w:basedOn w:val="1"/>
    <w:next w:val="1"/>
    <w:unhideWhenUsed/>
    <w:qFormat/>
    <w:uiPriority w:val="39"/>
    <w:pPr>
      <w:tabs>
        <w:tab w:val="right" w:leader="dot" w:pos="9180"/>
      </w:tabs>
      <w:spacing w:line="400" w:lineRule="exact"/>
      <w:ind w:firstLine="425"/>
      <w:jc w:val="left"/>
    </w:pPr>
    <w:rPr>
      <w:rFonts w:ascii="宋体" w:hAnsi="宋体" w:cs="Arial"/>
      <w:b/>
      <w:bCs/>
      <w:caps/>
      <w:szCs w:val="32"/>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unhideWhenUsed/>
    <w:qFormat/>
    <w:uiPriority w:val="39"/>
    <w:pPr>
      <w:tabs>
        <w:tab w:val="right" w:leader="dot" w:pos="9170"/>
      </w:tabs>
      <w:spacing w:line="400" w:lineRule="exact"/>
      <w:ind w:left="238" w:firstLine="425"/>
      <w:jc w:val="left"/>
    </w:pPr>
    <w:rPr>
      <w:rFonts w:ascii="Times" w:hAnsi="Times" w:cs="Arial"/>
      <w:smallCaps/>
      <w:szCs w:val="30"/>
    </w:rPr>
  </w:style>
  <w:style w:type="paragraph" w:styleId="21">
    <w:name w:val="toc 9"/>
    <w:basedOn w:val="1"/>
    <w:next w:val="1"/>
    <w:unhideWhenUsed/>
    <w:qFormat/>
    <w:uiPriority w:val="39"/>
    <w:pPr>
      <w:ind w:left="3360" w:leftChars="1600"/>
    </w:pPr>
  </w:style>
  <w:style w:type="paragraph" w:styleId="22">
    <w:name w:val="Body Text 2"/>
    <w:basedOn w:val="1"/>
    <w:link w:val="48"/>
    <w:unhideWhenUsed/>
    <w:qFormat/>
    <w:uiPriority w:val="99"/>
    <w:pPr>
      <w:spacing w:after="120" w:line="480" w:lineRule="auto"/>
    </w:pPr>
    <w:rPr>
      <w:lang w:val="zh-CN"/>
    </w:rPr>
  </w:style>
  <w:style w:type="paragraph" w:styleId="2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lang w:val="zh-CN"/>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2"/>
    <w:link w:val="50"/>
    <w:qFormat/>
    <w:uiPriority w:val="0"/>
    <w:pPr>
      <w:keepNext w:val="0"/>
      <w:keepLines w:val="0"/>
      <w:spacing w:beforeLines="100" w:afterLines="100" w:line="360" w:lineRule="auto"/>
      <w:contextualSpacing/>
    </w:pPr>
    <w:rPr>
      <w:rFonts w:ascii="宋体" w:hAnsi="宋体"/>
      <w:bCs/>
      <w:kern w:val="0"/>
      <w:sz w:val="28"/>
      <w:szCs w:val="21"/>
      <w:lang w:val="zh-CN"/>
    </w:rPr>
  </w:style>
  <w:style w:type="paragraph" w:styleId="26">
    <w:name w:val="annotation subject"/>
    <w:basedOn w:val="8"/>
    <w:next w:val="8"/>
    <w:link w:val="39"/>
    <w:unhideWhenUsed/>
    <w:qFormat/>
    <w:uiPriority w:val="0"/>
  </w:style>
  <w:style w:type="table" w:styleId="28">
    <w:name w:val="Table Grid"/>
    <w:basedOn w:val="27"/>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unhideWhenUsed/>
    <w:qFormat/>
    <w:uiPriority w:val="99"/>
    <w:rPr>
      <w:rFonts w:eastAsia="宋体"/>
      <w:kern w:val="2"/>
      <w:sz w:val="24"/>
      <w:szCs w:val="24"/>
      <w:lang w:val="en-US" w:eastAsia="zh-CN" w:bidi="ar-SA"/>
    </w:rPr>
  </w:style>
  <w:style w:type="character" w:styleId="32">
    <w:name w:val="Hyperlink"/>
    <w:unhideWhenUsed/>
    <w:qFormat/>
    <w:uiPriority w:val="99"/>
    <w:rPr>
      <w:rFonts w:eastAsia="宋体"/>
      <w:color w:val="0000FF"/>
      <w:kern w:val="2"/>
      <w:sz w:val="24"/>
      <w:szCs w:val="24"/>
      <w:u w:val="single"/>
      <w:lang w:val="en-US" w:eastAsia="zh-CN" w:bidi="ar-SA"/>
    </w:rPr>
  </w:style>
  <w:style w:type="character" w:styleId="33">
    <w:name w:val="annotation reference"/>
    <w:unhideWhenUsed/>
    <w:qFormat/>
    <w:uiPriority w:val="0"/>
    <w:rPr>
      <w:sz w:val="21"/>
      <w:szCs w:val="21"/>
    </w:rPr>
  </w:style>
  <w:style w:type="character" w:customStyle="1" w:styleId="34">
    <w:name w:val="标题 2 Char"/>
    <w:link w:val="3"/>
    <w:qFormat/>
    <w:uiPriority w:val="9"/>
    <w:rPr>
      <w:rFonts w:ascii="宋体" w:hAnsi="Arial"/>
      <w:b/>
      <w:kern w:val="2"/>
      <w:sz w:val="30"/>
    </w:rPr>
  </w:style>
  <w:style w:type="character" w:customStyle="1" w:styleId="35">
    <w:name w:val="正文缩进 Char"/>
    <w:link w:val="5"/>
    <w:qFormat/>
    <w:uiPriority w:val="0"/>
    <w:rPr>
      <w:kern w:val="2"/>
      <w:sz w:val="21"/>
    </w:rPr>
  </w:style>
  <w:style w:type="character" w:customStyle="1" w:styleId="36">
    <w:name w:val="标题 3 Char"/>
    <w:link w:val="4"/>
    <w:qFormat/>
    <w:uiPriority w:val="9"/>
    <w:rPr>
      <w:b/>
      <w:bCs/>
      <w:kern w:val="2"/>
      <w:sz w:val="32"/>
      <w:szCs w:val="32"/>
    </w:rPr>
  </w:style>
  <w:style w:type="character" w:customStyle="1" w:styleId="37">
    <w:name w:val="标题 4 Char"/>
    <w:link w:val="6"/>
    <w:semiHidden/>
    <w:qFormat/>
    <w:uiPriority w:val="9"/>
    <w:rPr>
      <w:rFonts w:ascii="Cambria" w:hAnsi="Cambria" w:eastAsia="宋体" w:cs="Times New Roman"/>
      <w:b/>
      <w:bCs/>
      <w:kern w:val="2"/>
      <w:sz w:val="28"/>
      <w:szCs w:val="28"/>
    </w:rPr>
  </w:style>
  <w:style w:type="character" w:customStyle="1" w:styleId="38">
    <w:name w:val="批注文字 Char"/>
    <w:link w:val="8"/>
    <w:qFormat/>
    <w:uiPriority w:val="99"/>
    <w:rPr>
      <w:kern w:val="2"/>
      <w:sz w:val="21"/>
      <w:szCs w:val="24"/>
    </w:rPr>
  </w:style>
  <w:style w:type="character" w:customStyle="1" w:styleId="39">
    <w:name w:val="批注主题 Char"/>
    <w:link w:val="26"/>
    <w:qFormat/>
    <w:uiPriority w:val="0"/>
    <w:rPr>
      <w:kern w:val="2"/>
      <w:sz w:val="21"/>
      <w:szCs w:val="24"/>
    </w:rPr>
  </w:style>
  <w:style w:type="character" w:customStyle="1" w:styleId="40">
    <w:name w:val="文档结构图 Char"/>
    <w:link w:val="7"/>
    <w:semiHidden/>
    <w:qFormat/>
    <w:uiPriority w:val="99"/>
    <w:rPr>
      <w:rFonts w:ascii="宋体"/>
      <w:kern w:val="2"/>
      <w:sz w:val="18"/>
      <w:szCs w:val="18"/>
    </w:rPr>
  </w:style>
  <w:style w:type="character" w:customStyle="1" w:styleId="41">
    <w:name w:val="正文文本 Char"/>
    <w:link w:val="9"/>
    <w:qFormat/>
    <w:uiPriority w:val="99"/>
    <w:rPr>
      <w:kern w:val="2"/>
      <w:sz w:val="24"/>
      <w:szCs w:val="24"/>
    </w:rPr>
  </w:style>
  <w:style w:type="character" w:customStyle="1" w:styleId="42">
    <w:name w:val="正文文本缩进 Char"/>
    <w:link w:val="10"/>
    <w:qFormat/>
    <w:uiPriority w:val="99"/>
    <w:rPr>
      <w:kern w:val="2"/>
      <w:sz w:val="21"/>
      <w:szCs w:val="24"/>
    </w:rPr>
  </w:style>
  <w:style w:type="character" w:customStyle="1" w:styleId="43">
    <w:name w:val="纯文本 Char"/>
    <w:link w:val="12"/>
    <w:qFormat/>
    <w:uiPriority w:val="0"/>
    <w:rPr>
      <w:rFonts w:ascii="宋体" w:hAnsi="Courier New"/>
      <w:kern w:val="2"/>
      <w:sz w:val="24"/>
      <w:szCs w:val="21"/>
    </w:rPr>
  </w:style>
  <w:style w:type="character" w:customStyle="1" w:styleId="44">
    <w:name w:val="日期 Char"/>
    <w:link w:val="13"/>
    <w:qFormat/>
    <w:uiPriority w:val="99"/>
    <w:rPr>
      <w:kern w:val="2"/>
      <w:sz w:val="36"/>
      <w:szCs w:val="24"/>
    </w:rPr>
  </w:style>
  <w:style w:type="character" w:customStyle="1" w:styleId="45">
    <w:name w:val="批注框文本 Char"/>
    <w:link w:val="15"/>
    <w:semiHidden/>
    <w:qFormat/>
    <w:uiPriority w:val="99"/>
    <w:rPr>
      <w:kern w:val="2"/>
      <w:sz w:val="18"/>
      <w:szCs w:val="18"/>
    </w:rPr>
  </w:style>
  <w:style w:type="character" w:customStyle="1" w:styleId="46">
    <w:name w:val="页脚 Char"/>
    <w:link w:val="16"/>
    <w:qFormat/>
    <w:uiPriority w:val="99"/>
    <w:rPr>
      <w:rFonts w:ascii="Times" w:hAnsi="Times"/>
      <w:kern w:val="2"/>
      <w:sz w:val="18"/>
      <w:szCs w:val="18"/>
    </w:rPr>
  </w:style>
  <w:style w:type="character" w:customStyle="1" w:styleId="47">
    <w:name w:val="页眉 Char"/>
    <w:link w:val="17"/>
    <w:qFormat/>
    <w:uiPriority w:val="99"/>
    <w:rPr>
      <w:rFonts w:ascii="Times" w:hAnsi="Times"/>
      <w:kern w:val="2"/>
      <w:sz w:val="18"/>
    </w:rPr>
  </w:style>
  <w:style w:type="character" w:customStyle="1" w:styleId="48">
    <w:name w:val="正文文本 2 Char"/>
    <w:link w:val="22"/>
    <w:semiHidden/>
    <w:qFormat/>
    <w:uiPriority w:val="99"/>
    <w:rPr>
      <w:kern w:val="2"/>
      <w:sz w:val="21"/>
      <w:szCs w:val="24"/>
    </w:rPr>
  </w:style>
  <w:style w:type="character" w:customStyle="1" w:styleId="49">
    <w:name w:val="HTML 预设格式 Char"/>
    <w:link w:val="23"/>
    <w:qFormat/>
    <w:uiPriority w:val="0"/>
    <w:rPr>
      <w:rFonts w:ascii="黑体" w:hAnsi="Courier New" w:eastAsia="黑体"/>
    </w:rPr>
  </w:style>
  <w:style w:type="character" w:customStyle="1" w:styleId="50">
    <w:name w:val="标题 Char"/>
    <w:link w:val="25"/>
    <w:qFormat/>
    <w:uiPriority w:val="0"/>
    <w:rPr>
      <w:rFonts w:ascii="宋体" w:hAnsi="宋体"/>
      <w:b/>
      <w:bCs/>
      <w:sz w:val="28"/>
      <w:szCs w:val="21"/>
    </w:rPr>
  </w:style>
  <w:style w:type="paragraph" w:customStyle="1" w:styleId="51">
    <w:name w:val="_Style 3"/>
    <w:basedOn w:val="1"/>
    <w:next w:val="19"/>
    <w:qFormat/>
    <w:uiPriority w:val="0"/>
    <w:pPr>
      <w:ind w:firstLine="420" w:firstLineChars="200"/>
    </w:pPr>
    <w:rPr>
      <w:rFonts w:ascii="Calibri" w:hAnsi="Calibri"/>
    </w:rPr>
  </w:style>
  <w:style w:type="character" w:customStyle="1" w:styleId="52">
    <w:name w:val="页脚2 Char"/>
    <w:qFormat/>
    <w:uiPriority w:val="0"/>
    <w:rPr>
      <w:rFonts w:ascii="宋体" w:hAnsi="宋体"/>
      <w:sz w:val="18"/>
      <w:szCs w:val="18"/>
    </w:rPr>
  </w:style>
  <w:style w:type="character" w:customStyle="1" w:styleId="53">
    <w:name w:val="font-heiti"/>
    <w:basedOn w:val="29"/>
    <w:qFormat/>
    <w:uiPriority w:val="0"/>
  </w:style>
  <w:style w:type="character" w:customStyle="1" w:styleId="54">
    <w:name w:val="p141"/>
    <w:qFormat/>
    <w:uiPriority w:val="0"/>
    <w:rPr>
      <w:sz w:val="21"/>
      <w:szCs w:val="21"/>
    </w:rPr>
  </w:style>
  <w:style w:type="character" w:customStyle="1" w:styleId="55">
    <w:name w:val="标题 Char1"/>
    <w:qFormat/>
    <w:uiPriority w:val="10"/>
    <w:rPr>
      <w:rFonts w:ascii="Cambria" w:hAnsi="Cambria" w:cs="Times New Roman"/>
      <w:b/>
      <w:bCs/>
      <w:kern w:val="2"/>
      <w:sz w:val="32"/>
      <w:szCs w:val="32"/>
    </w:rPr>
  </w:style>
  <w:style w:type="character" w:customStyle="1" w:styleId="56">
    <w:name w:val="纯文本 Char1"/>
    <w:qFormat/>
    <w:uiPriority w:val="0"/>
    <w:rPr>
      <w:rFonts w:ascii="宋体" w:hAnsi="Courier New" w:eastAsia="宋体" w:cs="Courier New"/>
      <w:szCs w:val="21"/>
    </w:rPr>
  </w:style>
  <w:style w:type="character" w:customStyle="1" w:styleId="57">
    <w:name w:val="列出段落 字符"/>
    <w:qFormat/>
    <w:locked/>
    <w:uiPriority w:val="34"/>
    <w:rPr>
      <w:kern w:val="2"/>
      <w:sz w:val="21"/>
      <w:szCs w:val="24"/>
    </w:rPr>
  </w:style>
  <w:style w:type="character" w:customStyle="1" w:styleId="58">
    <w:name w:val="列出段落 Char1"/>
    <w:qFormat/>
    <w:locked/>
    <w:uiPriority w:val="34"/>
    <w:rPr>
      <w:kern w:val="2"/>
      <w:sz w:val="21"/>
      <w:szCs w:val="24"/>
    </w:rPr>
  </w:style>
  <w:style w:type="character" w:customStyle="1" w:styleId="59">
    <w:name w:val="weby11"/>
    <w:qFormat/>
    <w:uiPriority w:val="0"/>
    <w:rPr>
      <w:sz w:val="18"/>
      <w:szCs w:val="18"/>
    </w:rPr>
  </w:style>
  <w:style w:type="character" w:customStyle="1" w:styleId="60">
    <w:name w:val="HTML 预设格式 Char1"/>
    <w:semiHidden/>
    <w:qFormat/>
    <w:uiPriority w:val="99"/>
    <w:rPr>
      <w:rFonts w:ascii="Courier New" w:hAnsi="Courier New" w:cs="Courier New"/>
      <w:kern w:val="2"/>
    </w:rPr>
  </w:style>
  <w:style w:type="character" w:customStyle="1" w:styleId="61">
    <w:name w:val="列出段落 Char"/>
    <w:link w:val="62"/>
    <w:qFormat/>
    <w:uiPriority w:val="34"/>
    <w:rPr>
      <w:kern w:val="2"/>
      <w:sz w:val="21"/>
      <w:szCs w:val="24"/>
    </w:rPr>
  </w:style>
  <w:style w:type="paragraph" w:customStyle="1" w:styleId="62">
    <w:name w:val="列表段落1"/>
    <w:basedOn w:val="1"/>
    <w:link w:val="61"/>
    <w:qFormat/>
    <w:uiPriority w:val="34"/>
    <w:pPr>
      <w:ind w:firstLine="420" w:firstLineChars="200"/>
    </w:pPr>
    <w:rPr>
      <w:lang w:val="zh-CN"/>
    </w:rPr>
  </w:style>
  <w:style w:type="character" w:customStyle="1" w:styleId="63">
    <w:name w:val="s1"/>
    <w:qFormat/>
    <w:uiPriority w:val="0"/>
    <w:rPr>
      <w:rFonts w:ascii="Helvetica Neue" w:hAnsi="Helvetica Neue" w:eastAsia="Helvetica Neue" w:cs="Helvetica Neue"/>
      <w:sz w:val="21"/>
      <w:szCs w:val="21"/>
    </w:rPr>
  </w:style>
  <w:style w:type="character" w:customStyle="1" w:styleId="64">
    <w:name w:val="页脚2 Char Char"/>
    <w:link w:val="65"/>
    <w:qFormat/>
    <w:uiPriority w:val="0"/>
    <w:rPr>
      <w:rFonts w:ascii="宋体" w:hAnsi="宋体"/>
      <w:kern w:val="2"/>
      <w:sz w:val="18"/>
      <w:szCs w:val="18"/>
    </w:rPr>
  </w:style>
  <w:style w:type="paragraph" w:customStyle="1" w:styleId="65">
    <w:name w:val="页脚2"/>
    <w:basedOn w:val="1"/>
    <w:link w:val="64"/>
    <w:qFormat/>
    <w:uiPriority w:val="0"/>
    <w:pPr>
      <w:widowControl/>
      <w:pBdr>
        <w:top w:val="single" w:color="auto" w:sz="6" w:space="0"/>
      </w:pBdr>
      <w:jc w:val="right"/>
      <w:textAlignment w:val="center"/>
    </w:pPr>
    <w:rPr>
      <w:rFonts w:ascii="宋体" w:hAnsi="宋体"/>
      <w:sz w:val="18"/>
      <w:szCs w:val="18"/>
      <w:lang w:val="zh-CN"/>
    </w:rPr>
  </w:style>
  <w:style w:type="paragraph" w:customStyle="1" w:styleId="66">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图"/>
    <w:basedOn w:val="1"/>
    <w:qFormat/>
    <w:uiPriority w:val="99"/>
    <w:pPr>
      <w:keepNext/>
      <w:adjustRightInd w:val="0"/>
      <w:spacing w:before="60" w:after="60" w:line="300" w:lineRule="auto"/>
      <w:jc w:val="center"/>
      <w:textAlignment w:val="center"/>
    </w:pPr>
    <w:rPr>
      <w:snapToGrid w:val="0"/>
      <w:spacing w:val="20"/>
      <w:kern w:val="0"/>
      <w:sz w:val="24"/>
      <w:szCs w:val="20"/>
    </w:rPr>
  </w:style>
  <w:style w:type="paragraph" w:customStyle="1" w:styleId="6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1">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样式4"/>
    <w:basedOn w:val="1"/>
    <w:qFormat/>
    <w:uiPriority w:val="0"/>
    <w:pPr>
      <w:tabs>
        <w:tab w:val="left" w:pos="2328"/>
      </w:tabs>
      <w:ind w:left="851" w:hanging="851"/>
    </w:pPr>
  </w:style>
  <w:style w:type="paragraph" w:customStyle="1" w:styleId="73">
    <w:name w:val="方案正文"/>
    <w:basedOn w:val="1"/>
    <w:qFormat/>
    <w:uiPriority w:val="0"/>
    <w:pPr>
      <w:adjustRightInd w:val="0"/>
      <w:snapToGrid w:val="0"/>
      <w:spacing w:before="120" w:line="360" w:lineRule="auto"/>
      <w:ind w:left="425" w:hanging="425"/>
    </w:pPr>
    <w:rPr>
      <w:rFonts w:ascii="宋体" w:hAnsi="宋体"/>
      <w:sz w:val="44"/>
      <w:szCs w:val="48"/>
    </w:rPr>
  </w:style>
  <w:style w:type="paragraph" w:customStyle="1" w:styleId="74">
    <w:name w:val="Char Char1 Char Char Char Char Char Char Char Char Char Char Char Char Char Char"/>
    <w:basedOn w:val="1"/>
    <w:qFormat/>
    <w:uiPriority w:val="0"/>
    <w:pPr>
      <w:widowControl/>
      <w:spacing w:after="160" w:line="240" w:lineRule="exact"/>
      <w:jc w:val="left"/>
    </w:pPr>
  </w:style>
  <w:style w:type="paragraph" w:customStyle="1" w:styleId="75">
    <w:name w:val="p1"/>
    <w:basedOn w:val="1"/>
    <w:qFormat/>
    <w:uiPriority w:val="0"/>
    <w:pPr>
      <w:jc w:val="left"/>
    </w:pPr>
    <w:rPr>
      <w:rFonts w:ascii="PingFang SC" w:hAnsi="PingFang SC" w:eastAsia="PingFang SC"/>
      <w:color w:val="0F1721"/>
      <w:kern w:val="0"/>
      <w:szCs w:val="21"/>
    </w:rPr>
  </w:style>
  <w:style w:type="paragraph" w:customStyle="1" w:styleId="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7">
    <w:name w:val="纯文本1"/>
    <w:basedOn w:val="1"/>
    <w:qFormat/>
    <w:uiPriority w:val="0"/>
    <w:pPr>
      <w:suppressAutoHyphens/>
      <w:spacing w:line="360" w:lineRule="auto"/>
      <w:ind w:firstLine="510"/>
    </w:pPr>
    <w:rPr>
      <w:rFonts w:ascii="宋体" w:hAnsi="宋体"/>
      <w:kern w:val="1"/>
      <w:sz w:val="24"/>
      <w:szCs w:val="20"/>
      <w:lang w:eastAsia="ar-SA"/>
    </w:rPr>
  </w:style>
  <w:style w:type="paragraph" w:customStyle="1" w:styleId="78">
    <w:name w:val="列表段落11"/>
    <w:basedOn w:val="1"/>
    <w:qFormat/>
    <w:uiPriority w:val="34"/>
    <w:pPr>
      <w:ind w:firstLine="420" w:firstLineChars="200"/>
    </w:pPr>
  </w:style>
  <w:style w:type="paragraph" w:customStyle="1" w:styleId="7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样式 小四 段前: 5 磅 段后: 5 磅 首行缩进:  2 字符"/>
    <w:basedOn w:val="1"/>
    <w:qFormat/>
    <w:uiPriority w:val="0"/>
    <w:pPr>
      <w:spacing w:line="360" w:lineRule="auto"/>
    </w:pPr>
    <w:rPr>
      <w:rFonts w:ascii="宋体" w:hAnsi="宋体"/>
      <w:sz w:val="24"/>
      <w:szCs w:val="21"/>
    </w:rPr>
  </w:style>
  <w:style w:type="paragraph" w:customStyle="1" w:styleId="82">
    <w:name w:val="表"/>
    <w:basedOn w:val="1"/>
    <w:qFormat/>
    <w:uiPriority w:val="0"/>
    <w:pPr>
      <w:spacing w:line="360" w:lineRule="auto"/>
      <w:jc w:val="center"/>
    </w:pPr>
    <w:rPr>
      <w:rFonts w:ascii="宋体" w:hAnsi="宋体"/>
      <w:b/>
      <w:bCs/>
      <w:color w:val="FF0000"/>
      <w:szCs w:val="20"/>
    </w:rPr>
  </w:style>
  <w:style w:type="paragraph" w:customStyle="1" w:styleId="83">
    <w:name w:val="正文_0"/>
    <w:qFormat/>
    <w:uiPriority w:val="0"/>
    <w:pPr>
      <w:widowControl w:val="0"/>
      <w:spacing w:before="120" w:after="120"/>
      <w:jc w:val="both"/>
    </w:pPr>
    <w:rPr>
      <w:rFonts w:ascii="宋体" w:hAnsi="宋体" w:eastAsia="宋体" w:cs="Times New Roman"/>
      <w:b/>
      <w:sz w:val="24"/>
      <w:szCs w:val="24"/>
      <w:lang w:val="en-US" w:eastAsia="zh-CN" w:bidi="ar-SA"/>
    </w:rPr>
  </w:style>
  <w:style w:type="paragraph" w:customStyle="1" w:styleId="8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8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列出段落1"/>
    <w:basedOn w:val="1"/>
    <w:qFormat/>
    <w:uiPriority w:val="34"/>
    <w:pPr>
      <w:ind w:firstLine="420" w:firstLineChars="200"/>
    </w:pPr>
  </w:style>
  <w:style w:type="character" w:customStyle="1" w:styleId="88">
    <w:name w:val="10"/>
    <w:basedOn w:val="29"/>
    <w:qFormat/>
    <w:uiPriority w:val="0"/>
    <w:rPr>
      <w:rFonts w:hint="default" w:ascii="Times New Roman" w:hAnsi="Times New Roman" w:cs="Times New Roman"/>
    </w:rPr>
  </w:style>
  <w:style w:type="paragraph" w:customStyle="1" w:styleId="89">
    <w:name w:val="正文_0_0_0"/>
    <w:basedOn w:val="1"/>
    <w:qFormat/>
    <w:uiPriority w:val="0"/>
    <w:pPr>
      <w:widowControl/>
      <w:jc w:val="left"/>
    </w:pPr>
    <w:rPr>
      <w:kern w:val="0"/>
      <w:szCs w:val="21"/>
    </w:rPr>
  </w:style>
  <w:style w:type="paragraph" w:customStyle="1" w:styleId="90">
    <w:name w:val="Table Paragraph"/>
    <w:basedOn w:val="1"/>
    <w:qFormat/>
    <w:uiPriority w:val="1"/>
    <w:rPr>
      <w:rFonts w:ascii="宋体" w:hAnsi="宋体" w:cs="宋体"/>
      <w:lang w:val="zh-CN" w:bidi="zh-CN"/>
    </w:rPr>
  </w:style>
  <w:style w:type="table" w:customStyle="1" w:styleId="91">
    <w:name w:val="Table Normal"/>
    <w:semiHidden/>
    <w:unhideWhenUsed/>
    <w:qFormat/>
    <w:uiPriority w:val="0"/>
    <w:tblPr>
      <w:tblCellMar>
        <w:top w:w="0" w:type="dxa"/>
        <w:left w:w="0" w:type="dxa"/>
        <w:bottom w:w="0" w:type="dxa"/>
        <w:right w:w="0" w:type="dxa"/>
      </w:tblCellMar>
    </w:tblPr>
  </w:style>
  <w:style w:type="character" w:customStyle="1" w:styleId="92">
    <w:name w:val="font11"/>
    <w:basedOn w:val="29"/>
    <w:qFormat/>
    <w:uiPriority w:val="0"/>
    <w:rPr>
      <w:rFonts w:hint="eastAsia" w:ascii="仿宋_GB2312" w:hAnsi="Times New Roman" w:eastAsia="仿宋_GB2312" w:cs="仿宋_GB2312"/>
      <w:color w:val="000000"/>
      <w:sz w:val="21"/>
      <w:szCs w:val="21"/>
      <w:u w:val="none"/>
    </w:rPr>
  </w:style>
  <w:style w:type="character" w:customStyle="1" w:styleId="93">
    <w:name w:val="font31"/>
    <w:basedOn w:val="29"/>
    <w:qFormat/>
    <w:uiPriority w:val="0"/>
    <w:rPr>
      <w:rFonts w:hint="eastAsia" w:ascii="仿宋_GB2312" w:eastAsia="仿宋_GB2312" w:cs="仿宋_GB2312"/>
      <w:color w:val="000000"/>
      <w:sz w:val="32"/>
      <w:szCs w:val="32"/>
      <w:u w:val="none"/>
    </w:rPr>
  </w:style>
  <w:style w:type="paragraph" w:styleId="9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22637</Words>
  <Characters>23648</Characters>
  <Lines>340</Lines>
  <Paragraphs>95</Paragraphs>
  <TotalTime>3</TotalTime>
  <ScaleCrop>false</ScaleCrop>
  <LinksUpToDate>false</LinksUpToDate>
  <CharactersWithSpaces>23820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2023-08-23T06:54:00Z</dcterms:created>
  <cp:lastPrinted>2022-10-27T16:35:00Z</cp:lastPrinted>
  <dcterms:modified xsi:type="dcterms:W3CDTF">2025-03-07T04:04:28Z</dcterms:modified>
  <dc:title>澳门公交车车身广告项目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A018B8A56994486EB7E2689A5E4DF660_13</vt:lpwstr>
  </property>
  <property fmtid="{D5CDD505-2E9C-101B-9397-08002B2CF9AE}" pid="4" name="KSOTemplateDocerSaveRecord">
    <vt:lpwstr>eyJoZGlkIjoiYTA0ZmRkODc5MjFkZjYwOGZkMWMxNjYzNzIwZWU5ZjUiLCJ1c2VySWQiOiIxMDMyNTM1In0=</vt:lpwstr>
  </property>
</Properties>
</file>