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ascii="仿宋_GB2312" w:eastAsia="仿宋_GB2312"/>
          <w:b/>
          <w:bCs/>
          <w:kern w:val="0"/>
          <w:sz w:val="32"/>
          <w:szCs w:val="32"/>
          <w:lang w:val="en-US" w:eastAsia="zh-CN"/>
        </w:rPr>
      </w:pPr>
      <w:r>
        <w:rPr>
          <w:rFonts w:hint="eastAsia" w:eastAsia="仿宋_GB2312"/>
          <w:b/>
          <w:bCs/>
          <w:kern w:val="0"/>
          <w:sz w:val="32"/>
          <w:szCs w:val="32"/>
        </w:rPr>
        <w:t>附件</w:t>
      </w:r>
      <w:r>
        <w:rPr>
          <w:rFonts w:hint="eastAsia" w:ascii="仿宋_GB2312" w:eastAsia="仿宋_GB2312"/>
          <w:b/>
          <w:bCs/>
          <w:kern w:val="0"/>
          <w:sz w:val="32"/>
          <w:szCs w:val="32"/>
          <w:lang w:val="en-US" w:eastAsia="zh-CN"/>
        </w:rPr>
        <w:t>5</w:t>
      </w:r>
      <w:bookmarkStart w:id="0" w:name="_GoBack"/>
      <w:bookmarkEnd w:id="0"/>
    </w:p>
    <w:p>
      <w:pPr>
        <w:adjustRightInd w:val="0"/>
        <w:snapToGrid w:val="0"/>
        <w:spacing w:line="600" w:lineRule="exact"/>
        <w:jc w:val="center"/>
        <w:rPr>
          <w:rFonts w:hint="eastAsia" w:ascii="方正小标宋简体" w:hAnsi="华文中宋" w:eastAsia="方正小标宋简体"/>
          <w:sz w:val="32"/>
          <w:szCs w:val="32"/>
        </w:rPr>
      </w:pPr>
      <w:r>
        <w:rPr>
          <w:rFonts w:hint="eastAsia" w:ascii="方正小标宋简体" w:hAnsi="华文中宋" w:eastAsia="方正小标宋简体"/>
          <w:sz w:val="32"/>
          <w:szCs w:val="32"/>
          <w:lang w:eastAsia="zh-CN"/>
        </w:rPr>
        <w:t>烟花爆竹零售店</w:t>
      </w:r>
      <w:r>
        <w:rPr>
          <w:rFonts w:hint="default" w:ascii="方正小标宋简体" w:hAnsi="华文中宋" w:eastAsia="方正小标宋简体"/>
          <w:sz w:val="32"/>
          <w:szCs w:val="32"/>
          <w:lang w:eastAsia="zh-CN"/>
        </w:rPr>
        <w:t>（点）</w:t>
      </w:r>
      <w:r>
        <w:rPr>
          <w:rFonts w:hint="eastAsia" w:ascii="方正小标宋简体" w:hAnsi="华文中宋" w:eastAsia="方正小标宋简体"/>
          <w:sz w:val="32"/>
          <w:szCs w:val="32"/>
        </w:rPr>
        <w:t>现场安全条件审核表</w:t>
      </w:r>
    </w:p>
    <w:tbl>
      <w:tblPr>
        <w:tblStyle w:val="3"/>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70"/>
        <w:gridCol w:w="73"/>
        <w:gridCol w:w="4280"/>
        <w:gridCol w:w="147"/>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28" w:type="dxa"/>
            <w:gridSpan w:val="3"/>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零售店</w:t>
            </w:r>
            <w:r>
              <w:rPr>
                <w:rFonts w:hint="eastAsia" w:ascii="宋体" w:hAnsi="宋体" w:eastAsia="宋体" w:cs="宋体"/>
                <w:b/>
                <w:sz w:val="21"/>
                <w:szCs w:val="21"/>
                <w:lang w:eastAsia="zh-CN"/>
              </w:rPr>
              <w:t>（点）</w:t>
            </w:r>
            <w:r>
              <w:rPr>
                <w:rFonts w:hint="eastAsia" w:ascii="宋体" w:hAnsi="宋体" w:eastAsia="宋体" w:cs="宋体"/>
                <w:b/>
                <w:sz w:val="21"/>
                <w:szCs w:val="21"/>
              </w:rPr>
              <w:t>名称</w:t>
            </w:r>
          </w:p>
        </w:tc>
        <w:tc>
          <w:tcPr>
            <w:tcW w:w="7001" w:type="dxa"/>
            <w:gridSpan w:val="3"/>
            <w:noWrap w:val="0"/>
            <w:vAlign w:val="center"/>
          </w:tcPr>
          <w:p>
            <w:pPr>
              <w:spacing w:line="36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428" w:type="dxa"/>
            <w:gridSpan w:val="3"/>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经营地址</w:t>
            </w:r>
          </w:p>
        </w:tc>
        <w:tc>
          <w:tcPr>
            <w:tcW w:w="7001" w:type="dxa"/>
            <w:gridSpan w:val="3"/>
            <w:noWrap w:val="0"/>
            <w:vAlign w:val="center"/>
          </w:tcPr>
          <w:p>
            <w:pPr>
              <w:spacing w:line="36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08" w:type="dxa"/>
            <w:gridSpan w:val="4"/>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审 核 内 容</w:t>
            </w:r>
          </w:p>
        </w:tc>
        <w:tc>
          <w:tcPr>
            <w:tcW w:w="2721" w:type="dxa"/>
            <w:gridSpan w:val="2"/>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符合与否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kern w:val="0"/>
                <w:sz w:val="21"/>
                <w:szCs w:val="21"/>
              </w:rPr>
            </w:pPr>
            <w:r>
              <w:rPr>
                <w:rFonts w:hint="eastAsia" w:ascii="宋体" w:hAnsi="宋体" w:eastAsia="宋体" w:cs="宋体"/>
                <w:bCs/>
                <w:color w:val="000000"/>
                <w:kern w:val="0"/>
                <w:sz w:val="21"/>
                <w:szCs w:val="21"/>
                <w:lang w:val="en-US" w:eastAsia="zh-CN"/>
              </w:rPr>
              <w:t>零售场所的使用面积不小于10平方米，且不应大于200㎡，周边50米范围内没有其他烟花爆竹零售店（点）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eastAsia="zh-CN"/>
              </w:rPr>
              <w:t>二、选址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设置在消防车辆可以顺畅到达的区域</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不应设置在军事管理区、文物保护区等禁止燃放烟花爆竹区域内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不应设置在居民集中居住小区内，以及桥下与涵洞内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不应与居住、经营场所设置在同一建筑物内，不应设置在地下及半地下室内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不应设置在其地下、室内或上方有输送石油、天然气等易燃易爆物质管道的建筑物内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不应设置在电压高于1kV的电力线路下方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不应设置在商场、超市等场所内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三、外部距离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9</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距离党政机关办公楼、重要的通信和指挥调度建筑物、大型金融机构办公楼、省部级及以上广播电视建筑物100米以上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距离学校、医院、幼儿园、养老院、集贸市场、文物古迹、博物馆、展览馆、档案馆、图书馆，危险品生产、储存及加油站、加气站等易燃易爆场所边缘100米以上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距离铁路两侧边线和铁路车站200米以上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距离长途客运总站围墙100米以上，距离公交电气车总站围墙100米以上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距离山林、苗圃等重点防火区150米以上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距离重要军事设施围墙100米以上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当烟花爆竹总药量≤80kg时，距离220kV及以上的区域变电站围墙、220kV以上的架空输电线路50米以上；当烟花爆竹总药量＞80kg且≤100kg时，距离220kV及以上的区域变电站围墙、220kV以上的架空输电线路60米以上；当烟花爆竹总药量＞100kg且≤200kg时，距离220kV及以上的区域变电站围墙、220kV以上的架空输电线路65米以上；当烟花爆竹总药量＞200kg且≤300kg时，距离220kV及以上的区域变电站围墙、220kV以上的架空输电线路70米以上；且不应设置在电压高于1kV的电力线路下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6</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距离城市干道交叉路口50米以上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7</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距离明火或散发火花地点周边30米以上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8</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距离市和区人民政府确定和公布的其他禁止燃放烟花爆竹的区域100米以上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eastAsia="zh-CN"/>
              </w:rPr>
              <w:t>四、平面布置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19</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零售场所与其他房间之间不应有楼梯或洞口相通</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20</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烟花爆竹零售场所不应作为其他生产、经营和生活等场所的进出通道</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烟花爆竹零售场所不应设置生产、生活设施</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eastAsia="zh-CN"/>
              </w:rPr>
              <w:t>五、建筑结构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烟花爆竹零售店建筑物可采用现浇钢筋混凝土框架结构， 也可采用钢筋混凝土柱、梁承重结构、砌体承重结构、钢架结构等</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建筑物的耐火等级应符合GB50016的规定，且不应低于三级。当建筑物独立设置且与其他建筑物相距超过12m时，其耐火等级可为4级</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外墙门窗等洞口与其正上方房间对应开口之间应设置高度不小于1.2m的实体墙，或挑出宽度不小于1m、长度不小于开口宽度的防火挑檐，或安装挑出宽度不小于1m、长度不小于开口宽度的不燃材料制作的雨搭</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烟花爆竹零售店安全出口应通畅。建筑面积不大于100m²时，可设1个安全出口；建筑面积大于100m²时，安全出口不应少于2个；店内任一点至安全出口的距离不应大于15m；顾客进出的门宽不应小于1.5m</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26</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烟花爆竹零售店安全疏散门宜采用向外开启的平开门。采用其他形式的门时，应符合安全疏散要求</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27</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烟花爆竹零售店搬运烟花爆竹进出的门宽不宜小于1.2m</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28</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烟花爆竹零售店（点）应能承受当地的风载荷，有可靠的防止雨水浸入的措施</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b/>
                <w:bCs/>
                <w:lang w:eastAsia="zh-CN"/>
              </w:rPr>
              <w:t>六、消防和电气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30</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烟花爆竹零售店（点）内严禁有明火</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烟花爆竹零售店（点）不应采用产生明火和有强热辐射的采暖设备，且烟花爆竹与采暖设备的距离不应小于300mm</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烟花爆竹零售店、零售点应配备5kg及以上的磷酸铵盐干粉灭火器，放置在便于取用位置。使用面积不大于100m²时，应至少配备2具；使用面积大于100m²时，应至少配备4具且分为2个设置点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零售场所的电气线路不应有明接头</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室内电气线路可采用普通导线穿钢管敷设，也可采用带有阻燃护套电缆或阻燃型绝缘导线。线路接头处可采用防护等级不低于IP54的接线盒</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用电设备、照明灯具、开关及插座宜采用可燃性粉尘环境用电气设备22区DIP22、IP54（防水、防粉尘）</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9429" w:type="dxa"/>
            <w:gridSpan w:val="6"/>
            <w:noWrap w:val="0"/>
            <w:vAlign w:val="top"/>
          </w:tcPr>
          <w:p>
            <w:pPr>
              <w:spacing w:line="360" w:lineRule="exact"/>
              <w:rPr>
                <w:rFonts w:hint="eastAsia"/>
              </w:rPr>
            </w:pPr>
            <w:r>
              <w:rPr>
                <w:rFonts w:hint="eastAsia"/>
              </w:rPr>
              <w:t xml:space="preserve"> 复审小组审查结论：</w:t>
            </w:r>
          </w:p>
          <w:p>
            <w:pPr>
              <w:spacing w:line="360" w:lineRule="exact"/>
              <w:rPr>
                <w:rFonts w:hint="eastAsia"/>
              </w:rPr>
            </w:pPr>
            <w:r>
              <w:rPr>
                <w:rFonts w:hint="eastAsia"/>
              </w:rPr>
              <w:t xml:space="preserve"> 该</w:t>
            </w:r>
            <w:r>
              <w:rPr>
                <w:rFonts w:hint="eastAsia"/>
                <w:lang w:val="en-US" w:eastAsia="zh-CN"/>
              </w:rPr>
              <w:t>零售店</w:t>
            </w:r>
            <w:r>
              <w:rPr>
                <w:rFonts w:hint="eastAsia"/>
              </w:rPr>
              <w:t>应限期整改的安全隐患：</w:t>
            </w:r>
          </w:p>
          <w:p>
            <w:pPr>
              <w:pStyle w:val="2"/>
              <w:rPr>
                <w:rFonts w:hint="eastAsia"/>
              </w:rPr>
            </w:pPr>
          </w:p>
          <w:p>
            <w:pPr>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29" w:type="dxa"/>
            <w:gridSpan w:val="6"/>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参加现场安全条件核查人员签名表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姓名</w:t>
            </w: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工作单位</w:t>
            </w:r>
          </w:p>
        </w:tc>
        <w:tc>
          <w:tcPr>
            <w:tcW w:w="2574" w:type="dxa"/>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p>
        </w:tc>
        <w:tc>
          <w:tcPr>
            <w:tcW w:w="2574" w:type="dxa"/>
            <w:noWrap w:val="0"/>
            <w:vAlign w:val="center"/>
          </w:tcPr>
          <w:p>
            <w:pPr>
              <w:spacing w:line="360" w:lineRule="exact"/>
              <w:jc w:val="center"/>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p>
        </w:tc>
        <w:tc>
          <w:tcPr>
            <w:tcW w:w="2574" w:type="dxa"/>
            <w:noWrap w:val="0"/>
            <w:vAlign w:val="center"/>
          </w:tcPr>
          <w:p>
            <w:pPr>
              <w:spacing w:line="360" w:lineRule="exact"/>
              <w:jc w:val="center"/>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p>
        </w:tc>
        <w:tc>
          <w:tcPr>
            <w:tcW w:w="2574" w:type="dxa"/>
            <w:noWrap w:val="0"/>
            <w:vAlign w:val="center"/>
          </w:tcPr>
          <w:p>
            <w:pPr>
              <w:spacing w:line="360" w:lineRule="exact"/>
              <w:jc w:val="center"/>
              <w:rPr>
                <w:rFonts w:hint="eastAsia" w:ascii="宋体" w:hAnsi="宋体" w:eastAsia="宋体" w:cs="宋体"/>
                <w:b/>
                <w:bCs/>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039CA"/>
    <w:rsid w:val="0D9039CA"/>
    <w:rsid w:val="41FE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2024-01-05T08:06:00Z</dcterms:created>
  <dc:creator>Lenovo</dc:creator>
  <cp:lastModifiedBy>Lenovo</cp:lastModifiedBy>
  <dcterms:modified xsi:type="dcterms:W3CDTF">2024-01-16T02:14:55Z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792B8BC1BC014D8A9B922C632F7F4933</vt:lpwstr>
  </property>
</Properties>
</file>