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1"/>
        <w:jc w:val="both"/>
        <w:rPr>
          <w:rFonts w:hint="default" w:ascii="Times New Roman" w:hAnsi="Times New Roman" w:eastAsia="方正小标宋简体" w:cs="Times New Roman"/>
          <w:b w:val="0"/>
          <w:bCs w:val="0"/>
          <w:sz w:val="44"/>
          <w:szCs w:val="44"/>
          <w:lang w:val="en-US" w:eastAsia="zh-CN"/>
        </w:rPr>
      </w:pPr>
      <w:r>
        <w:rPr>
          <w:rFonts w:hint="eastAsia" w:ascii="楷体_GB2312" w:hAnsi="楷体_GB2312" w:eastAsia="楷体_GB2312" w:cs="楷体_GB2312"/>
          <w:b w:val="0"/>
          <w:bCs w:val="0"/>
          <w:sz w:val="28"/>
          <w:szCs w:val="28"/>
          <w:lang w:val="en-US" w:eastAsia="zh-CN"/>
        </w:rPr>
        <w:t>附件2</w:t>
      </w:r>
    </w:p>
    <w:p>
      <w:pPr>
        <w:spacing w:line="560" w:lineRule="exact"/>
        <w:ind w:right="11"/>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判定统计关系的具体案例解析</w:t>
      </w:r>
    </w:p>
    <w:p>
      <w:pPr>
        <w:spacing w:line="560" w:lineRule="exact"/>
        <w:ind w:right="11"/>
        <w:jc w:val="center"/>
        <w:rPr>
          <w:rFonts w:hint="default" w:ascii="Times New Roman" w:hAnsi="Times New Roman" w:eastAsia="仿宋_GB2312" w:cs="Times New Roman"/>
          <w:b/>
          <w:bCs/>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 w:rightChars="0" w:firstLine="640" w:firstLineChars="200"/>
        <w:textAlignment w:val="auto"/>
        <w:rPr>
          <w:rFonts w:hint="default" w:ascii="Times New Roman" w:hAnsi="Times New Roman" w:eastAsia="黑体" w:cs="Times New Roman"/>
          <w:b w:val="0"/>
          <w:bCs w:val="0"/>
          <w:sz w:val="32"/>
          <w:lang w:val="en-US" w:eastAsia="zh-CN"/>
        </w:rPr>
      </w:pPr>
      <w:r>
        <w:rPr>
          <w:rFonts w:hint="default" w:ascii="Times New Roman" w:hAnsi="Times New Roman" w:eastAsia="黑体" w:cs="Times New Roman"/>
          <w:b w:val="0"/>
          <w:bCs w:val="0"/>
          <w:sz w:val="32"/>
          <w:lang w:val="en-US" w:eastAsia="zh-CN"/>
        </w:rPr>
        <w:t>一、法人单位统计关系的判定方法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 w:righ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广东**人才市场有限公司在2017年已向南沙区统计局申请纳入南沙区基本单位名录库，经区统计局工作人员核实后判定其为法人单位，并根据该公司提交的《法人单位基本情况表》及其营业执照等相关资料进行基本单位名录库录入工作，且没有存在重名重码等重复录入情况。综合上述情况，该公司的统计归属在南沙区，与南沙区确立统计关系时间为2017年。</w:t>
      </w:r>
    </w:p>
    <w:p>
      <w:pPr>
        <w:keepNext w:val="0"/>
        <w:keepLines w:val="0"/>
        <w:pageBreakBefore w:val="0"/>
        <w:widowControl w:val="0"/>
        <w:kinsoku/>
        <w:wordWrap/>
        <w:overflowPunct/>
        <w:topLinePunct w:val="0"/>
        <w:autoSpaceDE/>
        <w:autoSpaceDN/>
        <w:bidi w:val="0"/>
        <w:adjustRightInd/>
        <w:snapToGrid/>
        <w:spacing w:line="560" w:lineRule="exact"/>
        <w:ind w:right="11" w:firstLine="640"/>
        <w:textAlignment w:val="auto"/>
        <w:rPr>
          <w:rFonts w:hint="default" w:ascii="Times New Roman" w:hAnsi="Times New Roman" w:eastAsia="黑体" w:cs="Times New Roman"/>
          <w:b w:val="0"/>
          <w:bCs w:val="0"/>
          <w:sz w:val="32"/>
          <w:lang w:val="en-US" w:eastAsia="zh-CN"/>
        </w:rPr>
      </w:pPr>
      <w:r>
        <w:rPr>
          <w:rFonts w:hint="default" w:ascii="Times New Roman" w:hAnsi="Times New Roman" w:eastAsia="黑体" w:cs="Times New Roman"/>
          <w:b w:val="0"/>
          <w:bCs w:val="0"/>
          <w:sz w:val="32"/>
          <w:lang w:val="en-US" w:eastAsia="zh-CN"/>
        </w:rPr>
        <w:t>二、产业活动单位统计关系的判定方法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 w:rightChars="0" w:firstLine="640" w:firstLineChars="200"/>
        <w:textAlignment w:val="auto"/>
        <w:rPr>
          <w:rFonts w:hint="default" w:ascii="Times New Roman" w:hAnsi="Times New Roman" w:eastAsia="楷体_GB2312" w:cs="Times New Roman"/>
          <w:sz w:val="32"/>
          <w:lang w:val="en-US" w:eastAsia="zh-CN"/>
        </w:rPr>
      </w:pPr>
      <w:r>
        <w:rPr>
          <w:rFonts w:hint="default" w:ascii="Times New Roman" w:hAnsi="Times New Roman" w:eastAsia="楷体_GB2312" w:cs="Times New Roman"/>
          <w:sz w:val="32"/>
          <w:lang w:val="en-US" w:eastAsia="zh-CN"/>
        </w:rPr>
        <w:t>（一）产业活动单位及其所属法人单位实际经营地址一致情况。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 w:righ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1.广州***有限公司南沙***分公司的实际经营地址在南沙区**街道，经核定后为产业活动单位，并在2017年已纳入南沙区基本单位名录库。其母公司为广州***有限公司的实际经营地址也在南沙区**街道，并于2015年纳入南沙区基本单位名录库。综合上述情况，该分公司的统计归属在南沙区，与南沙区确立统计关系时间为2017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 w:righ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广州***有限公司南沙***分公司的实际经营地址在南沙区**街道，经核定后为产业活动单位，并在2017年已纳入南沙区基本单位名录库。其母公司为广州***有限公司的实际经营地址也在南沙区**街道，并于2019年纳入南沙区基本单位名录库。综合上述情况，该分公司的统计归属在南沙区，纳入南沙区基本单位名录库时间为2019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 w:rightChars="0" w:firstLine="640" w:firstLineChars="200"/>
        <w:textAlignment w:val="auto"/>
        <w:rPr>
          <w:rFonts w:hint="default" w:ascii="Times New Roman" w:hAnsi="Times New Roman" w:eastAsia="楷体_GB2312" w:cs="Times New Roman"/>
          <w:color w:val="auto"/>
          <w:sz w:val="32"/>
          <w:highlight w:val="none"/>
          <w:lang w:val="en-US" w:eastAsia="zh-CN"/>
        </w:rPr>
      </w:pPr>
      <w:r>
        <w:rPr>
          <w:rFonts w:hint="default" w:ascii="Times New Roman" w:hAnsi="Times New Roman" w:eastAsia="楷体_GB2312" w:cs="Times New Roman"/>
          <w:sz w:val="32"/>
          <w:lang w:val="en-US" w:eastAsia="zh-CN"/>
        </w:rPr>
        <w:t>（</w:t>
      </w:r>
      <w:r>
        <w:rPr>
          <w:rFonts w:hint="eastAsia" w:eastAsia="楷体_GB2312" w:cs="Times New Roman"/>
          <w:sz w:val="32"/>
          <w:lang w:val="en-US" w:eastAsia="zh-CN"/>
        </w:rPr>
        <w:t>二</w:t>
      </w:r>
      <w:r>
        <w:rPr>
          <w:rFonts w:hint="default" w:ascii="Times New Roman" w:hAnsi="Times New Roman" w:eastAsia="楷体_GB2312" w:cs="Times New Roman"/>
          <w:sz w:val="32"/>
          <w:lang w:val="en-US" w:eastAsia="zh-CN"/>
        </w:rPr>
        <w:t>）产业活动单位</w:t>
      </w:r>
      <w:r>
        <w:rPr>
          <w:rFonts w:hint="eastAsia" w:eastAsia="楷体_GB2312" w:cs="Times New Roman"/>
          <w:color w:val="auto"/>
          <w:sz w:val="32"/>
          <w:highlight w:val="none"/>
          <w:lang w:val="en-US" w:eastAsia="zh-CN"/>
        </w:rPr>
        <w:t>（</w:t>
      </w:r>
      <w:r>
        <w:rPr>
          <w:rFonts w:hint="default" w:ascii="仿宋_GB2312" w:hAnsi="仿宋_GB2312" w:eastAsia="仿宋_GB2312" w:cs="仿宋_GB2312"/>
          <w:color w:val="auto"/>
          <w:sz w:val="32"/>
          <w:szCs w:val="32"/>
          <w:highlight w:val="none"/>
          <w:lang w:val="en-US" w:eastAsia="zh-CN"/>
        </w:rPr>
        <w:t>可视同法人单位的分公司、分支机构</w:t>
      </w:r>
      <w:r>
        <w:rPr>
          <w:rFonts w:hint="eastAsia" w:ascii="仿宋_GB2312" w:hAnsi="仿宋_GB2312" w:eastAsia="仿宋_GB2312" w:cs="仿宋_GB2312"/>
          <w:color w:val="auto"/>
          <w:sz w:val="32"/>
          <w:szCs w:val="32"/>
          <w:highlight w:val="none"/>
          <w:lang w:val="en-US" w:eastAsia="zh-CN"/>
        </w:rPr>
        <w:t>除外</w:t>
      </w:r>
      <w:r>
        <w:rPr>
          <w:rFonts w:hint="eastAsia" w:eastAsia="楷体_GB2312" w:cs="Times New Roman"/>
          <w:color w:val="auto"/>
          <w:sz w:val="32"/>
          <w:highlight w:val="none"/>
          <w:lang w:val="en-US" w:eastAsia="zh-CN"/>
        </w:rPr>
        <w:t>）</w:t>
      </w:r>
      <w:r>
        <w:rPr>
          <w:rFonts w:hint="default" w:ascii="Times New Roman" w:hAnsi="Times New Roman" w:eastAsia="楷体_GB2312" w:cs="Times New Roman"/>
          <w:color w:val="auto"/>
          <w:sz w:val="32"/>
          <w:highlight w:val="none"/>
          <w:lang w:val="en-US" w:eastAsia="zh-CN"/>
        </w:rPr>
        <w:t>及其所属法人单位实际经营地址不</w:t>
      </w:r>
      <w:bookmarkStart w:id="0" w:name="_GoBack"/>
      <w:bookmarkEnd w:id="0"/>
      <w:r>
        <w:rPr>
          <w:rFonts w:hint="default" w:ascii="Times New Roman" w:hAnsi="Times New Roman" w:eastAsia="楷体_GB2312" w:cs="Times New Roman"/>
          <w:color w:val="auto"/>
          <w:sz w:val="32"/>
          <w:highlight w:val="none"/>
          <w:lang w:val="en-US" w:eastAsia="zh-CN"/>
        </w:rPr>
        <w:t>一致情况。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 w:rightChars="0" w:firstLine="640" w:firstLineChars="200"/>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上海***化妆品有限公司广州分公司的实际经营地址在南沙区**镇，经核定后为产业活动单位，并于2015年已纳入南沙区基本单位名录库。但其母公司上海***化妆品有限公司的实际经营地址上海市，且已纳入上海市基本单位名录库，未纳入南沙区基本单位名录库。根据产业活动单位统计关系的判定条件，鉴于该分公司的母公司为非南沙区法人单位，所以该分公司的统计归属不在南沙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 w:rightChars="0" w:firstLine="560" w:firstLineChars="200"/>
        <w:textAlignment w:val="auto"/>
        <w:rPr>
          <w:rFonts w:hint="default" w:ascii="Times New Roman" w:hAnsi="Times New Roman" w:eastAsia="仿宋_GB2312" w:cs="Times New Roman"/>
          <w:color w:val="auto"/>
          <w:sz w:val="32"/>
          <w:highlight w:val="none"/>
          <w:lang w:val="en-US" w:eastAsia="zh-CN"/>
        </w:rPr>
      </w:pPr>
      <w:r>
        <w:rPr>
          <w:rFonts w:hint="eastAsia" w:ascii="仿宋_GB2312" w:hAnsi="仿宋_GB2312" w:eastAsia="仿宋_GB2312" w:cs="仿宋_GB2312"/>
          <w:color w:val="auto"/>
          <w:sz w:val="28"/>
          <w:szCs w:val="28"/>
          <w:highlight w:val="none"/>
          <w:lang w:val="en-US" w:eastAsia="zh-CN"/>
        </w:rPr>
        <w:t>（</w:t>
      </w:r>
      <w:r>
        <w:rPr>
          <w:rFonts w:hint="default" w:ascii="仿宋_GB2312" w:hAnsi="仿宋_GB2312" w:eastAsia="仿宋_GB2312" w:cs="仿宋_GB2312"/>
          <w:color w:val="auto"/>
          <w:sz w:val="28"/>
          <w:szCs w:val="28"/>
          <w:highlight w:val="none"/>
          <w:lang w:val="en-US" w:eastAsia="zh-CN"/>
        </w:rPr>
        <w:t>可视同法人单位的分公司、分支机构</w:t>
      </w:r>
      <w:r>
        <w:rPr>
          <w:rFonts w:hint="eastAsia" w:ascii="仿宋_GB2312" w:hAnsi="仿宋_GB2312" w:eastAsia="仿宋_GB2312" w:cs="仿宋_GB2312"/>
          <w:color w:val="auto"/>
          <w:sz w:val="28"/>
          <w:szCs w:val="28"/>
          <w:highlight w:val="none"/>
          <w:lang w:val="en-US" w:eastAsia="zh-CN"/>
        </w:rPr>
        <w:t>含义详见附件1《统计单位划分及具体处理办法》第十条及第十三条相关规定）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 w:rightChars="0" w:firstLine="640" w:firstLineChars="200"/>
        <w:textAlignment w:val="auto"/>
        <w:rPr>
          <w:rFonts w:hint="default" w:ascii="Times New Roman" w:hAnsi="Times New Roman" w:eastAsia="黑体" w:cs="Times New Roman"/>
          <w:b w:val="0"/>
          <w:bCs w:val="0"/>
          <w:sz w:val="32"/>
          <w:lang w:val="en-US" w:eastAsia="zh-CN"/>
        </w:rPr>
      </w:pPr>
      <w:r>
        <w:rPr>
          <w:rFonts w:hint="default" w:ascii="Times New Roman" w:hAnsi="Times New Roman" w:eastAsia="黑体" w:cs="Times New Roman"/>
          <w:b w:val="0"/>
          <w:bCs w:val="0"/>
          <w:sz w:val="32"/>
          <w:lang w:val="en-US" w:eastAsia="zh-CN"/>
        </w:rPr>
        <w:t>三、跨区、跨市、跨省迁移法人单位统计关系的判定方法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1" w:righ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广州****有限公司在2018年向南沙区统计局申请纳入南沙区基本单位名录库，经区统计局工作人员核定后判定为法人单位，但在区工作人员录入基本单位名录库后发现存在重名重码情况，该企业现统计归属在白云区（或佛山市/湖南省）。综合上述情况，企业需提供在南沙区为主要经营场所的相关证明材料，待收集完成后迁入区（南沙区）将向上级申请划转统计权限。鉴于上级需核实企业现在归属地的一致性，需待上级核定后方可确定企业的统计归属情况，且纳入南沙区基本单位名录库时间将以其通过审批后系统上显示的时间为准。</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177B6"/>
    <w:rsid w:val="0D7F02AE"/>
    <w:rsid w:val="118272BB"/>
    <w:rsid w:val="11920320"/>
    <w:rsid w:val="1488289A"/>
    <w:rsid w:val="14AE09C6"/>
    <w:rsid w:val="1741250D"/>
    <w:rsid w:val="1843131C"/>
    <w:rsid w:val="1F766BA4"/>
    <w:rsid w:val="20C67635"/>
    <w:rsid w:val="214670DD"/>
    <w:rsid w:val="25C82BB1"/>
    <w:rsid w:val="2976461F"/>
    <w:rsid w:val="29DC23AA"/>
    <w:rsid w:val="2CC12080"/>
    <w:rsid w:val="312D38EE"/>
    <w:rsid w:val="3A7C7B48"/>
    <w:rsid w:val="3E3243C5"/>
    <w:rsid w:val="4DAB2055"/>
    <w:rsid w:val="4F2E0376"/>
    <w:rsid w:val="56F20F01"/>
    <w:rsid w:val="581D68F1"/>
    <w:rsid w:val="6EC22F28"/>
    <w:rsid w:val="74193496"/>
    <w:rsid w:val="7425734B"/>
    <w:rsid w:val="74272285"/>
    <w:rsid w:val="771A62C5"/>
    <w:rsid w:val="78EB3EF2"/>
    <w:rsid w:val="7940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26916</dc:creator>
  <cp:lastModifiedBy>lin</cp:lastModifiedBy>
  <dcterms:modified xsi:type="dcterms:W3CDTF">2023-03-10T06:46:06Z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