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799"/>
        </w:tabs>
        <w:spacing w:line="360" w:lineRule="auto"/>
        <w:jc w:val="left"/>
        <w:outlineLvl w:val="1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Songti SC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Songti SC" w:eastAsia="方正小标宋简体"/>
          <w:bCs/>
          <w:sz w:val="44"/>
          <w:szCs w:val="44"/>
          <w:lang w:val="en-US" w:eastAsia="zh-CN"/>
        </w:rPr>
        <w:t>南沙自贸区法治文化主题公园法治宣传标识牌、设施的维修、优化和维修后维护服务项目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Songti SC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Songti SC" w:eastAsia="方正小标宋简体"/>
          <w:bCs/>
          <w:sz w:val="44"/>
          <w:szCs w:val="44"/>
          <w:lang w:val="en-US" w:eastAsia="zh-CN"/>
        </w:rPr>
        <w:t>综合评分表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6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评标项目</w:t>
            </w: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评分要求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价格评分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en-US"/>
              </w:rPr>
              <w:t>）</w:t>
            </w: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采用低价优先法计算。满足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标文件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CN" w:eastAsia="zh-CN"/>
              </w:rPr>
              <w:t>要求且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投标价格最低的投标报价为评标基准价，其价格分为满分。其他投标人的价格分按照下列公式计算（小数点后保留2位）：投标报价得分=（评标基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CN" w:eastAsia="zh-CN"/>
              </w:rPr>
              <w:t>准价/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投标报价）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×20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</w:trPr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技术评分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1、法治宣传标识牌、设施的维修、优化服务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方案：包括工艺、质量、内容、使用的材质、设备及工作安排、步骤、质量管理等（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2、法治宣传标识牌、设施的维修、优化后维护服务方案：法治宣传标识牌、设施的日常保养、补漆、油饰等，对损坏的法治宣传标识牌、设施进行修理等后续专业维护服务等出具的维护方案（30分）；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项目团队情况：包括项目团队负责人、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运维人员、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专业情况、工作经历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情况，团队运维能力等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（10分）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业绩评分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年以来，具有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同类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合同项目一个得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分，最高得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10分。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rtl w:val="0"/>
                <w:lang w:val="en-US" w:eastAsia="zh-CN"/>
              </w:rPr>
              <w:t>注：须提供有效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委托书或中标通知书、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合同复印件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（关键页）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加盖公章，未提供不得分。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27D7F"/>
    <w:rsid w:val="6182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2082" w:leftChars="496" w:hanging="1040" w:hangingChars="200"/>
    </w:pPr>
    <w:rPr>
      <w:sz w:val="52"/>
    </w:rPr>
  </w:style>
  <w:style w:type="paragraph" w:styleId="4">
    <w:name w:val="Body Text"/>
    <w:basedOn w:val="1"/>
    <w:qFormat/>
    <w:uiPriority w:val="1"/>
    <w:pPr>
      <w:ind w:left="131"/>
    </w:pPr>
    <w:rPr>
      <w:rFonts w:ascii="宋体" w:hAnsi="宋体" w:eastAsia="宋体"/>
      <w:sz w:val="29"/>
      <w:szCs w:val="29"/>
    </w:rPr>
  </w:style>
  <w:style w:type="paragraph" w:styleId="5">
    <w:name w:val="Body Text First Indent"/>
    <w:basedOn w:val="4"/>
    <w:unhideWhenUsed/>
    <w:qFormat/>
    <w:uiPriority w:val="99"/>
    <w:pPr>
      <w:spacing w:after="120"/>
      <w:ind w:firstLine="420" w:firstLineChars="100"/>
    </w:pPr>
    <w:rPr>
      <w:sz w:val="22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2024-10-30T06:42:00Z</dcterms:created>
  <dc:creator>HP</dc:creator>
  <cp:lastModifiedBy>HP</cp:lastModifiedBy>
  <dcterms:modified xsi:type="dcterms:W3CDTF">2024-10-30T06:43:26Z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0A98CC7B9F294C809139B4AB58020C90</vt:lpwstr>
  </property>
</Properties>
</file>