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南沙区关于开展2024年度“美好生活·民法典相伴”主题宣传主场活动服务项目评分标准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</w:p>
    <w:tbl>
      <w:tblPr>
        <w:tblStyle w:val="8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</w:rPr>
              <w:t>评标项目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 xml:space="preserve">价格评分 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Theme="minorEastAsia" w:cstheme="minorEastAsia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采用低价优先法计算。满足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标文件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zh-CN" w:eastAsia="zh-CN"/>
              </w:rPr>
              <w:t>要求且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投标价格最低的投标报价为评标基准价，其价格分为满分。其他投标人的价格分按照下列公式计算（小数点后保留2位）：投标报价得分=（评标基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zh-CN" w:eastAsia="zh-CN"/>
              </w:rPr>
              <w:t>准价/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投标报价）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ind w:left="240" w:hanging="240" w:hangingChars="1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评分</w:t>
            </w:r>
          </w:p>
          <w:p>
            <w:pPr>
              <w:shd w:val="clear" w:color="auto" w:fill="auto"/>
              <w:spacing w:line="360" w:lineRule="auto"/>
              <w:ind w:left="240" w:hanging="240" w:hangingChars="1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采购项目内容响应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采购项目内容响应情况，全满足招标文件要求得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分，不满足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不得分；</w:t>
            </w:r>
          </w:p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2.设计方案。供应商需根据采购</w:t>
            </w:r>
            <w:r>
              <w:rPr>
                <w:rFonts w:hint="eastAsia" w:ascii="Times New Roman" w:hAnsi="Times New Roman" w:cstheme="minorEastAsia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购买服务项目内容，分门别类列出设计方案，方案应详细具体，详细列明每一项需求所需物料、单价、材质、设备、保障人员等，并配备效果、设计图等。方案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最优得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分，次之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以5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分递减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不提供不得分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3.应急方案。供应商应根据活动内容出具应急方案，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优得10分；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得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分；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中得6分</w:t>
            </w:r>
            <w:r>
              <w:rPr>
                <w:rFonts w:hint="eastAsia" w:ascii="Times New Roman" w:hAnsi="Times New Roman" w:cstheme="minorEastAsi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差得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rtl w:val="0"/>
                <w:lang w:val="en-US" w:eastAsia="zh-CN"/>
              </w:rPr>
              <w:t>业绩评分</w:t>
            </w:r>
          </w:p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rtl w:val="0"/>
                <w:lang w:val="en-US" w:eastAsia="zh-CN"/>
              </w:rPr>
              <w:t>（10分）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2020年至今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的同类业绩情况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每提供一份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类似项目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的业绩证明文件得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（最高得10分）</w:t>
            </w:r>
          </w:p>
          <w:p>
            <w:pPr>
              <w:shd w:val="clear" w:color="auto" w:fill="auto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4"/>
                <w:szCs w:val="24"/>
                <w:rtl w:val="0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注：提供相关证明材料，无提供不得分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6CFB"/>
    <w:rsid w:val="225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2082" w:leftChars="496" w:hanging="1040" w:hangingChars="200"/>
    </w:pPr>
    <w:rPr>
      <w:sz w:val="52"/>
    </w:rPr>
  </w:style>
  <w:style w:type="paragraph" w:styleId="4">
    <w:name w:val="Body Text"/>
    <w:basedOn w:val="1"/>
    <w:next w:val="1"/>
    <w:qFormat/>
    <w:uiPriority w:val="1"/>
    <w:pPr>
      <w:ind w:left="131"/>
    </w:pPr>
    <w:rPr>
      <w:rFonts w:ascii="宋体" w:hAnsi="宋体" w:eastAsia="宋体"/>
      <w:sz w:val="29"/>
      <w:szCs w:val="29"/>
    </w:rPr>
  </w:style>
  <w:style w:type="paragraph" w:styleId="5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sz w:val="22"/>
      <w:szCs w:val="22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2024-04-26T03:50:00Z</dcterms:created>
  <dc:creator>HP</dc:creator>
  <cp:lastModifiedBy>HP</cp:lastModifiedBy>
  <dcterms:modified xsi:type="dcterms:W3CDTF">2024-04-26T03:51:20Z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E6356635F12A45D0998626D67700B03D</vt:lpwstr>
  </property>
</Properties>
</file>