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2025年南沙区“黄金内湾”商业秘密保护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工作项目服务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评分标准</w:t>
      </w:r>
    </w:p>
    <w:tbl>
      <w:tblPr>
        <w:tblStyle w:val="3"/>
        <w:tblpPr w:leftFromText="180" w:rightFromText="180" w:vertAnchor="text" w:horzAnchor="page" w:tblpX="1515" w:tblpY="193"/>
        <w:tblOverlap w:val="never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69"/>
        <w:gridCol w:w="4241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  <w:lang w:eastAsia="zh-CN"/>
              </w:rPr>
              <w:t>评价指标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  <w:lang w:eastAsia="zh-CN"/>
              </w:rPr>
              <w:t>分值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  <w:lang w:eastAsia="zh-CN"/>
              </w:rPr>
              <w:t>考察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内容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  <w:lang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申报单位承担项目能力</w:t>
            </w:r>
          </w:p>
          <w:p>
            <w:pPr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eastAsia="zh-CN"/>
              </w:rPr>
              <w:t>遵守国家法律法规和行业相关规定，组织机构健全、内部管理规范；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eastAsia="zh-CN"/>
              </w:rPr>
              <w:t>具备开展商业秘密保护工作所必须的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  <w:t>硬件设施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优秀：15分；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良好：10分；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一般：5分。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eastAsia="zh-CN"/>
              </w:rPr>
              <w:t>有商业秘密保护专业知识团队或商业秘密保护专业的从业人员。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  <w:t>熟悉相关法律、法规、政策，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eastAsia="zh-CN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  <w:t>地方保护现状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优秀：15分；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良好：10分；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一般：5分。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申报单位有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u w:val="none"/>
              </w:rPr>
              <w:t>丰富的商业秘密保护实践经验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u w:val="none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u w:val="none"/>
              </w:rPr>
              <w:t>1.参与商业秘密案件3件以上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u w:val="none"/>
              </w:rPr>
              <w:t>.承担过区级以上商业秘密保护政府项目；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u w:val="none"/>
              </w:rPr>
              <w:t>.有商业秘密保护专家资源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优秀（符合3项）：20分；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良好（符合2项）：15分；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pacing w:line="320" w:lineRule="exact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一般（符合1项）：10分。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投标报价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投标报价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投标报价得分＝（评标基准价/投标报价）×价格分值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项目工作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计划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highlight w:val="none"/>
                <w:lang w:val="en-US" w:eastAsia="zh-CN" w:bidi="ar-SA"/>
              </w:rPr>
              <w:t>1.拥有良好的关于商业秘密保护（或知识产权保护）方面的社会资源，包括法律鉴定、海外维权等相关的协作单位；2.承担过相关知识产权项目或课题，做法;3.有管理运营商业秘密保护工作站（或知识产权保护工作站）相关经验；4.为30家以上企业提供过商业秘密保护（或知识产权保护）方面服务，具备丰富的公益服务经验；5.组织策划10场以上宣传培训活动，以本单位名义发布知识产权相关推文5篇以上。6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项目工作方案完整性、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合理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性、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可行性。7.项目经费预算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合理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性、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可行性、是否符合财政资金使用政策等。</w:t>
            </w:r>
            <w:bookmarkStart w:id="0" w:name="_GoBack"/>
            <w:bookmarkEnd w:id="0"/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优秀（符合5项以上）：30分；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良好（符合3项-5项）：20分；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一般（符合1-3项）：10分。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总分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13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04C43"/>
    <w:rsid w:val="022C437A"/>
    <w:rsid w:val="0BBA6F6F"/>
    <w:rsid w:val="0D304C43"/>
    <w:rsid w:val="2E8B6CAE"/>
    <w:rsid w:val="30E628C2"/>
    <w:rsid w:val="31794562"/>
    <w:rsid w:val="387078BA"/>
    <w:rsid w:val="3B1F001B"/>
    <w:rsid w:val="41A45A93"/>
    <w:rsid w:val="49D91FD8"/>
    <w:rsid w:val="58F0112A"/>
    <w:rsid w:val="664F0110"/>
    <w:rsid w:val="7986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2023-11-24T02:02:00Z</dcterms:created>
  <dc:creator>段婷</dc:creator>
  <cp:lastModifiedBy>Administrator</cp:lastModifiedBy>
  <cp:lastPrinted>2025-06-11T02:55:37Z</cp:lastPrinted>
  <dcterms:modified xsi:type="dcterms:W3CDTF">2025-06-11T03:50:18Z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72AF23B3D68C4F67B2B81930B2E771C1</vt:lpwstr>
  </property>
</Properties>
</file>