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i w:val="0"/>
          <w:snapToGrid/>
          <w:color w:val="000000"/>
          <w:sz w:val="28"/>
          <w:szCs w:val="28"/>
          <w:lang w:eastAsia="zh-CN"/>
        </w:rPr>
      </w:pPr>
      <w:r>
        <w:rPr>
          <w:rFonts w:hint="eastAsia" w:ascii="黑体" w:hAnsi="黑体" w:eastAsia="黑体" w:cs="黑体"/>
          <w:sz w:val="28"/>
          <w:szCs w:val="28"/>
        </w:rPr>
        <w:t>附件</w:t>
      </w:r>
    </w:p>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eastAsia" w:ascii="方正小标宋简体" w:hAnsi="方正小标宋简体" w:eastAsia="方正小标宋简体" w:cs="方正小标宋简体"/>
          <w:b w:val="0"/>
          <w:i w:val="0"/>
          <w:snapToGrid/>
          <w:color w:val="000000"/>
          <w:sz w:val="44"/>
          <w:szCs w:val="44"/>
          <w:lang w:eastAsia="zh-CN"/>
        </w:rPr>
      </w:pPr>
      <w:bookmarkStart w:id="0" w:name="_GoBack"/>
      <w:r>
        <w:rPr>
          <w:rFonts w:hint="eastAsia" w:ascii="方正小标宋简体" w:hAnsi="方正小标宋简体" w:eastAsia="方正小标宋简体" w:cs="方正小标宋简体"/>
          <w:b w:val="0"/>
          <w:i w:val="0"/>
          <w:snapToGrid/>
          <w:color w:val="000000"/>
          <w:sz w:val="44"/>
          <w:szCs w:val="44"/>
          <w:lang w:eastAsia="zh-CN"/>
        </w:rPr>
        <w:t>评审具体方法和标准</w:t>
      </w:r>
      <w:bookmarkEnd w:id="0"/>
    </w:p>
    <w:p>
      <w:pPr>
        <w:keepNext w:val="0"/>
        <w:keepLines w:val="0"/>
        <w:pageBreakBefore w:val="0"/>
        <w:widowControl w:val="0"/>
        <w:kinsoku/>
        <w:overflowPunct/>
        <w:topLinePunct w:val="0"/>
        <w:autoSpaceDE/>
        <w:autoSpaceDN w:val="0"/>
        <w:bidi w:val="0"/>
        <w:adjustRightInd/>
        <w:snapToGrid/>
        <w:spacing w:line="560" w:lineRule="exact"/>
        <w:ind w:firstLine="0"/>
        <w:jc w:val="both"/>
        <w:textAlignment w:val="auto"/>
        <w:rPr>
          <w:rFonts w:hint="default" w:ascii="Times New Roman" w:hAnsi="Times New Roman" w:eastAsia="仿宋_GB2312" w:cs="Times New Roman"/>
          <w:b w:val="0"/>
          <w:i w:val="0"/>
          <w:snapToGrid/>
          <w:color w:val="000000"/>
          <w:sz w:val="32"/>
          <w:szCs w:val="32"/>
          <w:lang w:eastAsia="zh-CN"/>
        </w:rPr>
      </w:pPr>
      <w:r>
        <w:rPr>
          <w:rFonts w:hint="eastAsia" w:ascii="仿宋_GB2312" w:hAnsi="仿宋_GB2312" w:eastAsia="仿宋_GB2312" w:cs="仿宋_GB2312"/>
          <w:b w:val="0"/>
          <w:i w:val="0"/>
          <w:snapToGrid/>
          <w:color w:val="000000"/>
          <w:sz w:val="32"/>
          <w:szCs w:val="32"/>
          <w:lang w:eastAsia="zh-CN"/>
        </w:rPr>
        <w:t>　　</w:t>
      </w:r>
      <w:r>
        <w:rPr>
          <w:rFonts w:hint="eastAsia" w:ascii="黑体" w:hAnsi="黑体" w:eastAsia="黑体" w:cs="黑体"/>
          <w:b w:val="0"/>
          <w:bCs w:val="0"/>
          <w:i w:val="0"/>
          <w:snapToGrid/>
          <w:color w:val="000000"/>
          <w:sz w:val="32"/>
          <w:szCs w:val="32"/>
          <w:lang w:eastAsia="zh-CN"/>
        </w:rPr>
        <w:t>一、对所有报价人的报价文件评审，都采用相同的程序和标准。</w:t>
      </w:r>
    </w:p>
    <w:p>
      <w:pPr>
        <w:keepNext w:val="0"/>
        <w:keepLines w:val="0"/>
        <w:pageBreakBefore w:val="0"/>
        <w:widowControl w:val="0"/>
        <w:kinsoku/>
        <w:overflowPunct/>
        <w:topLinePunct w:val="0"/>
        <w:autoSpaceDE/>
        <w:autoSpaceDN w:val="0"/>
        <w:bidi w:val="0"/>
        <w:adjustRightInd/>
        <w:snapToGrid/>
        <w:spacing w:line="560" w:lineRule="exact"/>
        <w:ind w:firstLine="0"/>
        <w:jc w:val="both"/>
        <w:textAlignment w:val="auto"/>
        <w:rPr>
          <w:rFonts w:hint="default" w:ascii="Times New Roman" w:hAnsi="Times New Roman" w:eastAsia="仿宋_GB2312" w:cs="Times New Roman"/>
          <w:b w:val="0"/>
          <w:i w:val="0"/>
          <w:snapToGrid/>
          <w:color w:val="000000"/>
          <w:sz w:val="32"/>
          <w:szCs w:val="32"/>
          <w:lang w:eastAsia="zh-CN"/>
        </w:rPr>
      </w:pPr>
      <w:r>
        <w:rPr>
          <w:rFonts w:hint="default" w:ascii="Times New Roman" w:hAnsi="Times New Roman" w:eastAsia="仿宋_GB2312" w:cs="Times New Roman"/>
          <w:b w:val="0"/>
          <w:i w:val="0"/>
          <w:snapToGrid/>
          <w:color w:val="000000"/>
          <w:sz w:val="32"/>
          <w:szCs w:val="32"/>
          <w:lang w:eastAsia="zh-CN"/>
        </w:rPr>
        <w:t>　　首先，由评审小组根据询价文件要求审核各报价文件是否合格、有效，凡不符合专业条件要求和未实质性响应询价文件要求的均不进入评分程序。</w:t>
      </w:r>
    </w:p>
    <w:p>
      <w:pPr>
        <w:keepNext w:val="0"/>
        <w:keepLines w:val="0"/>
        <w:pageBreakBefore w:val="0"/>
        <w:widowControl w:val="0"/>
        <w:kinsoku/>
        <w:overflowPunct/>
        <w:topLinePunct w:val="0"/>
        <w:autoSpaceDE/>
        <w:autoSpaceDN w:val="0"/>
        <w:bidi w:val="0"/>
        <w:adjustRightInd/>
        <w:snapToGrid/>
        <w:spacing w:line="560" w:lineRule="exact"/>
        <w:ind w:firstLine="0"/>
        <w:jc w:val="both"/>
        <w:textAlignment w:val="auto"/>
        <w:rPr>
          <w:rFonts w:hint="default" w:ascii="Times New Roman" w:hAnsi="Times New Roman" w:eastAsia="仿宋_GB2312" w:cs="Times New Roman"/>
          <w:b w:val="0"/>
          <w:i w:val="0"/>
          <w:snapToGrid/>
          <w:color w:val="000000"/>
          <w:sz w:val="32"/>
          <w:szCs w:val="32"/>
          <w:lang w:eastAsia="zh-CN"/>
        </w:rPr>
      </w:pPr>
      <w:r>
        <w:rPr>
          <w:rFonts w:hint="default" w:ascii="Times New Roman" w:hAnsi="Times New Roman" w:eastAsia="仿宋_GB2312" w:cs="Times New Roman"/>
          <w:b w:val="0"/>
          <w:i w:val="0"/>
          <w:snapToGrid/>
          <w:color w:val="000000"/>
          <w:sz w:val="32"/>
          <w:szCs w:val="32"/>
          <w:lang w:eastAsia="zh-CN"/>
        </w:rPr>
        <w:t>　　当对询价文件作出实质性响应的报价人达三家时，评审小组按本评审办法进行评审;当对询价文件作出实质响应的供应商只有两家的，评审小组可以按本评审办法进行评审;当对询价文件作出实质响应的供应商只有一家的，评审小组按照符合采购需求、报价合理的原则推荐为成交供应商。</w:t>
      </w:r>
    </w:p>
    <w:p>
      <w:pPr>
        <w:keepNext w:val="0"/>
        <w:keepLines w:val="0"/>
        <w:pageBreakBefore w:val="0"/>
        <w:widowControl w:val="0"/>
        <w:kinsoku/>
        <w:overflowPunct/>
        <w:topLinePunct w:val="0"/>
        <w:autoSpaceDE/>
        <w:autoSpaceDN w:val="0"/>
        <w:bidi w:val="0"/>
        <w:adjustRightInd/>
        <w:snapToGrid/>
        <w:spacing w:line="560" w:lineRule="exact"/>
        <w:ind w:firstLine="0"/>
        <w:jc w:val="both"/>
        <w:textAlignment w:val="auto"/>
        <w:rPr>
          <w:rFonts w:hint="eastAsia" w:ascii="黑体" w:hAnsi="黑体" w:eastAsia="黑体" w:cs="黑体"/>
          <w:b w:val="0"/>
          <w:i w:val="0"/>
          <w:snapToGrid/>
          <w:color w:val="000000"/>
          <w:sz w:val="32"/>
          <w:szCs w:val="32"/>
          <w:lang w:eastAsia="zh-CN"/>
        </w:rPr>
      </w:pPr>
      <w:r>
        <w:rPr>
          <w:rFonts w:hint="default" w:ascii="Times New Roman" w:hAnsi="Times New Roman" w:eastAsia="仿宋_GB2312" w:cs="Times New Roman"/>
          <w:b w:val="0"/>
          <w:i w:val="0"/>
          <w:snapToGrid/>
          <w:color w:val="000000"/>
          <w:sz w:val="32"/>
          <w:szCs w:val="32"/>
          <w:lang w:eastAsia="zh-CN"/>
        </w:rPr>
        <w:t>　　</w:t>
      </w:r>
      <w:r>
        <w:rPr>
          <w:rFonts w:hint="eastAsia" w:ascii="黑体" w:hAnsi="黑体" w:eastAsia="黑体" w:cs="黑体"/>
          <w:b w:val="0"/>
          <w:i w:val="0"/>
          <w:snapToGrid/>
          <w:color w:val="000000"/>
          <w:sz w:val="32"/>
          <w:szCs w:val="32"/>
          <w:lang w:eastAsia="zh-CN"/>
        </w:rPr>
        <w:t>二、评审小组对通过以上审核的有效报价人进行评审和推荐。</w:t>
      </w:r>
    </w:p>
    <w:p>
      <w:pPr>
        <w:keepNext w:val="0"/>
        <w:keepLines w:val="0"/>
        <w:pageBreakBefore w:val="0"/>
        <w:widowControl w:val="0"/>
        <w:kinsoku/>
        <w:overflowPunct/>
        <w:topLinePunct w:val="0"/>
        <w:autoSpaceDE/>
        <w:autoSpaceDN w:val="0"/>
        <w:bidi w:val="0"/>
        <w:adjustRightInd/>
        <w:snapToGrid/>
        <w:spacing w:line="560" w:lineRule="exact"/>
        <w:ind w:firstLine="0"/>
        <w:jc w:val="both"/>
        <w:textAlignment w:val="auto"/>
        <w:rPr>
          <w:rFonts w:hint="default" w:ascii="Times New Roman" w:hAnsi="Times New Roman" w:eastAsia="仿宋_GB2312" w:cs="Times New Roman"/>
          <w:b w:val="0"/>
          <w:i w:val="0"/>
          <w:snapToGrid/>
          <w:color w:val="000000"/>
          <w:sz w:val="32"/>
          <w:szCs w:val="32"/>
          <w:lang w:eastAsia="zh-CN"/>
        </w:rPr>
      </w:pPr>
      <w:r>
        <w:rPr>
          <w:rFonts w:hint="default" w:ascii="Times New Roman" w:hAnsi="Times New Roman" w:eastAsia="仿宋_GB2312" w:cs="Times New Roman"/>
          <w:b w:val="0"/>
          <w:i w:val="0"/>
          <w:snapToGrid/>
          <w:color w:val="000000"/>
          <w:sz w:val="32"/>
          <w:szCs w:val="32"/>
          <w:lang w:eastAsia="zh-CN"/>
        </w:rPr>
        <w:t>　　1</w:t>
      </w:r>
      <w:r>
        <w:rPr>
          <w:rFonts w:hint="eastAsia" w:eastAsia="仿宋_GB2312" w:cs="Times New Roman"/>
          <w:b w:val="0"/>
          <w:i w:val="0"/>
          <w:snapToGrid/>
          <w:color w:val="000000"/>
          <w:sz w:val="32"/>
          <w:szCs w:val="32"/>
          <w:lang w:val="en-US" w:eastAsia="zh-CN"/>
        </w:rPr>
        <w:t>.</w:t>
      </w:r>
      <w:r>
        <w:rPr>
          <w:rFonts w:hint="default" w:ascii="Times New Roman" w:hAnsi="Times New Roman" w:eastAsia="仿宋_GB2312" w:cs="Times New Roman"/>
          <w:b w:val="0"/>
          <w:i w:val="0"/>
          <w:snapToGrid/>
          <w:color w:val="000000"/>
          <w:sz w:val="32"/>
          <w:szCs w:val="32"/>
          <w:lang w:eastAsia="zh-CN"/>
        </w:rPr>
        <w:t>首先根据下列能力因素评分。若评审小组人数为3人，在评分结果统计时，以算术平均计算各有效报价人的最终得分;若评审小组人数大于3人，在评分结果统计时，将去掉一个最高分与一个最低分后再行算术平均计算各有效报价人的最终得分。</w:t>
      </w:r>
    </w:p>
    <w:p>
      <w:pPr>
        <w:keepNext w:val="0"/>
        <w:keepLines w:val="0"/>
        <w:pageBreakBefore w:val="0"/>
        <w:widowControl w:val="0"/>
        <w:kinsoku/>
        <w:overflowPunct/>
        <w:topLinePunct w:val="0"/>
        <w:autoSpaceDE/>
        <w:autoSpaceDN w:val="0"/>
        <w:bidi w:val="0"/>
        <w:adjustRightInd/>
        <w:snapToGrid/>
        <w:spacing w:line="560" w:lineRule="exact"/>
        <w:ind w:firstLine="0"/>
        <w:jc w:val="both"/>
        <w:textAlignment w:val="auto"/>
        <w:rPr>
          <w:rFonts w:hint="default" w:ascii="Times New Roman" w:hAnsi="Times New Roman" w:eastAsia="仿宋_GB2312" w:cs="Times New Roman"/>
          <w:b w:val="0"/>
          <w:i w:val="0"/>
          <w:snapToGrid/>
          <w:color w:val="000000"/>
          <w:sz w:val="32"/>
          <w:szCs w:val="32"/>
          <w:lang w:eastAsia="zh-CN"/>
        </w:rPr>
      </w:pPr>
      <w:r>
        <w:rPr>
          <w:rFonts w:hint="default" w:ascii="Times New Roman" w:hAnsi="Times New Roman" w:eastAsia="仿宋_GB2312" w:cs="Times New Roman"/>
          <w:b w:val="0"/>
          <w:i w:val="0"/>
          <w:snapToGrid/>
          <w:color w:val="000000"/>
          <w:sz w:val="32"/>
          <w:szCs w:val="32"/>
          <w:lang w:eastAsia="zh-CN"/>
        </w:rPr>
        <w:t>　　2</w:t>
      </w:r>
      <w:r>
        <w:rPr>
          <w:rFonts w:hint="eastAsia" w:eastAsia="仿宋_GB2312" w:cs="Times New Roman"/>
          <w:b w:val="0"/>
          <w:i w:val="0"/>
          <w:snapToGrid/>
          <w:color w:val="000000"/>
          <w:sz w:val="32"/>
          <w:szCs w:val="32"/>
          <w:lang w:val="en-US" w:eastAsia="zh-CN"/>
        </w:rPr>
        <w:t>.</w:t>
      </w:r>
      <w:r>
        <w:rPr>
          <w:rFonts w:hint="default" w:ascii="Times New Roman" w:hAnsi="Times New Roman" w:eastAsia="仿宋_GB2312" w:cs="Times New Roman"/>
          <w:b w:val="0"/>
          <w:i w:val="0"/>
          <w:snapToGrid/>
          <w:color w:val="000000"/>
          <w:sz w:val="32"/>
          <w:szCs w:val="32"/>
          <w:lang w:eastAsia="zh-CN"/>
        </w:rPr>
        <w:t>有效平均得分均达到70分以上（不含</w:t>
      </w:r>
      <w:r>
        <w:rPr>
          <w:rFonts w:hint="default" w:ascii="Times New Roman" w:hAnsi="Times New Roman" w:eastAsia="仿宋_GB2312" w:cs="Times New Roman"/>
          <w:b w:val="0"/>
          <w:i w:val="0"/>
          <w:snapToGrid/>
          <w:color w:val="000000"/>
          <w:sz w:val="32"/>
          <w:szCs w:val="32"/>
          <w:lang w:val="en-US" w:eastAsia="zh-CN"/>
        </w:rPr>
        <w:t>70</w:t>
      </w:r>
      <w:r>
        <w:rPr>
          <w:rFonts w:hint="default" w:ascii="Times New Roman" w:hAnsi="Times New Roman" w:eastAsia="仿宋_GB2312" w:cs="Times New Roman"/>
          <w:b w:val="0"/>
          <w:i w:val="0"/>
          <w:snapToGrid/>
          <w:color w:val="000000"/>
          <w:sz w:val="32"/>
          <w:szCs w:val="32"/>
          <w:lang w:eastAsia="zh-CN"/>
        </w:rPr>
        <w:t>）的报价人，可认定其符合采购需求且质量和服务相等，视为实质性响应询价文件，并按报价由低到高进行排序（价格相同的，按得分由高到低，根据以上顺序排列推荐成交供应商的成交候选顺序），即得分均达到70分以上且价格最低的将被推荐为第一成交候选人，价格次低的被推荐为第二成交候选人，以此类推。</w:t>
      </w:r>
    </w:p>
    <w:p>
      <w:pPr>
        <w:keepNext w:val="0"/>
        <w:keepLines w:val="0"/>
        <w:pageBreakBefore w:val="0"/>
        <w:widowControl w:val="0"/>
        <w:kinsoku/>
        <w:overflowPunct/>
        <w:topLinePunct w:val="0"/>
        <w:autoSpaceDE/>
        <w:autoSpaceDN w:val="0"/>
        <w:bidi w:val="0"/>
        <w:adjustRightInd/>
        <w:snapToGrid/>
        <w:spacing w:line="560" w:lineRule="exact"/>
        <w:ind w:firstLine="640"/>
        <w:jc w:val="both"/>
        <w:textAlignment w:val="auto"/>
        <w:rPr>
          <w:rFonts w:hint="default" w:ascii="黑体" w:hAnsi="黑体" w:eastAsia="黑体" w:cs="黑体"/>
          <w:b w:val="0"/>
          <w:bCs w:val="0"/>
          <w:i w:val="0"/>
          <w:snapToGrid/>
          <w:color w:val="000000"/>
          <w:sz w:val="32"/>
          <w:szCs w:val="32"/>
          <w:lang w:eastAsia="zh-CN"/>
        </w:rPr>
      </w:pPr>
      <w:r>
        <w:rPr>
          <w:rFonts w:hint="default" w:ascii="黑体" w:hAnsi="黑体" w:eastAsia="黑体" w:cs="黑体"/>
          <w:b w:val="0"/>
          <w:bCs w:val="0"/>
          <w:i w:val="0"/>
          <w:snapToGrid/>
          <w:color w:val="000000"/>
          <w:sz w:val="32"/>
          <w:szCs w:val="32"/>
          <w:lang w:eastAsia="zh-CN"/>
        </w:rPr>
        <w:t>三、能力因素评分(满分100分)</w:t>
      </w:r>
    </w:p>
    <w:p>
      <w:pPr>
        <w:pStyle w:val="2"/>
        <w:ind w:firstLine="640"/>
        <w:rPr>
          <w:rFonts w:hint="default"/>
          <w:lang w:eastAsia="zh-CN"/>
        </w:rPr>
      </w:pP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3025"/>
        <w:gridCol w:w="361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eastAsia" w:ascii="仿宋_GB2312" w:hAnsi="仿宋_GB2312" w:eastAsia="仿宋_GB2312" w:cs="仿宋_GB2312"/>
                <w:b/>
                <w:i w:val="0"/>
                <w:snapToGrid/>
                <w:color w:val="000000"/>
                <w:sz w:val="32"/>
                <w:szCs w:val="32"/>
                <w:lang w:eastAsia="zh-CN"/>
              </w:rPr>
            </w:pPr>
            <w:r>
              <w:rPr>
                <w:rFonts w:hint="eastAsia" w:ascii="仿宋_GB2312" w:hAnsi="仿宋_GB2312" w:eastAsia="仿宋_GB2312" w:cs="仿宋_GB2312"/>
                <w:b/>
                <w:i w:val="0"/>
                <w:snapToGrid/>
                <w:color w:val="000000"/>
                <w:sz w:val="32"/>
                <w:szCs w:val="32"/>
                <w:lang w:eastAsia="zh-CN"/>
              </w:rPr>
              <w:t>分值</w:t>
            </w:r>
          </w:p>
        </w:tc>
        <w:tc>
          <w:tcPr>
            <w:tcW w:w="1690"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eastAsia" w:ascii="仿宋_GB2312" w:hAnsi="仿宋_GB2312" w:eastAsia="仿宋_GB2312" w:cs="仿宋_GB2312"/>
                <w:b/>
                <w:i w:val="0"/>
                <w:snapToGrid/>
                <w:color w:val="000000"/>
                <w:sz w:val="32"/>
                <w:szCs w:val="32"/>
                <w:lang w:eastAsia="zh-CN"/>
              </w:rPr>
            </w:pPr>
            <w:r>
              <w:rPr>
                <w:rFonts w:hint="eastAsia" w:ascii="仿宋_GB2312" w:hAnsi="仿宋_GB2312" w:eastAsia="仿宋_GB2312" w:cs="仿宋_GB2312"/>
                <w:b/>
                <w:i w:val="0"/>
                <w:snapToGrid/>
                <w:color w:val="000000"/>
                <w:sz w:val="32"/>
                <w:szCs w:val="32"/>
                <w:lang w:eastAsia="zh-CN"/>
              </w:rPr>
              <w:t>评审内容</w:t>
            </w:r>
          </w:p>
        </w:tc>
        <w:tc>
          <w:tcPr>
            <w:tcW w:w="2019"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eastAsia" w:ascii="仿宋_GB2312" w:hAnsi="仿宋_GB2312" w:eastAsia="仿宋_GB2312" w:cs="仿宋_GB2312"/>
                <w:b/>
                <w:i w:val="0"/>
                <w:snapToGrid/>
                <w:color w:val="000000"/>
                <w:sz w:val="32"/>
                <w:szCs w:val="32"/>
                <w:lang w:eastAsia="zh-CN"/>
              </w:rPr>
            </w:pPr>
            <w:r>
              <w:rPr>
                <w:rFonts w:hint="eastAsia" w:ascii="仿宋_GB2312" w:hAnsi="仿宋_GB2312" w:eastAsia="仿宋_GB2312" w:cs="仿宋_GB2312"/>
                <w:b/>
                <w:i w:val="0"/>
                <w:snapToGrid/>
                <w:color w:val="000000"/>
                <w:sz w:val="32"/>
                <w:szCs w:val="32"/>
                <w:lang w:eastAsia="zh-CN"/>
              </w:rPr>
              <w:t>评分标准</w:t>
            </w:r>
          </w:p>
        </w:tc>
        <w:tc>
          <w:tcPr>
            <w:tcW w:w="683"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eastAsia" w:ascii="仿宋_GB2312" w:hAnsi="仿宋_GB2312" w:eastAsia="仿宋_GB2312" w:cs="仿宋_GB2312"/>
                <w:b/>
                <w:i w:val="0"/>
                <w:snapToGrid/>
                <w:color w:val="000000"/>
                <w:sz w:val="32"/>
                <w:szCs w:val="32"/>
                <w:lang w:eastAsia="zh-CN"/>
              </w:rPr>
            </w:pPr>
            <w:r>
              <w:rPr>
                <w:rFonts w:hint="eastAsia" w:ascii="仿宋_GB2312" w:hAnsi="仿宋_GB2312" w:eastAsia="仿宋_GB2312" w:cs="仿宋_GB2312"/>
                <w:b/>
                <w:i w:val="0"/>
                <w:snapToGrid/>
                <w:color w:val="000000"/>
                <w:sz w:val="32"/>
                <w:szCs w:val="32"/>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05"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default" w:ascii="宋体" w:hAnsi="宋体"/>
                <w:b w:val="0"/>
                <w:snapToGrid/>
                <w:color w:val="000000"/>
                <w:sz w:val="21"/>
                <w:lang w:val="en-US" w:eastAsia="zh-CN"/>
              </w:rPr>
            </w:pPr>
            <w:r>
              <w:rPr>
                <w:rFonts w:hint="eastAsia" w:ascii="宋体" w:hAnsi="宋体"/>
                <w:b w:val="0"/>
                <w:snapToGrid/>
                <w:color w:val="000000"/>
                <w:sz w:val="21"/>
                <w:lang w:val="en-US" w:eastAsia="zh-CN"/>
              </w:rPr>
              <w:t>30</w:t>
            </w:r>
          </w:p>
        </w:tc>
        <w:tc>
          <w:tcPr>
            <w:tcW w:w="1690" w:type="pct"/>
            <w:noWrap w:val="0"/>
            <w:vAlign w:val="center"/>
          </w:tcPr>
          <w:p>
            <w:pPr>
              <w:jc w:val="center"/>
              <w:rPr>
                <w:rFonts w:hint="eastAsia"/>
              </w:rPr>
            </w:pPr>
          </w:p>
          <w:p>
            <w:pPr>
              <w:jc w:val="center"/>
              <w:rPr>
                <w:rFonts w:hint="eastAsia"/>
                <w:lang w:eastAsia="zh-CN"/>
              </w:rPr>
            </w:pPr>
            <w:r>
              <w:rPr>
                <w:rFonts w:hint="eastAsia"/>
              </w:rPr>
              <w:t>项目</w:t>
            </w:r>
            <w:r>
              <w:rPr>
                <w:rFonts w:hint="eastAsia"/>
                <w:lang w:eastAsia="zh-CN"/>
              </w:rPr>
              <w:t>能力</w:t>
            </w:r>
          </w:p>
          <w:p>
            <w:pPr>
              <w:bidi w:val="0"/>
              <w:jc w:val="center"/>
              <w:rPr>
                <w:rFonts w:hint="eastAsia"/>
                <w:lang w:val="en-US" w:eastAsia="zh-CN"/>
              </w:rPr>
            </w:pPr>
          </w:p>
        </w:tc>
        <w:tc>
          <w:tcPr>
            <w:tcW w:w="2019" w:type="pct"/>
            <w:noWrap w:val="0"/>
            <w:vAlign w:val="center"/>
          </w:tcPr>
          <w:p>
            <w:pPr>
              <w:jc w:val="center"/>
              <w:rPr>
                <w:rFonts w:hint="eastAsia"/>
                <w:lang w:eastAsia="zh-CN"/>
              </w:rPr>
            </w:pPr>
            <w:r>
              <w:rPr>
                <w:rFonts w:hint="eastAsia"/>
                <w:lang w:eastAsia="zh-CN"/>
              </w:rPr>
              <w:t>具备全部项目检测、检定能力的，得</w:t>
            </w:r>
            <w:r>
              <w:rPr>
                <w:rFonts w:hint="eastAsia"/>
                <w:lang w:val="en-US" w:eastAsia="zh-CN"/>
              </w:rPr>
              <w:t>30分；</w:t>
            </w:r>
            <w:r>
              <w:rPr>
                <w:rFonts w:hint="eastAsia"/>
                <w:lang w:eastAsia="zh-CN"/>
              </w:rPr>
              <w:t>缺少检验、检定能力的，得</w:t>
            </w:r>
            <w:r>
              <w:rPr>
                <w:rFonts w:hint="eastAsia"/>
                <w:lang w:val="en-US" w:eastAsia="zh-CN"/>
              </w:rPr>
              <w:t>0分</w:t>
            </w:r>
            <w:r>
              <w:rPr>
                <w:rFonts w:hint="eastAsia"/>
                <w:lang w:eastAsia="zh-CN"/>
              </w:rPr>
              <w:t>。（需提供法定计量检定机构授权证书及附件等相关资质证明文件）</w:t>
            </w:r>
          </w:p>
        </w:tc>
        <w:tc>
          <w:tcPr>
            <w:tcW w:w="683"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jc w:val="both"/>
              <w:textAlignment w:val="auto"/>
              <w:rPr>
                <w:rFonts w:hint="eastAsia" w:ascii="仿宋_GB2312" w:hAnsi="仿宋_GB2312" w:eastAsia="仿宋_GB2312" w:cs="仿宋_GB2312"/>
                <w:b w:val="0"/>
                <w:i w:val="0"/>
                <w:snapToGrid/>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5" w:hRule="atLeast"/>
        </w:trPr>
        <w:tc>
          <w:tcPr>
            <w:tcW w:w="605"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default" w:ascii="宋体" w:hAnsi="宋体" w:eastAsia="宋体"/>
                <w:b w:val="0"/>
                <w:snapToGrid/>
                <w:color w:val="000000"/>
                <w:sz w:val="21"/>
                <w:lang w:val="en-US" w:eastAsia="zh-CN"/>
              </w:rPr>
            </w:pPr>
            <w:r>
              <w:rPr>
                <w:rFonts w:hint="eastAsia" w:ascii="宋体" w:hAnsi="宋体"/>
                <w:b w:val="0"/>
                <w:snapToGrid/>
                <w:color w:val="000000"/>
                <w:sz w:val="21"/>
                <w:lang w:val="en-US" w:eastAsia="zh-CN"/>
              </w:rPr>
              <w:t>20</w:t>
            </w:r>
          </w:p>
        </w:tc>
        <w:tc>
          <w:tcPr>
            <w:tcW w:w="1690"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default" w:ascii="宋体" w:hAnsi="宋体" w:eastAsia="宋体"/>
                <w:b w:val="0"/>
                <w:snapToGrid/>
                <w:color w:val="000000"/>
                <w:sz w:val="21"/>
                <w:lang w:eastAsia="zh-CN"/>
              </w:rPr>
            </w:pPr>
            <w:r>
              <w:rPr>
                <w:rFonts w:hint="default" w:ascii="宋体" w:hAnsi="宋体" w:eastAsia="宋体"/>
                <w:b w:val="0"/>
                <w:snapToGrid/>
                <w:color w:val="000000"/>
                <w:sz w:val="21"/>
                <w:lang w:eastAsia="zh-CN"/>
              </w:rPr>
              <w:t>对项目背景、</w:t>
            </w:r>
            <w:r>
              <w:rPr>
                <w:rFonts w:hint="eastAsia" w:ascii="宋体" w:hAnsi="宋体"/>
                <w:b w:val="0"/>
                <w:snapToGrid/>
                <w:color w:val="000000"/>
                <w:sz w:val="21"/>
                <w:lang w:eastAsia="zh-CN"/>
              </w:rPr>
              <w:t>要求</w:t>
            </w:r>
            <w:r>
              <w:rPr>
                <w:rFonts w:hint="default" w:ascii="宋体" w:hAnsi="宋体" w:eastAsia="宋体"/>
                <w:b w:val="0"/>
                <w:snapToGrid/>
                <w:color w:val="000000"/>
                <w:sz w:val="21"/>
                <w:lang w:eastAsia="zh-CN"/>
              </w:rPr>
              <w:t>和目标整体理解程度，方案设计的合理性与先进性。</w:t>
            </w:r>
          </w:p>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eastAsia" w:ascii="宋体" w:hAnsi="宋体" w:eastAsia="宋体"/>
                <w:b w:val="0"/>
                <w:snapToGrid/>
                <w:color w:val="000000"/>
                <w:sz w:val="21"/>
                <w:lang w:eastAsia="zh-CN"/>
              </w:rPr>
            </w:pPr>
          </w:p>
        </w:tc>
        <w:tc>
          <w:tcPr>
            <w:tcW w:w="2019"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jc w:val="center"/>
              <w:textAlignment w:val="auto"/>
              <w:rPr>
                <w:rFonts w:hint="default" w:ascii="宋体" w:hAnsi="宋体" w:eastAsia="宋体"/>
                <w:b w:val="0"/>
                <w:snapToGrid/>
                <w:color w:val="000000"/>
                <w:sz w:val="21"/>
                <w:lang w:eastAsia="zh-CN"/>
              </w:rPr>
            </w:pPr>
            <w:r>
              <w:rPr>
                <w:rFonts w:hint="default" w:ascii="宋体" w:hAnsi="宋体" w:eastAsia="宋体"/>
                <w:b w:val="0"/>
                <w:snapToGrid/>
                <w:color w:val="000000"/>
                <w:sz w:val="21"/>
                <w:lang w:eastAsia="zh-CN"/>
              </w:rPr>
              <w:t>1</w:t>
            </w:r>
            <w:r>
              <w:rPr>
                <w:rFonts w:hint="eastAsia" w:ascii="宋体" w:hAnsi="宋体" w:eastAsia="宋体"/>
                <w:b w:val="0"/>
                <w:snapToGrid/>
                <w:color w:val="000000"/>
                <w:sz w:val="21"/>
                <w:lang w:val="en-US" w:eastAsia="zh-CN"/>
              </w:rPr>
              <w:t>.</w:t>
            </w:r>
            <w:r>
              <w:rPr>
                <w:rFonts w:hint="default" w:ascii="宋体" w:hAnsi="宋体" w:eastAsia="宋体"/>
                <w:b w:val="0"/>
                <w:snapToGrid/>
                <w:color w:val="000000"/>
                <w:sz w:val="21"/>
                <w:lang w:eastAsia="zh-CN"/>
              </w:rPr>
              <w:t>技术方案优：</w:t>
            </w:r>
            <w:r>
              <w:rPr>
                <w:rFonts w:hint="default" w:ascii="宋体" w:hAnsi="宋体" w:eastAsia="宋体"/>
                <w:b w:val="0"/>
                <w:snapToGrid/>
                <w:color w:val="auto"/>
                <w:sz w:val="21"/>
                <w:lang w:eastAsia="zh-CN"/>
              </w:rPr>
              <w:t>提供的技术方案对项目需求理解准确，并能够合理有效的用于实施，完全满足或高于招标文件要求，评估技术满足或优于招标要求，工期进度安排合理，得</w:t>
            </w:r>
            <w:r>
              <w:rPr>
                <w:rFonts w:hint="eastAsia" w:ascii="宋体" w:hAnsi="宋体" w:eastAsia="宋体"/>
                <w:b w:val="0"/>
                <w:snapToGrid/>
                <w:color w:val="auto"/>
                <w:sz w:val="21"/>
                <w:lang w:val="en-US" w:eastAsia="zh-CN"/>
              </w:rPr>
              <w:t>15-20</w:t>
            </w:r>
            <w:r>
              <w:rPr>
                <w:rFonts w:hint="default" w:ascii="宋体" w:hAnsi="宋体" w:eastAsia="宋体"/>
                <w:b w:val="0"/>
                <w:snapToGrid/>
                <w:color w:val="auto"/>
                <w:sz w:val="21"/>
                <w:lang w:eastAsia="zh-CN"/>
              </w:rPr>
              <w:t>分。</w:t>
            </w:r>
          </w:p>
          <w:p>
            <w:pPr>
              <w:keepNext w:val="0"/>
              <w:keepLines w:val="0"/>
              <w:pageBreakBefore w:val="0"/>
              <w:widowControl w:val="0"/>
              <w:kinsoku/>
              <w:overflowPunct/>
              <w:topLinePunct w:val="0"/>
              <w:autoSpaceDE/>
              <w:autoSpaceDN w:val="0"/>
              <w:bidi w:val="0"/>
              <w:adjustRightInd/>
              <w:snapToGrid/>
              <w:spacing w:line="560" w:lineRule="exact"/>
              <w:ind w:firstLine="0"/>
              <w:jc w:val="center"/>
              <w:textAlignment w:val="auto"/>
              <w:rPr>
                <w:rFonts w:hint="default" w:ascii="宋体" w:hAnsi="宋体" w:eastAsia="宋体"/>
                <w:b w:val="0"/>
                <w:snapToGrid/>
                <w:color w:val="000000"/>
                <w:sz w:val="21"/>
                <w:lang w:eastAsia="zh-CN"/>
              </w:rPr>
            </w:pPr>
            <w:r>
              <w:rPr>
                <w:rFonts w:hint="eastAsia" w:ascii="宋体" w:hAnsi="宋体" w:eastAsia="宋体"/>
                <w:b w:val="0"/>
                <w:snapToGrid/>
                <w:color w:val="000000"/>
                <w:sz w:val="21"/>
                <w:lang w:val="en-US" w:eastAsia="zh-CN"/>
              </w:rPr>
              <w:t>2.</w:t>
            </w:r>
            <w:r>
              <w:rPr>
                <w:rFonts w:hint="default" w:ascii="宋体" w:hAnsi="宋体" w:eastAsia="宋体"/>
                <w:b w:val="0"/>
                <w:snapToGrid/>
                <w:color w:val="000000"/>
                <w:sz w:val="21"/>
                <w:lang w:eastAsia="zh-CN"/>
              </w:rPr>
              <w:t>技术方案良：提供的技术方案中规中矩，基本满足招标文件要求，得</w:t>
            </w:r>
            <w:r>
              <w:rPr>
                <w:rFonts w:hint="eastAsia" w:ascii="宋体" w:hAnsi="宋体"/>
                <w:b w:val="0"/>
                <w:snapToGrid/>
                <w:color w:val="000000"/>
                <w:sz w:val="21"/>
                <w:lang w:val="en-US" w:eastAsia="zh-CN"/>
              </w:rPr>
              <w:t>10-15</w:t>
            </w:r>
            <w:r>
              <w:rPr>
                <w:rFonts w:hint="default" w:ascii="宋体" w:hAnsi="宋体" w:eastAsia="宋体"/>
                <w:b w:val="0"/>
                <w:snapToGrid/>
                <w:color w:val="000000"/>
                <w:sz w:val="21"/>
                <w:lang w:eastAsia="zh-CN"/>
              </w:rPr>
              <w:t>分。</w:t>
            </w:r>
          </w:p>
          <w:p>
            <w:pPr>
              <w:keepNext w:val="0"/>
              <w:keepLines w:val="0"/>
              <w:pageBreakBefore w:val="0"/>
              <w:widowControl w:val="0"/>
              <w:kinsoku/>
              <w:overflowPunct/>
              <w:topLinePunct w:val="0"/>
              <w:autoSpaceDE/>
              <w:autoSpaceDN w:val="0"/>
              <w:bidi w:val="0"/>
              <w:adjustRightInd/>
              <w:snapToGrid/>
              <w:spacing w:line="560" w:lineRule="exact"/>
              <w:jc w:val="center"/>
              <w:textAlignment w:val="auto"/>
              <w:rPr>
                <w:rFonts w:hint="eastAsia" w:ascii="仿宋_GB2312" w:hAnsi="仿宋_GB2312" w:eastAsia="仿宋_GB2312" w:cs="仿宋_GB2312"/>
                <w:b w:val="0"/>
                <w:i w:val="0"/>
                <w:snapToGrid/>
                <w:color w:val="000000"/>
                <w:sz w:val="32"/>
                <w:szCs w:val="32"/>
                <w:vertAlign w:val="baseline"/>
                <w:lang w:eastAsia="zh-CN"/>
              </w:rPr>
            </w:pPr>
            <w:r>
              <w:rPr>
                <w:rFonts w:hint="eastAsia" w:ascii="宋体" w:hAnsi="宋体" w:eastAsia="宋体"/>
                <w:b w:val="0"/>
                <w:snapToGrid/>
                <w:color w:val="000000"/>
                <w:sz w:val="21"/>
                <w:lang w:val="en-US" w:eastAsia="zh-CN"/>
              </w:rPr>
              <w:t>3.</w:t>
            </w:r>
            <w:r>
              <w:rPr>
                <w:rFonts w:hint="default" w:ascii="宋体" w:hAnsi="宋体" w:eastAsia="宋体"/>
                <w:b w:val="0"/>
                <w:snapToGrid/>
                <w:color w:val="000000"/>
                <w:sz w:val="21"/>
                <w:lang w:eastAsia="zh-CN"/>
              </w:rPr>
              <w:t>技术方案差：提供技术方案对项目需求理解含糊，存在有不满足招标文件的要求；或者提供的技术方案空泛没有针对性，得0-10分。</w:t>
            </w:r>
          </w:p>
        </w:tc>
        <w:tc>
          <w:tcPr>
            <w:tcW w:w="683"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jc w:val="both"/>
              <w:textAlignment w:val="auto"/>
              <w:rPr>
                <w:rFonts w:hint="eastAsia" w:ascii="仿宋_GB2312" w:hAnsi="仿宋_GB2312" w:eastAsia="仿宋_GB2312" w:cs="仿宋_GB2312"/>
                <w:b w:val="0"/>
                <w:i w:val="0"/>
                <w:snapToGrid/>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default" w:ascii="宋体" w:hAnsi="宋体"/>
                <w:b w:val="0"/>
                <w:snapToGrid/>
                <w:color w:val="000000"/>
                <w:sz w:val="21"/>
                <w:lang w:val="en-US" w:eastAsia="zh-CN"/>
              </w:rPr>
            </w:pPr>
            <w:r>
              <w:rPr>
                <w:rFonts w:hint="eastAsia" w:ascii="宋体" w:hAnsi="宋体"/>
                <w:b w:val="0"/>
                <w:snapToGrid/>
                <w:color w:val="000000"/>
                <w:sz w:val="21"/>
                <w:lang w:val="en-US" w:eastAsia="zh-CN"/>
              </w:rPr>
              <w:t>20</w:t>
            </w:r>
          </w:p>
        </w:tc>
        <w:tc>
          <w:tcPr>
            <w:tcW w:w="1690"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eastAsia" w:ascii="宋体" w:hAnsi="宋体" w:eastAsia="宋体"/>
                <w:b w:val="0"/>
                <w:snapToGrid/>
                <w:color w:val="000000"/>
                <w:sz w:val="21"/>
                <w:lang w:val="en-US" w:eastAsia="zh-CN"/>
              </w:rPr>
            </w:pPr>
            <w:r>
              <w:rPr>
                <w:rFonts w:hint="eastAsia" w:ascii="宋体" w:hAnsi="宋体"/>
                <w:b w:val="0"/>
                <w:snapToGrid/>
                <w:color w:val="000000"/>
                <w:sz w:val="21"/>
                <w:lang w:val="en-US" w:eastAsia="zh-CN"/>
              </w:rPr>
              <w:t>同类项目经验</w:t>
            </w:r>
          </w:p>
        </w:tc>
        <w:tc>
          <w:tcPr>
            <w:tcW w:w="2019"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jc w:val="center"/>
              <w:textAlignment w:val="auto"/>
              <w:rPr>
                <w:rFonts w:hint="default" w:ascii="宋体" w:hAnsi="宋体" w:eastAsia="宋体"/>
                <w:b w:val="0"/>
                <w:i w:val="0"/>
                <w:snapToGrid/>
                <w:color w:val="000000"/>
                <w:sz w:val="21"/>
                <w:lang w:eastAsia="zh-CN"/>
              </w:rPr>
            </w:pPr>
            <w:r>
              <w:rPr>
                <w:rFonts w:hint="default" w:ascii="宋体" w:hAnsi="宋体" w:eastAsia="宋体"/>
                <w:b w:val="0"/>
                <w:i w:val="0"/>
                <w:snapToGrid/>
                <w:color w:val="000000"/>
                <w:sz w:val="21"/>
                <w:lang w:eastAsia="zh-CN"/>
              </w:rPr>
              <w:t>投标人曾经参与过相同或者类似</w:t>
            </w:r>
            <w:r>
              <w:rPr>
                <w:rFonts w:hint="eastAsia" w:ascii="宋体" w:hAnsi="宋体"/>
                <w:b w:val="0"/>
                <w:i w:val="0"/>
                <w:snapToGrid/>
                <w:color w:val="000000"/>
                <w:sz w:val="21"/>
                <w:lang w:eastAsia="zh-CN"/>
              </w:rPr>
              <w:t>计量抽查</w:t>
            </w:r>
            <w:r>
              <w:rPr>
                <w:rFonts w:hint="default" w:ascii="宋体" w:hAnsi="宋体" w:eastAsia="宋体"/>
                <w:b w:val="0"/>
                <w:i w:val="0"/>
                <w:snapToGrid/>
                <w:color w:val="000000"/>
                <w:sz w:val="21"/>
                <w:lang w:eastAsia="zh-CN"/>
              </w:rPr>
              <w:t>工作</w:t>
            </w:r>
            <w:r>
              <w:rPr>
                <w:rFonts w:hint="eastAsia" w:ascii="宋体" w:hAnsi="宋体"/>
                <w:b w:val="0"/>
                <w:i w:val="0"/>
                <w:snapToGrid/>
                <w:color w:val="000000"/>
                <w:sz w:val="21"/>
                <w:lang w:eastAsia="zh-CN"/>
              </w:rPr>
              <w:t>项目</w:t>
            </w:r>
            <w:r>
              <w:rPr>
                <w:rFonts w:hint="default" w:ascii="宋体" w:hAnsi="宋体" w:eastAsia="宋体"/>
                <w:b w:val="0"/>
                <w:i w:val="0"/>
                <w:snapToGrid/>
                <w:color w:val="000000"/>
                <w:sz w:val="21"/>
                <w:lang w:eastAsia="zh-CN"/>
              </w:rPr>
              <w:t>，</w:t>
            </w:r>
            <w:r>
              <w:rPr>
                <w:rFonts w:hint="eastAsia" w:ascii="宋体" w:hAnsi="宋体"/>
                <w:b w:val="0"/>
                <w:i w:val="0"/>
                <w:snapToGrid/>
                <w:color w:val="000000"/>
                <w:sz w:val="21"/>
                <w:lang w:eastAsia="zh-CN"/>
              </w:rPr>
              <w:t>提</w:t>
            </w:r>
            <w:r>
              <w:rPr>
                <w:rFonts w:hint="eastAsia"/>
                <w:lang w:eastAsia="zh-CN"/>
              </w:rPr>
              <w:t>供1类抽查项目证明得</w:t>
            </w:r>
            <w:r>
              <w:rPr>
                <w:rFonts w:hint="eastAsia"/>
                <w:lang w:val="en-US" w:eastAsia="zh-CN"/>
              </w:rPr>
              <w:t>7</w:t>
            </w:r>
            <w:r>
              <w:rPr>
                <w:rFonts w:hint="eastAsia"/>
                <w:lang w:eastAsia="zh-CN"/>
              </w:rPr>
              <w:t>分，最高得</w:t>
            </w:r>
            <w:r>
              <w:rPr>
                <w:rFonts w:hint="eastAsia"/>
                <w:lang w:val="en-US" w:eastAsia="zh-CN"/>
              </w:rPr>
              <w:t>20</w:t>
            </w:r>
            <w:r>
              <w:rPr>
                <w:rFonts w:hint="eastAsia"/>
                <w:lang w:eastAsia="zh-CN"/>
              </w:rPr>
              <w:t>分。（须提供组织或参与的</w:t>
            </w:r>
            <w:r>
              <w:rPr>
                <w:rFonts w:hint="eastAsia"/>
                <w:color w:val="auto"/>
                <w:lang w:eastAsia="zh-CN"/>
              </w:rPr>
              <w:t>通知或者合同，</w:t>
            </w:r>
            <w:r>
              <w:rPr>
                <w:rFonts w:hint="eastAsia"/>
                <w:lang w:eastAsia="zh-CN"/>
              </w:rPr>
              <w:t>否则不得分）。</w:t>
            </w:r>
          </w:p>
        </w:tc>
        <w:tc>
          <w:tcPr>
            <w:tcW w:w="683"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jc w:val="both"/>
              <w:textAlignment w:val="auto"/>
              <w:rPr>
                <w:rFonts w:hint="eastAsia" w:ascii="仿宋_GB2312" w:hAnsi="仿宋_GB2312" w:eastAsia="仿宋_GB2312" w:cs="仿宋_GB2312"/>
                <w:b w:val="0"/>
                <w:i w:val="0"/>
                <w:snapToGrid/>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605"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default" w:ascii="宋体" w:hAnsi="宋体" w:eastAsia="宋体"/>
                <w:b w:val="0"/>
                <w:snapToGrid/>
                <w:color w:val="000000"/>
                <w:kern w:val="2"/>
                <w:sz w:val="21"/>
                <w:lang w:val="en-US" w:eastAsia="zh-CN"/>
              </w:rPr>
            </w:pPr>
            <w:r>
              <w:rPr>
                <w:rFonts w:hint="eastAsia" w:ascii="宋体" w:hAnsi="宋体"/>
                <w:b w:val="0"/>
                <w:snapToGrid/>
                <w:color w:val="000000"/>
                <w:sz w:val="21"/>
                <w:lang w:val="en-US" w:eastAsia="zh-CN"/>
              </w:rPr>
              <w:t>15</w:t>
            </w:r>
          </w:p>
        </w:tc>
        <w:tc>
          <w:tcPr>
            <w:tcW w:w="1690"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default" w:ascii="宋体" w:hAnsi="宋体" w:eastAsia="宋体"/>
                <w:b w:val="0"/>
                <w:snapToGrid/>
                <w:color w:val="000000"/>
                <w:sz w:val="21"/>
                <w:lang w:eastAsia="zh-CN"/>
              </w:rPr>
            </w:pPr>
            <w:r>
              <w:rPr>
                <w:rFonts w:hint="eastAsia"/>
                <w:lang w:eastAsia="zh-CN"/>
              </w:rPr>
              <w:t>有</w:t>
            </w:r>
            <w:r>
              <w:rPr>
                <w:rFonts w:hint="default" w:ascii="宋体" w:hAnsi="宋体" w:eastAsia="宋体"/>
                <w:b w:val="0"/>
                <w:snapToGrid/>
                <w:color w:val="000000"/>
                <w:sz w:val="21"/>
                <w:lang w:eastAsia="zh-CN"/>
              </w:rPr>
              <w:t>稳定的技术服务人员</w:t>
            </w:r>
            <w:r>
              <w:rPr>
                <w:rFonts w:hint="eastAsia" w:ascii="宋体" w:hAnsi="宋体" w:eastAsia="宋体"/>
                <w:b w:val="0"/>
                <w:snapToGrid/>
                <w:color w:val="000000"/>
                <w:sz w:val="21"/>
                <w:lang w:eastAsia="zh-CN"/>
              </w:rPr>
              <w:t>，能</w:t>
            </w:r>
            <w:r>
              <w:rPr>
                <w:rFonts w:hint="default" w:ascii="宋体" w:hAnsi="宋体" w:eastAsia="宋体"/>
                <w:b w:val="0"/>
                <w:snapToGrid/>
                <w:color w:val="000000"/>
                <w:sz w:val="21"/>
                <w:lang w:eastAsia="zh-CN"/>
              </w:rPr>
              <w:t>提供稳定便捷</w:t>
            </w:r>
            <w:r>
              <w:rPr>
                <w:rFonts w:hint="eastAsia" w:ascii="宋体" w:hAnsi="宋体"/>
                <w:b w:val="0"/>
                <w:snapToGrid/>
                <w:color w:val="000000"/>
                <w:sz w:val="21"/>
                <w:lang w:eastAsia="zh-CN"/>
              </w:rPr>
              <w:t>的</w:t>
            </w:r>
            <w:r>
              <w:rPr>
                <w:rFonts w:hint="default" w:ascii="宋体" w:hAnsi="宋体" w:eastAsia="宋体"/>
                <w:b w:val="0"/>
                <w:snapToGrid/>
                <w:color w:val="000000"/>
                <w:sz w:val="21"/>
                <w:lang w:eastAsia="zh-CN"/>
              </w:rPr>
              <w:t>服务</w:t>
            </w:r>
          </w:p>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eastAsia" w:eastAsia="宋体"/>
                <w:kern w:val="2"/>
                <w:sz w:val="21"/>
                <w:lang w:val="en-US" w:eastAsia="zh-CN"/>
              </w:rPr>
            </w:pPr>
          </w:p>
        </w:tc>
        <w:tc>
          <w:tcPr>
            <w:tcW w:w="2019"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default" w:ascii="宋体" w:hAnsi="宋体" w:eastAsia="宋体"/>
                <w:b w:val="0"/>
                <w:snapToGrid/>
                <w:color w:val="000000"/>
                <w:sz w:val="21"/>
                <w:lang w:eastAsia="zh-CN"/>
              </w:rPr>
            </w:pPr>
            <w:r>
              <w:rPr>
                <w:rFonts w:hint="default" w:ascii="宋体" w:hAnsi="宋体" w:eastAsia="宋体"/>
                <w:b w:val="0"/>
                <w:snapToGrid/>
                <w:color w:val="000000"/>
                <w:sz w:val="21"/>
                <w:lang w:eastAsia="zh-CN"/>
              </w:rPr>
              <w:t>投标人具有掌握系列</w:t>
            </w:r>
            <w:r>
              <w:rPr>
                <w:rFonts w:hint="eastAsia" w:ascii="宋体" w:hAnsi="宋体" w:eastAsia="宋体"/>
                <w:b w:val="0"/>
                <w:snapToGrid/>
                <w:color w:val="000000"/>
                <w:sz w:val="21"/>
                <w:lang w:eastAsia="zh-CN"/>
              </w:rPr>
              <w:t>计量</w:t>
            </w:r>
            <w:r>
              <w:rPr>
                <w:rFonts w:hint="default" w:ascii="宋体" w:hAnsi="宋体" w:eastAsia="宋体"/>
                <w:b w:val="0"/>
                <w:snapToGrid/>
                <w:color w:val="000000"/>
                <w:sz w:val="21"/>
                <w:lang w:eastAsia="zh-CN"/>
              </w:rPr>
              <w:t>知识和相关专业知识的</w:t>
            </w:r>
            <w:r>
              <w:rPr>
                <w:rFonts w:hint="eastAsia" w:ascii="宋体" w:hAnsi="宋体" w:eastAsia="宋体"/>
                <w:b w:val="0"/>
                <w:snapToGrid/>
                <w:color w:val="000000"/>
                <w:sz w:val="21"/>
                <w:lang w:eastAsia="zh-CN"/>
              </w:rPr>
              <w:t>计量</w:t>
            </w:r>
            <w:r>
              <w:rPr>
                <w:rFonts w:hint="default" w:ascii="宋体" w:hAnsi="宋体" w:eastAsia="宋体"/>
                <w:b w:val="0"/>
                <w:snapToGrid/>
                <w:color w:val="000000"/>
                <w:sz w:val="21"/>
                <w:lang w:eastAsia="zh-CN"/>
              </w:rPr>
              <w:t>工作团队，</w:t>
            </w:r>
            <w:r>
              <w:rPr>
                <w:rFonts w:hint="eastAsia" w:ascii="宋体" w:hAnsi="宋体" w:eastAsia="宋体"/>
                <w:b w:val="0"/>
                <w:snapToGrid/>
                <w:color w:val="000000"/>
                <w:sz w:val="21"/>
                <w:lang w:eastAsia="zh-CN"/>
              </w:rPr>
              <w:t>能</w:t>
            </w:r>
            <w:r>
              <w:rPr>
                <w:rFonts w:hint="default" w:ascii="宋体" w:hAnsi="宋体" w:eastAsia="宋体"/>
                <w:b w:val="0"/>
                <w:snapToGrid/>
                <w:color w:val="000000"/>
                <w:sz w:val="21"/>
                <w:lang w:eastAsia="zh-CN"/>
              </w:rPr>
              <w:t>胜任项目工作</w:t>
            </w:r>
            <w:r>
              <w:rPr>
                <w:rFonts w:hint="eastAsia" w:ascii="宋体" w:hAnsi="宋体" w:eastAsia="宋体"/>
                <w:b w:val="0"/>
                <w:snapToGrid/>
                <w:color w:val="000000"/>
                <w:sz w:val="21"/>
                <w:lang w:eastAsia="zh-CN"/>
              </w:rPr>
              <w:t>，</w:t>
            </w:r>
            <w:r>
              <w:rPr>
                <w:rFonts w:hint="eastAsia"/>
                <w:lang w:eastAsia="zh-CN"/>
              </w:rPr>
              <w:t>可随时前往南沙开展相关工作，</w:t>
            </w:r>
            <w:r>
              <w:rPr>
                <w:rFonts w:hint="eastAsia" w:ascii="宋体" w:hAnsi="宋体" w:eastAsia="宋体"/>
                <w:b w:val="0"/>
                <w:snapToGrid/>
                <w:color w:val="000000"/>
                <w:sz w:val="21"/>
                <w:lang w:eastAsia="zh-CN"/>
              </w:rPr>
              <w:t>得</w:t>
            </w:r>
            <w:r>
              <w:rPr>
                <w:rFonts w:hint="eastAsia" w:ascii="宋体" w:hAnsi="宋体" w:eastAsia="宋体"/>
                <w:b w:val="0"/>
                <w:snapToGrid/>
                <w:color w:val="000000"/>
                <w:sz w:val="21"/>
                <w:lang w:val="en-US" w:eastAsia="zh-CN"/>
              </w:rPr>
              <w:t>0-15分</w:t>
            </w:r>
            <w:r>
              <w:rPr>
                <w:rFonts w:hint="eastAsia" w:ascii="宋体" w:hAnsi="宋体" w:eastAsia="宋体"/>
                <w:b w:val="0"/>
                <w:snapToGrid/>
                <w:color w:val="000000"/>
                <w:sz w:val="21"/>
                <w:lang w:eastAsia="zh-CN"/>
              </w:rPr>
              <w:t>。（</w:t>
            </w:r>
            <w:r>
              <w:rPr>
                <w:rFonts w:hint="default" w:ascii="宋体" w:hAnsi="宋体" w:eastAsia="宋体"/>
                <w:b w:val="0"/>
                <w:snapToGrid/>
                <w:color w:val="000000"/>
                <w:sz w:val="21"/>
                <w:lang w:eastAsia="zh-CN"/>
              </w:rPr>
              <w:t>须提供</w:t>
            </w:r>
            <w:r>
              <w:rPr>
                <w:rFonts w:hint="eastAsia" w:ascii="宋体" w:hAnsi="宋体" w:eastAsia="宋体"/>
                <w:b w:val="0"/>
                <w:snapToGrid/>
                <w:color w:val="000000"/>
                <w:sz w:val="21"/>
                <w:lang w:eastAsia="zh-CN"/>
              </w:rPr>
              <w:t>项目团队</w:t>
            </w:r>
            <w:r>
              <w:rPr>
                <w:rFonts w:hint="default" w:ascii="宋体" w:hAnsi="宋体" w:eastAsia="宋体"/>
                <w:b w:val="0"/>
                <w:snapToGrid/>
                <w:color w:val="000000"/>
                <w:sz w:val="21"/>
                <w:lang w:eastAsia="zh-CN"/>
              </w:rPr>
              <w:t>相关职称证明文件及提供以上人员在本</w:t>
            </w:r>
            <w:r>
              <w:rPr>
                <w:rFonts w:hint="eastAsia" w:ascii="宋体" w:hAnsi="宋体" w:eastAsia="宋体"/>
                <w:b w:val="0"/>
                <w:snapToGrid/>
                <w:color w:val="000000"/>
                <w:sz w:val="21"/>
                <w:lang w:eastAsia="zh-CN"/>
              </w:rPr>
              <w:t>机构</w:t>
            </w:r>
            <w:r>
              <w:rPr>
                <w:rFonts w:hint="default" w:ascii="宋体" w:hAnsi="宋体" w:eastAsia="宋体"/>
                <w:b w:val="0"/>
                <w:snapToGrid/>
                <w:color w:val="000000"/>
                <w:sz w:val="21"/>
                <w:lang w:eastAsia="zh-CN"/>
              </w:rPr>
              <w:t>任职的证明材料</w:t>
            </w:r>
            <w:r>
              <w:rPr>
                <w:rFonts w:hint="eastAsia" w:ascii="宋体" w:hAnsi="宋体" w:eastAsia="宋体"/>
                <w:b w:val="0"/>
                <w:snapToGrid/>
                <w:color w:val="000000"/>
                <w:sz w:val="21"/>
                <w:lang w:eastAsia="zh-CN"/>
              </w:rPr>
              <w:t>。）</w:t>
            </w:r>
          </w:p>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default" w:eastAsia="宋体"/>
                <w:kern w:val="2"/>
                <w:sz w:val="21"/>
                <w:lang w:val="en-US" w:eastAsia="zh-CN"/>
              </w:rPr>
            </w:pPr>
          </w:p>
        </w:tc>
        <w:tc>
          <w:tcPr>
            <w:tcW w:w="683"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jc w:val="both"/>
              <w:textAlignment w:val="auto"/>
              <w:rPr>
                <w:rFonts w:hint="eastAsia" w:ascii="仿宋_GB2312" w:hAnsi="仿宋_GB2312" w:eastAsia="仿宋_GB2312" w:cs="仿宋_GB2312"/>
                <w:b w:val="0"/>
                <w:i w:val="0"/>
                <w:snapToGrid/>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05"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default" w:ascii="宋体" w:hAnsi="宋体"/>
                <w:b w:val="0"/>
                <w:snapToGrid/>
                <w:color w:val="000000"/>
                <w:sz w:val="21"/>
                <w:lang w:val="en-US" w:eastAsia="zh-CN"/>
              </w:rPr>
            </w:pPr>
            <w:r>
              <w:rPr>
                <w:rFonts w:hint="eastAsia" w:ascii="宋体" w:hAnsi="宋体"/>
                <w:b w:val="0"/>
                <w:snapToGrid/>
                <w:color w:val="000000"/>
                <w:sz w:val="21"/>
                <w:lang w:val="en-US" w:eastAsia="zh-CN"/>
              </w:rPr>
              <w:t>15</w:t>
            </w:r>
          </w:p>
        </w:tc>
        <w:tc>
          <w:tcPr>
            <w:tcW w:w="1690"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ind w:firstLine="0" w:firstLineChars="0"/>
              <w:jc w:val="center"/>
              <w:textAlignment w:val="auto"/>
              <w:rPr>
                <w:rFonts w:hint="eastAsia" w:ascii="宋体" w:hAnsi="宋体" w:eastAsia="宋体"/>
                <w:b w:val="0"/>
                <w:snapToGrid/>
                <w:color w:val="000000"/>
                <w:sz w:val="21"/>
                <w:lang w:val="en-US" w:eastAsia="zh-CN"/>
              </w:rPr>
            </w:pPr>
            <w:r>
              <w:rPr>
                <w:rFonts w:hint="eastAsia" w:ascii="宋体" w:hAnsi="宋体" w:eastAsia="宋体"/>
                <w:b w:val="0"/>
                <w:snapToGrid/>
                <w:color w:val="000000"/>
                <w:sz w:val="21"/>
                <w:lang w:val="en-US" w:eastAsia="zh-CN"/>
              </w:rPr>
              <w:t>报价合理性和真实性</w:t>
            </w:r>
          </w:p>
        </w:tc>
        <w:tc>
          <w:tcPr>
            <w:tcW w:w="2019" w:type="pct"/>
            <w:noWrap w:val="0"/>
            <w:vAlign w:val="center"/>
          </w:tcPr>
          <w:p>
            <w:pPr>
              <w:keepNext w:val="0"/>
              <w:keepLines w:val="0"/>
              <w:pageBreakBefore w:val="0"/>
              <w:widowControl w:val="0"/>
              <w:kinsoku/>
              <w:overflowPunct/>
              <w:topLinePunct w:val="0"/>
              <w:autoSpaceDE/>
              <w:autoSpaceDN w:val="0"/>
              <w:bidi w:val="0"/>
              <w:adjustRightInd/>
              <w:snapToGrid/>
              <w:spacing w:line="560" w:lineRule="exact"/>
              <w:jc w:val="center"/>
              <w:textAlignment w:val="auto"/>
              <w:rPr>
                <w:rFonts w:hint="default" w:ascii="宋体" w:hAnsi="宋体" w:eastAsia="宋体"/>
                <w:b w:val="0"/>
                <w:i w:val="0"/>
                <w:snapToGrid/>
                <w:color w:val="000000"/>
                <w:sz w:val="21"/>
                <w:lang w:eastAsia="zh-CN"/>
              </w:rPr>
            </w:pPr>
            <w:r>
              <w:rPr>
                <w:rFonts w:hint="default" w:ascii="宋体" w:hAnsi="宋体" w:eastAsia="宋体"/>
                <w:b w:val="0"/>
                <w:i w:val="0"/>
                <w:snapToGrid/>
                <w:color w:val="000000"/>
                <w:sz w:val="21"/>
                <w:lang w:eastAsia="zh-CN"/>
              </w:rPr>
              <w:t>投标人报价合理真实</w:t>
            </w:r>
            <w:r>
              <w:rPr>
                <w:rFonts w:hint="eastAsia" w:ascii="宋体" w:hAnsi="宋体"/>
                <w:b w:val="0"/>
                <w:i w:val="0"/>
                <w:snapToGrid/>
                <w:color w:val="000000"/>
                <w:sz w:val="21"/>
                <w:lang w:eastAsia="zh-CN"/>
              </w:rPr>
              <w:t>，</w:t>
            </w:r>
            <w:r>
              <w:rPr>
                <w:rFonts w:hint="default" w:ascii="宋体" w:hAnsi="宋体" w:eastAsia="宋体"/>
                <w:b w:val="0"/>
                <w:i w:val="0"/>
                <w:snapToGrid/>
                <w:color w:val="000000"/>
                <w:sz w:val="21"/>
                <w:lang w:eastAsia="zh-CN"/>
              </w:rPr>
              <w:t>得</w:t>
            </w:r>
            <w:r>
              <w:rPr>
                <w:rFonts w:hint="eastAsia" w:ascii="宋体" w:hAnsi="宋体"/>
                <w:b w:val="0"/>
                <w:i w:val="0"/>
                <w:snapToGrid/>
                <w:color w:val="000000"/>
                <w:sz w:val="21"/>
                <w:lang w:val="en-US" w:eastAsia="zh-CN"/>
              </w:rPr>
              <w:t>0-</w:t>
            </w:r>
            <w:r>
              <w:rPr>
                <w:rFonts w:hint="default" w:ascii="宋体" w:hAnsi="宋体" w:eastAsia="宋体"/>
                <w:b w:val="0"/>
                <w:i w:val="0"/>
                <w:snapToGrid/>
                <w:color w:val="000000"/>
                <w:sz w:val="21"/>
                <w:lang w:eastAsia="zh-CN"/>
              </w:rPr>
              <w:t>1</w:t>
            </w:r>
            <w:r>
              <w:rPr>
                <w:rFonts w:hint="eastAsia" w:ascii="宋体" w:hAnsi="宋体"/>
                <w:b w:val="0"/>
                <w:i w:val="0"/>
                <w:snapToGrid/>
                <w:color w:val="000000"/>
                <w:sz w:val="21"/>
                <w:lang w:val="en-US" w:eastAsia="zh-CN"/>
              </w:rPr>
              <w:t>5</w:t>
            </w:r>
            <w:r>
              <w:rPr>
                <w:rFonts w:hint="default" w:ascii="宋体" w:hAnsi="宋体" w:eastAsia="宋体"/>
                <w:b w:val="0"/>
                <w:i w:val="0"/>
                <w:snapToGrid/>
                <w:color w:val="000000"/>
                <w:sz w:val="21"/>
                <w:lang w:eastAsia="zh-CN"/>
              </w:rPr>
              <w:t>分；</w:t>
            </w:r>
          </w:p>
        </w:tc>
        <w:tc>
          <w:tcPr>
            <w:tcW w:w="683" w:type="pct"/>
            <w:noWrap w:val="0"/>
            <w:vAlign w:val="top"/>
          </w:tcPr>
          <w:p>
            <w:pPr>
              <w:keepNext w:val="0"/>
              <w:keepLines w:val="0"/>
              <w:pageBreakBefore w:val="0"/>
              <w:widowControl w:val="0"/>
              <w:kinsoku/>
              <w:overflowPunct/>
              <w:topLinePunct w:val="0"/>
              <w:autoSpaceDE/>
              <w:autoSpaceDN w:val="0"/>
              <w:bidi w:val="0"/>
              <w:adjustRightInd/>
              <w:snapToGrid/>
              <w:spacing w:line="560" w:lineRule="exact"/>
              <w:jc w:val="both"/>
              <w:textAlignment w:val="auto"/>
              <w:rPr>
                <w:rFonts w:hint="eastAsia" w:ascii="仿宋_GB2312" w:hAnsi="仿宋_GB2312" w:eastAsia="仿宋_GB2312" w:cs="仿宋_GB2312"/>
                <w:b w:val="0"/>
                <w:i w:val="0"/>
                <w:snapToGrid/>
                <w:color w:val="000000"/>
                <w:sz w:val="32"/>
                <w:szCs w:val="32"/>
                <w:vertAlign w:val="baseline"/>
                <w:lang w:eastAsia="zh-CN"/>
              </w:rPr>
            </w:pPr>
          </w:p>
        </w:tc>
      </w:tr>
    </w:tbl>
    <w:p>
      <w:pPr>
        <w:keepNext w:val="0"/>
        <w:keepLines w:val="0"/>
        <w:pageBreakBefore w:val="0"/>
        <w:widowControl w:val="0"/>
        <w:kinsoku/>
        <w:overflowPunct/>
        <w:topLinePunct w:val="0"/>
        <w:autoSpaceDE/>
        <w:autoSpaceDN w:val="0"/>
        <w:bidi w:val="0"/>
        <w:adjustRightInd/>
        <w:snapToGrid/>
        <w:spacing w:line="560" w:lineRule="exact"/>
        <w:ind w:firstLine="0"/>
        <w:jc w:val="both"/>
        <w:textAlignment w:val="auto"/>
        <w:rPr>
          <w:rFonts w:hint="eastAsia" w:ascii="仿宋_GB2312" w:hAnsi="仿宋_GB2312" w:eastAsia="仿宋_GB2312" w:cs="仿宋_GB2312"/>
          <w:b w:val="0"/>
          <w:i w:val="0"/>
          <w:snapToGrid/>
          <w:color w:val="000000"/>
          <w:sz w:val="32"/>
          <w:szCs w:val="32"/>
          <w:lang w:eastAsia="zh-CN"/>
        </w:rPr>
      </w:pPr>
      <w:r>
        <w:rPr>
          <w:rFonts w:hint="eastAsia" w:ascii="仿宋_GB2312" w:hAnsi="仿宋_GB2312" w:eastAsia="仿宋_GB2312" w:cs="仿宋_GB2312"/>
          <w:b w:val="0"/>
          <w:i w:val="0"/>
          <w:snapToGrid/>
          <w:color w:val="000000"/>
          <w:sz w:val="32"/>
          <w:szCs w:val="32"/>
          <w:lang w:eastAsia="zh-CN"/>
        </w:rPr>
        <w:t>　　注：本次项目不兼投不兼中，询价文件中载明的能力要求，属于得(扣)分条款的，可以要求报价人提供证明材料并标注对应关系，未按要求提供证明材料的，应当认定该项能力因素不得分。</w:t>
      </w:r>
    </w:p>
    <w:p/>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OTM5N2M2ODFjZDg5YzYyYWQzYjI1NmI0Yjg5ZGQifQ=="/>
  </w:docVars>
  <w:rsids>
    <w:rsidRoot w:val="00000000"/>
    <w:rsid w:val="146D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2024-07-19T08:39:30Z</dcterms:created>
  <dc:creator>Administrator</dc:creator>
  <cp:lastModifiedBy>1874</cp:lastModifiedBy>
  <dcterms:modified xsi:type="dcterms:W3CDTF">2024-07-19T08:39:41Z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2227F28860074B2DBF7BFAF6EF1D0119_12</vt:lpwstr>
  </property>
</Properties>
</file>