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BCD48">
      <w:pPr>
        <w:pStyle w:val="2"/>
        <w:bidi w:val="0"/>
        <w:outlineLvl w:val="9"/>
        <w:rPr>
          <w:rFonts w:hint="default" w:ascii="Times New Roman" w:hAnsi="Times New Roman" w:eastAsia="仿宋" w:cs="Times New Roman"/>
          <w:color w:val="auto"/>
          <w:highlight w:val="none"/>
        </w:rPr>
      </w:pPr>
    </w:p>
    <w:p w14:paraId="357C32B3">
      <w:pPr>
        <w:pStyle w:val="2"/>
        <w:bidi w:val="0"/>
        <w:outlineLvl w:val="9"/>
        <w:rPr>
          <w:rFonts w:hint="default" w:ascii="Times New Roman" w:hAnsi="Times New Roman" w:eastAsia="仿宋" w:cs="Times New Roman"/>
          <w:color w:val="auto"/>
          <w:highlight w:val="none"/>
        </w:rPr>
      </w:pPr>
    </w:p>
    <w:p w14:paraId="7E079A81">
      <w:pPr>
        <w:keepNext w:val="0"/>
        <w:keepLines w:val="0"/>
        <w:pageBreakBefore w:val="0"/>
        <w:widowControl w:val="0"/>
        <w:numPr>
          <w:ilvl w:val="2"/>
          <w:numId w:val="0"/>
        </w:numPr>
        <w:kinsoku/>
        <w:wordWrap/>
        <w:overflowPunct/>
        <w:topLinePunct w:val="0"/>
        <w:autoSpaceDE/>
        <w:autoSpaceDN/>
        <w:bidi w:val="0"/>
        <w:adjustRightInd/>
        <w:snapToGrid w:val="0"/>
        <w:spacing w:before="40" w:line="420" w:lineRule="exact"/>
        <w:jc w:val="center"/>
        <w:textAlignment w:val="bottom"/>
        <w:rPr>
          <w:rFonts w:hint="default" w:ascii="Times New Roman" w:hAnsi="Times New Roman" w:eastAsia="仿宋" w:cs="Times New Roman"/>
          <w:color w:val="auto"/>
          <w:sz w:val="28"/>
          <w:szCs w:val="28"/>
          <w:highlight w:val="none"/>
          <w:lang w:val="en-US" w:eastAsia="zh-CN"/>
        </w:rPr>
      </w:pPr>
    </w:p>
    <w:p w14:paraId="6F452C28">
      <w:pPr>
        <w:bidi w:val="0"/>
        <w:jc w:val="center"/>
        <w:rPr>
          <w:rFonts w:hint="eastAsia" w:ascii="方正小标宋简体" w:hAnsi="方正小标宋简体" w:eastAsia="方正小标宋简体" w:cs="方正小标宋简体"/>
          <w:sz w:val="44"/>
          <w:szCs w:val="44"/>
          <w:highlight w:val="none"/>
        </w:rPr>
      </w:pPr>
      <w:bookmarkStart w:id="0" w:name="_Toc13703"/>
      <w:r>
        <w:rPr>
          <w:rFonts w:hint="eastAsia" w:ascii="方正小标宋简体" w:hAnsi="方正小标宋简体" w:eastAsia="方正小标宋简体" w:cs="方正小标宋简体"/>
          <w:sz w:val="44"/>
          <w:szCs w:val="44"/>
          <w:highlight w:val="none"/>
        </w:rPr>
        <w:t>大岗镇新沙村筷子基硬底化</w:t>
      </w:r>
    </w:p>
    <w:p w14:paraId="51F51E06">
      <w:pPr>
        <w:bidi w:val="0"/>
        <w:jc w:val="center"/>
        <w:rPr>
          <w:rFonts w:hint="eastAsia" w:ascii="方正小标宋简体" w:hAnsi="方正小标宋简体" w:eastAsia="方正小标宋简体" w:cs="方正小标宋简体"/>
          <w:b w:val="0"/>
          <w:bCs w:val="0"/>
          <w:color w:val="auto"/>
          <w:w w:val="100"/>
          <w:kern w:val="0"/>
          <w:sz w:val="44"/>
          <w:szCs w:val="44"/>
          <w:highlight w:val="none"/>
          <w:lang w:val="en-US" w:eastAsia="zh-CN"/>
        </w:rPr>
      </w:pPr>
      <w:r>
        <w:rPr>
          <w:rFonts w:hint="eastAsia" w:ascii="方正小标宋简体" w:hAnsi="方正小标宋简体" w:eastAsia="方正小标宋简体" w:cs="方正小标宋简体"/>
          <w:sz w:val="44"/>
          <w:szCs w:val="44"/>
          <w:highlight w:val="none"/>
        </w:rPr>
        <w:t>项目</w:t>
      </w:r>
      <w:r>
        <w:rPr>
          <w:rFonts w:hint="eastAsia" w:ascii="方正小标宋简体" w:hAnsi="方正小标宋简体" w:eastAsia="方正小标宋简体" w:cs="方正小标宋简体"/>
          <w:b w:val="0"/>
          <w:bCs w:val="0"/>
          <w:color w:val="auto"/>
          <w:kern w:val="0"/>
          <w:sz w:val="44"/>
          <w:szCs w:val="44"/>
          <w:highlight w:val="none"/>
          <w:lang w:val="en-US" w:eastAsia="zh-CN"/>
        </w:rPr>
        <w:t>实施方案</w:t>
      </w:r>
      <w:bookmarkEnd w:id="0"/>
    </w:p>
    <w:p w14:paraId="6737A783">
      <w:pPr>
        <w:keepNext w:val="0"/>
        <w:keepLines w:val="0"/>
        <w:pageBreakBefore w:val="0"/>
        <w:widowControl w:val="0"/>
        <w:kinsoku/>
        <w:wordWrap/>
        <w:overflowPunct/>
        <w:topLinePunct w:val="0"/>
        <w:autoSpaceDE/>
        <w:autoSpaceDN/>
        <w:bidi w:val="0"/>
        <w:adjustRightInd/>
        <w:snapToGrid w:val="0"/>
        <w:spacing w:line="420" w:lineRule="exact"/>
        <w:textAlignment w:val="bottom"/>
        <w:rPr>
          <w:rFonts w:hint="default" w:ascii="Times New Roman" w:hAnsi="Times New Roman" w:eastAsia="仿宋" w:cs="Times New Roman"/>
          <w:color w:val="auto"/>
          <w:sz w:val="28"/>
          <w:szCs w:val="28"/>
          <w:highlight w:val="none"/>
        </w:rPr>
      </w:pPr>
    </w:p>
    <w:p w14:paraId="0B56A207">
      <w:pPr>
        <w:keepNext w:val="0"/>
        <w:keepLines w:val="0"/>
        <w:pageBreakBefore w:val="0"/>
        <w:widowControl w:val="0"/>
        <w:kinsoku/>
        <w:wordWrap/>
        <w:overflowPunct/>
        <w:topLinePunct w:val="0"/>
        <w:autoSpaceDE/>
        <w:autoSpaceDN/>
        <w:bidi w:val="0"/>
        <w:adjustRightInd/>
        <w:snapToGrid w:val="0"/>
        <w:spacing w:line="420" w:lineRule="exact"/>
        <w:ind w:firstLine="536"/>
        <w:textAlignment w:val="bottom"/>
        <w:rPr>
          <w:rFonts w:hint="default" w:ascii="Times New Roman" w:hAnsi="Times New Roman" w:eastAsia="仿宋" w:cs="Times New Roman"/>
          <w:color w:val="auto"/>
          <w:sz w:val="28"/>
          <w:szCs w:val="28"/>
          <w:highlight w:val="none"/>
        </w:rPr>
      </w:pPr>
    </w:p>
    <w:p w14:paraId="225DE1C1">
      <w:pPr>
        <w:keepNext w:val="0"/>
        <w:keepLines w:val="0"/>
        <w:pageBreakBefore w:val="0"/>
        <w:widowControl w:val="0"/>
        <w:kinsoku/>
        <w:wordWrap/>
        <w:overflowPunct/>
        <w:topLinePunct w:val="0"/>
        <w:autoSpaceDE/>
        <w:autoSpaceDN/>
        <w:bidi w:val="0"/>
        <w:adjustRightInd/>
        <w:snapToGrid w:val="0"/>
        <w:spacing w:line="420" w:lineRule="exact"/>
        <w:ind w:firstLine="536"/>
        <w:textAlignment w:val="bottom"/>
        <w:rPr>
          <w:rFonts w:hint="default" w:ascii="Times New Roman" w:hAnsi="Times New Roman" w:eastAsia="仿宋" w:cs="Times New Roman"/>
          <w:color w:val="auto"/>
          <w:sz w:val="28"/>
          <w:szCs w:val="28"/>
          <w:highlight w:val="none"/>
        </w:rPr>
      </w:pPr>
    </w:p>
    <w:p w14:paraId="1AFD746E">
      <w:pPr>
        <w:keepNext w:val="0"/>
        <w:keepLines w:val="0"/>
        <w:pageBreakBefore w:val="0"/>
        <w:widowControl w:val="0"/>
        <w:kinsoku/>
        <w:wordWrap/>
        <w:overflowPunct/>
        <w:topLinePunct w:val="0"/>
        <w:autoSpaceDE/>
        <w:autoSpaceDN/>
        <w:bidi w:val="0"/>
        <w:adjustRightInd/>
        <w:snapToGrid w:val="0"/>
        <w:spacing w:line="420" w:lineRule="exact"/>
        <w:ind w:firstLine="536"/>
        <w:textAlignment w:val="bottom"/>
        <w:rPr>
          <w:rFonts w:hint="default" w:ascii="Times New Roman" w:hAnsi="Times New Roman" w:eastAsia="仿宋" w:cs="Times New Roman"/>
          <w:color w:val="auto"/>
          <w:sz w:val="28"/>
          <w:szCs w:val="28"/>
          <w:highlight w:val="none"/>
        </w:rPr>
      </w:pPr>
    </w:p>
    <w:p w14:paraId="0F48E277">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ascii="仿宋_GB2312" w:hAnsi="仿宋_GB2312" w:eastAsia="仿宋_GB2312" w:cs="仿宋_GB2312"/>
          <w:b/>
          <w:snapToGrid/>
          <w:color w:val="auto"/>
          <w:kern w:val="2"/>
          <w:sz w:val="32"/>
          <w:szCs w:val="32"/>
          <w:lang w:val="en-US" w:eastAsia="zh-CN"/>
        </w:rPr>
      </w:pPr>
      <w:r>
        <w:rPr>
          <w:rFonts w:hint="eastAsia" w:ascii="仿宋_GB2312" w:hAnsi="仿宋_GB2312" w:eastAsia="仿宋_GB2312" w:cs="仿宋_GB2312"/>
          <w:b/>
          <w:snapToGrid/>
          <w:color w:val="auto"/>
          <w:kern w:val="2"/>
          <w:sz w:val="32"/>
          <w:szCs w:val="32"/>
        </w:rPr>
        <w:t>建设单位：广州市南沙区大岗镇</w:t>
      </w:r>
      <w:r>
        <w:rPr>
          <w:rFonts w:hint="eastAsia" w:ascii="仿宋_GB2312" w:hAnsi="仿宋_GB2312" w:eastAsia="仿宋_GB2312" w:cs="仿宋_GB2312"/>
          <w:b/>
          <w:snapToGrid/>
          <w:color w:val="auto"/>
          <w:kern w:val="2"/>
          <w:sz w:val="32"/>
          <w:szCs w:val="32"/>
          <w:lang w:val="en-US" w:eastAsia="zh-CN"/>
        </w:rPr>
        <w:t>政府</w:t>
      </w:r>
    </w:p>
    <w:p w14:paraId="18ACF50F">
      <w:pPr>
        <w:keepNext w:val="0"/>
        <w:keepLines w:val="0"/>
        <w:pageBreakBefore w:val="0"/>
        <w:widowControl w:val="0"/>
        <w:kinsoku/>
        <w:wordWrap/>
        <w:overflowPunct/>
        <w:topLinePunct w:val="0"/>
        <w:autoSpaceDE/>
        <w:autoSpaceDN/>
        <w:bidi w:val="0"/>
        <w:adjustRightInd/>
        <w:snapToGrid w:val="0"/>
        <w:spacing w:line="420" w:lineRule="exact"/>
        <w:ind w:firstLine="536"/>
        <w:textAlignment w:val="bottom"/>
        <w:rPr>
          <w:rFonts w:hint="default" w:ascii="Times New Roman" w:hAnsi="Times New Roman" w:eastAsia="仿宋" w:cs="Times New Roman"/>
          <w:color w:val="auto"/>
          <w:sz w:val="28"/>
          <w:szCs w:val="28"/>
          <w:highlight w:val="none"/>
        </w:rPr>
      </w:pPr>
    </w:p>
    <w:p w14:paraId="282384F5">
      <w:pPr>
        <w:keepNext w:val="0"/>
        <w:keepLines w:val="0"/>
        <w:pageBreakBefore w:val="0"/>
        <w:widowControl w:val="0"/>
        <w:kinsoku/>
        <w:wordWrap/>
        <w:overflowPunct/>
        <w:topLinePunct w:val="0"/>
        <w:autoSpaceDE/>
        <w:autoSpaceDN/>
        <w:bidi w:val="0"/>
        <w:adjustRightInd/>
        <w:snapToGrid w:val="0"/>
        <w:spacing w:line="420" w:lineRule="exact"/>
        <w:ind w:firstLine="536"/>
        <w:textAlignment w:val="bottom"/>
        <w:rPr>
          <w:rFonts w:hint="default" w:ascii="Times New Roman" w:hAnsi="Times New Roman" w:eastAsia="仿宋" w:cs="Times New Roman"/>
          <w:color w:val="auto"/>
          <w:sz w:val="28"/>
          <w:szCs w:val="28"/>
          <w:highlight w:val="none"/>
        </w:rPr>
      </w:pPr>
    </w:p>
    <w:p w14:paraId="0B604A8F">
      <w:pPr>
        <w:keepNext w:val="0"/>
        <w:keepLines w:val="0"/>
        <w:pageBreakBefore w:val="0"/>
        <w:widowControl w:val="0"/>
        <w:kinsoku/>
        <w:wordWrap/>
        <w:overflowPunct/>
        <w:topLinePunct w:val="0"/>
        <w:autoSpaceDE/>
        <w:autoSpaceDN/>
        <w:bidi w:val="0"/>
        <w:adjustRightInd/>
        <w:snapToGrid w:val="0"/>
        <w:spacing w:line="420" w:lineRule="exact"/>
        <w:ind w:firstLine="536"/>
        <w:textAlignment w:val="bottom"/>
        <w:rPr>
          <w:rFonts w:hint="default" w:ascii="Times New Roman" w:hAnsi="Times New Roman" w:eastAsia="仿宋" w:cs="Times New Roman"/>
          <w:color w:val="auto"/>
          <w:sz w:val="28"/>
          <w:szCs w:val="28"/>
          <w:highlight w:val="none"/>
        </w:rPr>
      </w:pPr>
    </w:p>
    <w:p w14:paraId="25E9ADF8">
      <w:pPr>
        <w:pStyle w:val="2"/>
        <w:keepNext w:val="0"/>
        <w:keepLines w:val="0"/>
        <w:pageBreakBefore w:val="0"/>
        <w:widowControl w:val="0"/>
        <w:kinsoku/>
        <w:wordWrap/>
        <w:overflowPunct/>
        <w:topLinePunct w:val="0"/>
        <w:autoSpaceDE/>
        <w:autoSpaceDN/>
        <w:bidi w:val="0"/>
        <w:adjustRightInd/>
        <w:snapToGrid w:val="0"/>
        <w:spacing w:line="420" w:lineRule="exact"/>
        <w:textAlignment w:val="bottom"/>
        <w:outlineLvl w:val="9"/>
        <w:rPr>
          <w:rFonts w:hint="default" w:ascii="Times New Roman" w:hAnsi="Times New Roman" w:eastAsia="仿宋" w:cs="Times New Roman"/>
          <w:color w:val="auto"/>
          <w:sz w:val="28"/>
          <w:szCs w:val="28"/>
          <w:highlight w:val="none"/>
        </w:rPr>
      </w:pPr>
    </w:p>
    <w:p w14:paraId="1B948D98">
      <w:pPr>
        <w:rPr>
          <w:rFonts w:hint="default" w:ascii="Times New Roman" w:hAnsi="Times New Roman" w:eastAsia="仿宋" w:cs="Times New Roman"/>
          <w:color w:val="auto"/>
          <w:sz w:val="28"/>
          <w:szCs w:val="28"/>
          <w:highlight w:val="none"/>
        </w:rPr>
      </w:pPr>
    </w:p>
    <w:p w14:paraId="6FC8E0A0">
      <w:pPr>
        <w:rPr>
          <w:rFonts w:hint="default" w:ascii="Times New Roman" w:hAnsi="Times New Roman" w:eastAsia="仿宋" w:cs="Times New Roman"/>
          <w:color w:val="auto"/>
          <w:highlight w:val="none"/>
        </w:rPr>
      </w:pPr>
    </w:p>
    <w:p w14:paraId="36F80861">
      <w:pPr>
        <w:pStyle w:val="2"/>
        <w:keepNext w:val="0"/>
        <w:keepLines w:val="0"/>
        <w:pageBreakBefore w:val="0"/>
        <w:widowControl w:val="0"/>
        <w:kinsoku/>
        <w:wordWrap/>
        <w:overflowPunct/>
        <w:topLinePunct w:val="0"/>
        <w:autoSpaceDE/>
        <w:autoSpaceDN/>
        <w:bidi w:val="0"/>
        <w:adjustRightInd/>
        <w:snapToGrid w:val="0"/>
        <w:spacing w:line="420" w:lineRule="exact"/>
        <w:textAlignment w:val="bottom"/>
        <w:outlineLvl w:val="9"/>
        <w:rPr>
          <w:rFonts w:hint="default" w:ascii="Times New Roman" w:hAnsi="Times New Roman" w:eastAsia="仿宋" w:cs="Times New Roman"/>
          <w:color w:val="auto"/>
          <w:sz w:val="28"/>
          <w:szCs w:val="28"/>
          <w:highlight w:val="none"/>
        </w:rPr>
      </w:pPr>
    </w:p>
    <w:p w14:paraId="7AD1A937">
      <w:pPr>
        <w:pStyle w:val="19"/>
        <w:rPr>
          <w:rFonts w:hint="default" w:ascii="Times New Roman" w:hAnsi="Times New Roman" w:eastAsia="仿宋"/>
        </w:rPr>
        <w:sectPr>
          <w:headerReference r:id="rId3" w:type="default"/>
          <w:pgSz w:w="11906" w:h="16838"/>
          <w:pgMar w:top="1871" w:right="1531" w:bottom="1871" w:left="1531" w:header="850" w:footer="1417" w:gutter="0"/>
          <w:pgBorders>
            <w:top w:val="none" w:sz="0" w:space="0"/>
            <w:left w:val="none" w:sz="0" w:space="0"/>
            <w:bottom w:val="none" w:sz="0" w:space="0"/>
            <w:right w:val="none" w:sz="0" w:space="0"/>
          </w:pgBorders>
          <w:pgNumType w:fmt="decimal" w:start="1"/>
          <w:cols w:space="0" w:num="1"/>
          <w:rtlGutter w:val="0"/>
          <w:docGrid w:type="lines" w:linePitch="595" w:charSpace="0"/>
        </w:sectPr>
      </w:pPr>
    </w:p>
    <w:sdt>
      <w:sdtPr>
        <w:rPr>
          <w:rFonts w:ascii="Times New Roman" w:hAnsi="Times New Roman" w:eastAsia="仿宋" w:cs="Times New Roman"/>
          <w:kern w:val="2"/>
          <w:sz w:val="40"/>
          <w:szCs w:val="44"/>
          <w:lang w:val="en-US" w:eastAsia="zh-CN" w:bidi="ar-SA"/>
        </w:rPr>
        <w:id w:val="147458833"/>
        <w15:color w:val="DBDBDB"/>
        <w:docPartObj>
          <w:docPartGallery w:val="Table of Contents"/>
          <w:docPartUnique/>
        </w:docPartObj>
      </w:sdtPr>
      <w:sdtEndPr>
        <w:rPr>
          <w:rFonts w:hint="default" w:ascii="Times New Roman" w:hAnsi="Times New Roman" w:eastAsia="仿宋" w:cs="Times New Roman"/>
          <w:bCs/>
          <w:color w:val="auto"/>
          <w:kern w:val="2"/>
          <w:sz w:val="21"/>
          <w:szCs w:val="28"/>
          <w:highlight w:val="none"/>
          <w:lang w:val="en-US" w:eastAsia="zh-CN" w:bidi="ar-SA"/>
        </w:rPr>
      </w:sdtEndPr>
      <w:sdtContent>
        <w:p w14:paraId="407B013E">
          <w:pPr>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left="0" w:leftChars="0" w:right="0" w:rightChars="0" w:firstLine="0" w:firstLineChars="0"/>
            <w:jc w:val="center"/>
            <w:textAlignment w:val="bottom"/>
          </w:pPr>
          <w:r>
            <w:rPr>
              <w:rFonts w:hint="eastAsia" w:ascii="Times New Roman" w:hAnsi="Times New Roman" w:eastAsia="仿宋" w:cs="仿宋"/>
              <w:b/>
              <w:bCs/>
              <w:sz w:val="32"/>
              <w:szCs w:val="32"/>
            </w:rPr>
            <w:t>目录</w:t>
          </w: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color w:val="auto"/>
              <w:sz w:val="32"/>
              <w:szCs w:val="32"/>
              <w:highlight w:val="none"/>
            </w:rPr>
            <w:instrText xml:space="preserve">TOC \o "1-1" \h \u </w:instrText>
          </w:r>
          <w:r>
            <w:rPr>
              <w:rFonts w:hint="eastAsia" w:ascii="Times New Roman" w:hAnsi="Times New Roman" w:eastAsia="仿宋" w:cs="仿宋"/>
              <w:b/>
              <w:bCs/>
              <w:color w:val="auto"/>
              <w:sz w:val="32"/>
              <w:szCs w:val="32"/>
              <w:highlight w:val="none"/>
            </w:rPr>
            <w:fldChar w:fldCharType="separate"/>
          </w:r>
        </w:p>
        <w:p w14:paraId="24D30E7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eastAsia="仿宋"/>
              <w:b/>
              <w:sz w:val="32"/>
              <w:szCs w:val="32"/>
            </w:rPr>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_Toc13191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bCs w:val="0"/>
              <w:sz w:val="32"/>
              <w:szCs w:val="32"/>
              <w:lang w:val="en-US" w:eastAsia="zh-CN"/>
            </w:rPr>
            <w:t xml:space="preserve">第一章 </w:t>
          </w:r>
          <w:r>
            <w:rPr>
              <w:rFonts w:hint="eastAsia" w:ascii="Times New Roman" w:hAnsi="Times New Roman" w:eastAsia="仿宋" w:cs="Times New Roman"/>
              <w:b/>
              <w:bCs w:val="0"/>
              <w:sz w:val="32"/>
              <w:szCs w:val="32"/>
              <w:highlight w:val="none"/>
              <w:lang w:val="en-US" w:eastAsia="zh-CN"/>
            </w:rPr>
            <w:t>项目背景</w:t>
          </w:r>
          <w:r>
            <w:rPr>
              <w:rFonts w:eastAsia="仿宋"/>
              <w:b/>
              <w:sz w:val="32"/>
              <w:szCs w:val="32"/>
            </w:rPr>
            <w:tab/>
          </w:r>
          <w:r>
            <w:rPr>
              <w:rFonts w:eastAsia="仿宋"/>
              <w:b/>
              <w:sz w:val="32"/>
              <w:szCs w:val="32"/>
            </w:rPr>
            <w:fldChar w:fldCharType="begin"/>
          </w:r>
          <w:r>
            <w:rPr>
              <w:rFonts w:eastAsia="仿宋"/>
              <w:b/>
              <w:sz w:val="32"/>
              <w:szCs w:val="32"/>
            </w:rPr>
            <w:instrText xml:space="preserve"> PAGEREF _Toc13191 \h </w:instrText>
          </w:r>
          <w:r>
            <w:rPr>
              <w:rFonts w:eastAsia="仿宋"/>
              <w:b/>
              <w:sz w:val="32"/>
              <w:szCs w:val="32"/>
            </w:rPr>
            <w:fldChar w:fldCharType="separate"/>
          </w:r>
          <w:r>
            <w:rPr>
              <w:rFonts w:eastAsia="仿宋"/>
              <w:b/>
              <w:sz w:val="32"/>
              <w:szCs w:val="32"/>
            </w:rPr>
            <w:t>1</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1AFDF1B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eastAsia="仿宋"/>
              <w:b/>
              <w:sz w:val="32"/>
              <w:szCs w:val="32"/>
            </w:rPr>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_Toc19526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sz w:val="32"/>
              <w:szCs w:val="32"/>
              <w:lang w:val="en-US" w:eastAsia="zh-CN"/>
            </w:rPr>
            <w:t xml:space="preserve">第二章 </w:t>
          </w:r>
          <w:r>
            <w:rPr>
              <w:rFonts w:hint="eastAsia" w:ascii="Times New Roman" w:hAnsi="Times New Roman" w:eastAsia="仿宋" w:cs="Times New Roman"/>
              <w:b/>
              <w:bCs w:val="0"/>
              <w:sz w:val="32"/>
              <w:szCs w:val="32"/>
              <w:highlight w:val="none"/>
              <w:lang w:val="en-US" w:eastAsia="zh-CN"/>
            </w:rPr>
            <w:t>建设内容</w:t>
          </w:r>
          <w:r>
            <w:rPr>
              <w:rFonts w:eastAsia="仿宋"/>
              <w:b/>
              <w:sz w:val="32"/>
              <w:szCs w:val="32"/>
            </w:rPr>
            <w:tab/>
          </w:r>
          <w:r>
            <w:rPr>
              <w:rFonts w:eastAsia="仿宋"/>
              <w:b/>
              <w:sz w:val="32"/>
              <w:szCs w:val="32"/>
            </w:rPr>
            <w:fldChar w:fldCharType="begin"/>
          </w:r>
          <w:r>
            <w:rPr>
              <w:rFonts w:eastAsia="仿宋"/>
              <w:b/>
              <w:sz w:val="32"/>
              <w:szCs w:val="32"/>
            </w:rPr>
            <w:instrText xml:space="preserve"> PAGEREF _Toc19526 \h </w:instrText>
          </w:r>
          <w:r>
            <w:rPr>
              <w:rFonts w:eastAsia="仿宋"/>
              <w:b/>
              <w:sz w:val="32"/>
              <w:szCs w:val="32"/>
            </w:rPr>
            <w:fldChar w:fldCharType="separate"/>
          </w:r>
          <w:r>
            <w:rPr>
              <w:rFonts w:eastAsia="仿宋"/>
              <w:b/>
              <w:sz w:val="32"/>
              <w:szCs w:val="32"/>
            </w:rPr>
            <w:t>16</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2B0D5A5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eastAsia="仿宋"/>
              <w:b/>
              <w:sz w:val="32"/>
              <w:szCs w:val="32"/>
            </w:rPr>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_Toc30676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bCs w:val="0"/>
              <w:sz w:val="32"/>
              <w:szCs w:val="32"/>
              <w:lang w:val="en-US" w:eastAsia="zh-CN"/>
            </w:rPr>
            <w:t xml:space="preserve">第三章 </w:t>
          </w:r>
          <w:r>
            <w:rPr>
              <w:rFonts w:hint="eastAsia" w:ascii="Times New Roman" w:hAnsi="Times New Roman" w:eastAsia="仿宋" w:cs="Times New Roman"/>
              <w:b/>
              <w:bCs w:val="0"/>
              <w:sz w:val="32"/>
              <w:szCs w:val="32"/>
              <w:highlight w:val="none"/>
              <w:lang w:val="en-US" w:eastAsia="zh-CN"/>
            </w:rPr>
            <w:t>项目投资</w:t>
          </w:r>
          <w:r>
            <w:rPr>
              <w:rFonts w:eastAsia="仿宋"/>
              <w:b/>
              <w:sz w:val="32"/>
              <w:szCs w:val="32"/>
            </w:rPr>
            <w:tab/>
          </w:r>
          <w:r>
            <w:rPr>
              <w:rFonts w:eastAsia="仿宋"/>
              <w:b/>
              <w:sz w:val="32"/>
              <w:szCs w:val="32"/>
            </w:rPr>
            <w:fldChar w:fldCharType="begin"/>
          </w:r>
          <w:r>
            <w:rPr>
              <w:rFonts w:eastAsia="仿宋"/>
              <w:b/>
              <w:sz w:val="32"/>
              <w:szCs w:val="32"/>
            </w:rPr>
            <w:instrText xml:space="preserve"> PAGEREF _Toc30676 \h </w:instrText>
          </w:r>
          <w:r>
            <w:rPr>
              <w:rFonts w:eastAsia="仿宋"/>
              <w:b/>
              <w:sz w:val="32"/>
              <w:szCs w:val="32"/>
            </w:rPr>
            <w:fldChar w:fldCharType="separate"/>
          </w:r>
          <w:r>
            <w:rPr>
              <w:rFonts w:eastAsia="仿宋"/>
              <w:b/>
              <w:sz w:val="32"/>
              <w:szCs w:val="32"/>
            </w:rPr>
            <w:t>20</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27569A8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eastAsia="仿宋"/>
              <w:b/>
              <w:sz w:val="32"/>
              <w:szCs w:val="32"/>
            </w:rPr>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_Toc30011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bCs w:val="0"/>
              <w:sz w:val="32"/>
              <w:szCs w:val="32"/>
              <w:lang w:val="en-US" w:eastAsia="zh-CN"/>
            </w:rPr>
            <w:t xml:space="preserve">第四章 </w:t>
          </w:r>
          <w:r>
            <w:rPr>
              <w:rFonts w:hint="default" w:ascii="Times New Roman" w:hAnsi="Times New Roman" w:eastAsia="仿宋" w:cs="Times New Roman"/>
              <w:b/>
              <w:bCs w:val="0"/>
              <w:sz w:val="32"/>
              <w:szCs w:val="32"/>
              <w:highlight w:val="none"/>
              <w:lang w:val="en-US" w:eastAsia="zh-CN"/>
            </w:rPr>
            <w:t>实施计划</w:t>
          </w:r>
          <w:r>
            <w:rPr>
              <w:rFonts w:eastAsia="仿宋"/>
              <w:b/>
              <w:sz w:val="32"/>
              <w:szCs w:val="32"/>
            </w:rPr>
            <w:tab/>
          </w:r>
          <w:r>
            <w:rPr>
              <w:rFonts w:eastAsia="仿宋"/>
              <w:b/>
              <w:sz w:val="32"/>
              <w:szCs w:val="32"/>
            </w:rPr>
            <w:fldChar w:fldCharType="begin"/>
          </w:r>
          <w:r>
            <w:rPr>
              <w:rFonts w:eastAsia="仿宋"/>
              <w:b/>
              <w:sz w:val="32"/>
              <w:szCs w:val="32"/>
            </w:rPr>
            <w:instrText xml:space="preserve"> PAGEREF _Toc30011 \h </w:instrText>
          </w:r>
          <w:r>
            <w:rPr>
              <w:rFonts w:eastAsia="仿宋"/>
              <w:b/>
              <w:sz w:val="32"/>
              <w:szCs w:val="32"/>
            </w:rPr>
            <w:fldChar w:fldCharType="separate"/>
          </w:r>
          <w:r>
            <w:rPr>
              <w:rFonts w:eastAsia="仿宋"/>
              <w:b/>
              <w:sz w:val="32"/>
              <w:szCs w:val="32"/>
            </w:rPr>
            <w:t>30</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648FAB00">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eastAsia="仿宋"/>
              <w:b/>
              <w:sz w:val="32"/>
              <w:szCs w:val="32"/>
            </w:rPr>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_Toc6269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bCs w:val="0"/>
              <w:sz w:val="32"/>
              <w:szCs w:val="32"/>
              <w:lang w:val="en-US" w:eastAsia="zh-CN"/>
            </w:rPr>
            <w:t xml:space="preserve">第五章 </w:t>
          </w:r>
          <w:r>
            <w:rPr>
              <w:rFonts w:hint="default" w:ascii="Times New Roman" w:hAnsi="Times New Roman" w:eastAsia="仿宋" w:cs="Times New Roman"/>
              <w:b/>
              <w:bCs w:val="0"/>
              <w:sz w:val="32"/>
              <w:szCs w:val="32"/>
              <w:highlight w:val="none"/>
              <w:lang w:val="en-US" w:eastAsia="zh-CN"/>
            </w:rPr>
            <w:t>效益分析</w:t>
          </w:r>
          <w:r>
            <w:rPr>
              <w:rFonts w:eastAsia="仿宋"/>
              <w:b/>
              <w:sz w:val="32"/>
              <w:szCs w:val="32"/>
            </w:rPr>
            <w:tab/>
          </w:r>
          <w:r>
            <w:rPr>
              <w:rFonts w:eastAsia="仿宋"/>
              <w:b/>
              <w:sz w:val="32"/>
              <w:szCs w:val="32"/>
            </w:rPr>
            <w:fldChar w:fldCharType="begin"/>
          </w:r>
          <w:r>
            <w:rPr>
              <w:rFonts w:eastAsia="仿宋"/>
              <w:b/>
              <w:sz w:val="32"/>
              <w:szCs w:val="32"/>
            </w:rPr>
            <w:instrText xml:space="preserve"> PAGEREF _Toc6269 \h </w:instrText>
          </w:r>
          <w:r>
            <w:rPr>
              <w:rFonts w:eastAsia="仿宋"/>
              <w:b/>
              <w:sz w:val="32"/>
              <w:szCs w:val="32"/>
            </w:rPr>
            <w:fldChar w:fldCharType="separate"/>
          </w:r>
          <w:r>
            <w:rPr>
              <w:rFonts w:eastAsia="仿宋"/>
              <w:b/>
              <w:sz w:val="32"/>
              <w:szCs w:val="32"/>
            </w:rPr>
            <w:t>37</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5411354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eastAsia="仿宋"/>
              <w:b/>
              <w:sz w:val="32"/>
              <w:szCs w:val="32"/>
            </w:rPr>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_Toc18757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bCs w:val="0"/>
              <w:sz w:val="32"/>
              <w:szCs w:val="32"/>
              <w:lang w:val="en-US" w:eastAsia="zh-CN"/>
            </w:rPr>
            <w:t xml:space="preserve">第六章 </w:t>
          </w:r>
          <w:r>
            <w:rPr>
              <w:rFonts w:hint="default" w:ascii="Times New Roman" w:hAnsi="Times New Roman" w:eastAsia="仿宋" w:cs="Times New Roman"/>
              <w:b/>
              <w:bCs w:val="0"/>
              <w:sz w:val="32"/>
              <w:szCs w:val="32"/>
              <w:highlight w:val="none"/>
              <w:lang w:val="en-US" w:eastAsia="zh-CN"/>
            </w:rPr>
            <w:t>保障措施</w:t>
          </w:r>
          <w:r>
            <w:rPr>
              <w:rFonts w:eastAsia="仿宋"/>
              <w:b/>
              <w:sz w:val="32"/>
              <w:szCs w:val="32"/>
            </w:rPr>
            <w:tab/>
          </w:r>
          <w:r>
            <w:rPr>
              <w:rFonts w:eastAsia="仿宋"/>
              <w:b/>
              <w:sz w:val="32"/>
              <w:szCs w:val="32"/>
            </w:rPr>
            <w:fldChar w:fldCharType="begin"/>
          </w:r>
          <w:r>
            <w:rPr>
              <w:rFonts w:eastAsia="仿宋"/>
              <w:b/>
              <w:sz w:val="32"/>
              <w:szCs w:val="32"/>
            </w:rPr>
            <w:instrText xml:space="preserve"> PAGEREF _Toc18757 \h </w:instrText>
          </w:r>
          <w:r>
            <w:rPr>
              <w:rFonts w:eastAsia="仿宋"/>
              <w:b/>
              <w:sz w:val="32"/>
              <w:szCs w:val="32"/>
            </w:rPr>
            <w:fldChar w:fldCharType="separate"/>
          </w:r>
          <w:r>
            <w:rPr>
              <w:rFonts w:eastAsia="仿宋"/>
              <w:b/>
              <w:sz w:val="32"/>
              <w:szCs w:val="32"/>
            </w:rPr>
            <w:t>38</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287B6E5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eastAsia" w:ascii="Times New Roman" w:hAnsi="Times New Roman" w:eastAsia="仿宋" w:cs="仿宋"/>
              <w:b/>
              <w:bCs/>
              <w:color w:val="auto"/>
              <w:sz w:val="32"/>
              <w:szCs w:val="32"/>
              <w:highlight w:val="none"/>
            </w:rPr>
            <w:fldChar w:fldCharType="begin"/>
          </w:r>
          <w:r>
            <w:rPr>
              <w:rFonts w:hint="eastAsia" w:ascii="Times New Roman" w:hAnsi="Times New Roman" w:eastAsia="仿宋" w:cs="仿宋"/>
              <w:b/>
              <w:bCs/>
              <w:sz w:val="32"/>
              <w:szCs w:val="32"/>
              <w:highlight w:val="none"/>
            </w:rPr>
            <w:instrText xml:space="preserve"> HYPERLINK \l _Toc24693 </w:instrText>
          </w:r>
          <w:r>
            <w:rPr>
              <w:rFonts w:hint="eastAsia" w:ascii="Times New Roman" w:hAnsi="Times New Roman" w:eastAsia="仿宋" w:cs="仿宋"/>
              <w:b/>
              <w:bCs/>
              <w:sz w:val="32"/>
              <w:szCs w:val="32"/>
              <w:highlight w:val="none"/>
            </w:rPr>
            <w:fldChar w:fldCharType="separate"/>
          </w:r>
          <w:r>
            <w:rPr>
              <w:rFonts w:hint="eastAsia" w:ascii="Times New Roman" w:hAnsi="Times New Roman" w:eastAsia="仿宋" w:cs="Times New Roman"/>
              <w:b/>
              <w:bCs w:val="0"/>
              <w:sz w:val="32"/>
              <w:szCs w:val="32"/>
              <w:lang w:val="en-US" w:eastAsia="zh-CN"/>
            </w:rPr>
            <w:t xml:space="preserve">第七章 </w:t>
          </w:r>
          <w:r>
            <w:rPr>
              <w:rFonts w:hint="default" w:ascii="Times New Roman" w:hAnsi="Times New Roman" w:eastAsia="仿宋" w:cs="Times New Roman"/>
              <w:b/>
              <w:bCs w:val="0"/>
              <w:sz w:val="32"/>
              <w:szCs w:val="32"/>
              <w:highlight w:val="none"/>
              <w:lang w:val="en-US" w:eastAsia="zh-CN"/>
            </w:rPr>
            <w:t>附件</w:t>
          </w:r>
          <w:r>
            <w:rPr>
              <w:rFonts w:eastAsia="仿宋"/>
              <w:b/>
              <w:sz w:val="32"/>
              <w:szCs w:val="32"/>
            </w:rPr>
            <w:tab/>
          </w:r>
          <w:r>
            <w:rPr>
              <w:rFonts w:eastAsia="仿宋"/>
              <w:b/>
              <w:sz w:val="32"/>
              <w:szCs w:val="32"/>
            </w:rPr>
            <w:fldChar w:fldCharType="begin"/>
          </w:r>
          <w:r>
            <w:rPr>
              <w:rFonts w:eastAsia="仿宋"/>
              <w:b/>
              <w:sz w:val="32"/>
              <w:szCs w:val="32"/>
            </w:rPr>
            <w:instrText xml:space="preserve"> PAGEREF _Toc24693 \h </w:instrText>
          </w:r>
          <w:r>
            <w:rPr>
              <w:rFonts w:eastAsia="仿宋"/>
              <w:b/>
              <w:sz w:val="32"/>
              <w:szCs w:val="32"/>
            </w:rPr>
            <w:fldChar w:fldCharType="separate"/>
          </w:r>
          <w:r>
            <w:rPr>
              <w:rFonts w:eastAsia="仿宋"/>
              <w:b/>
              <w:sz w:val="32"/>
              <w:szCs w:val="32"/>
            </w:rPr>
            <w:t>39</w:t>
          </w:r>
          <w:r>
            <w:rPr>
              <w:rFonts w:eastAsia="仿宋"/>
              <w:b/>
              <w:sz w:val="32"/>
              <w:szCs w:val="32"/>
            </w:rPr>
            <w:fldChar w:fldCharType="end"/>
          </w:r>
          <w:r>
            <w:rPr>
              <w:rFonts w:hint="eastAsia" w:ascii="Times New Roman" w:hAnsi="Times New Roman" w:eastAsia="仿宋" w:cs="仿宋"/>
              <w:b/>
              <w:bCs/>
              <w:color w:val="auto"/>
              <w:sz w:val="32"/>
              <w:szCs w:val="32"/>
              <w:highlight w:val="none"/>
            </w:rPr>
            <w:fldChar w:fldCharType="end"/>
          </w:r>
        </w:p>
        <w:p w14:paraId="61288B83">
          <w:pPr>
            <w:pStyle w:val="16"/>
            <w:tabs>
              <w:tab w:val="right" w:leader="dot" w:pos="8844"/>
            </w:tabs>
          </w:pPr>
        </w:p>
        <w:p w14:paraId="61654E1F">
          <w:pPr>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left="0" w:leftChars="0" w:right="0" w:rightChars="0" w:firstLine="0" w:firstLineChars="0"/>
            <w:jc w:val="both"/>
            <w:textAlignment w:val="bottom"/>
            <w:rPr>
              <w:rFonts w:hint="default" w:ascii="Times New Roman" w:hAnsi="Times New Roman" w:eastAsia="仿宋"/>
            </w:rPr>
          </w:pPr>
          <w:r>
            <w:rPr>
              <w:rFonts w:hint="eastAsia" w:ascii="Times New Roman" w:hAnsi="Times New Roman" w:eastAsia="仿宋" w:cs="仿宋"/>
              <w:b/>
              <w:bCs/>
              <w:color w:val="auto"/>
              <w:sz w:val="32"/>
              <w:szCs w:val="32"/>
              <w:highlight w:val="none"/>
            </w:rPr>
            <w:fldChar w:fldCharType="end"/>
          </w:r>
        </w:p>
      </w:sdtContent>
    </w:sdt>
    <w:p w14:paraId="0BD59C4E">
      <w:pPr>
        <w:bidi w:val="0"/>
        <w:rPr>
          <w:rFonts w:hint="default"/>
        </w:rPr>
      </w:pPr>
    </w:p>
    <w:p w14:paraId="3CA41B2D">
      <w:pPr>
        <w:bidi w:val="0"/>
        <w:rPr>
          <w:rFonts w:hint="default"/>
        </w:rPr>
      </w:pPr>
    </w:p>
    <w:p w14:paraId="21C86652">
      <w:pPr>
        <w:tabs>
          <w:tab w:val="left" w:pos="2312"/>
        </w:tabs>
        <w:bidi w:val="0"/>
        <w:jc w:val="left"/>
        <w:rPr>
          <w:rFonts w:hint="eastAsia"/>
          <w:lang w:eastAsia="zh-CN"/>
        </w:rPr>
      </w:pPr>
      <w:r>
        <w:rPr>
          <w:rFonts w:hint="eastAsia"/>
          <w:lang w:eastAsia="zh-CN"/>
        </w:rPr>
        <w:tab/>
      </w:r>
    </w:p>
    <w:p w14:paraId="23BFC5ED">
      <w:pPr>
        <w:pStyle w:val="19"/>
        <w:rPr>
          <w:rFonts w:hint="eastAsia"/>
          <w:lang w:eastAsia="zh-CN"/>
        </w:rPr>
        <w:sectPr>
          <w:footerReference r:id="rId4" w:type="default"/>
          <w:pgSz w:w="11906" w:h="16838"/>
          <w:pgMar w:top="1871" w:right="1531" w:bottom="1871" w:left="1531" w:header="850" w:footer="1417" w:gutter="0"/>
          <w:pgBorders>
            <w:top w:val="none" w:sz="0" w:space="0"/>
            <w:left w:val="none" w:sz="0" w:space="0"/>
            <w:bottom w:val="none" w:sz="0" w:space="0"/>
            <w:right w:val="none" w:sz="0" w:space="0"/>
          </w:pgBorders>
          <w:pgNumType w:fmt="decimal" w:start="1"/>
          <w:cols w:space="0" w:num="1"/>
          <w:rtlGutter w:val="0"/>
          <w:docGrid w:type="lines" w:linePitch="595" w:charSpace="0"/>
        </w:sectPr>
      </w:pPr>
    </w:p>
    <w:p w14:paraId="497CD21A">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eastAsia" w:ascii="Times New Roman" w:hAnsi="Times New Roman" w:eastAsia="仿宋" w:cs="Times New Roman"/>
          <w:b/>
          <w:bCs w:val="0"/>
          <w:color w:val="auto"/>
          <w:sz w:val="28"/>
          <w:szCs w:val="28"/>
          <w:highlight w:val="none"/>
          <w:lang w:val="en-US" w:eastAsia="zh-CN"/>
        </w:rPr>
      </w:pPr>
      <w:bookmarkStart w:id="1" w:name="_Toc27978"/>
      <w:bookmarkStart w:id="2" w:name="_Toc13191"/>
      <w:r>
        <w:rPr>
          <w:rFonts w:hint="eastAsia" w:ascii="Times New Roman" w:hAnsi="Times New Roman" w:eastAsia="仿宋" w:cs="Times New Roman"/>
          <w:b/>
          <w:bCs w:val="0"/>
          <w:color w:val="auto"/>
          <w:sz w:val="28"/>
          <w:szCs w:val="28"/>
          <w:highlight w:val="none"/>
          <w:lang w:val="en-US" w:eastAsia="zh-CN"/>
        </w:rPr>
        <w:t>项目背景</w:t>
      </w:r>
      <w:bookmarkEnd w:id="1"/>
      <w:bookmarkEnd w:id="2"/>
    </w:p>
    <w:p w14:paraId="19E16C99">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bookmarkStart w:id="3" w:name="_Toc1720"/>
      <w:r>
        <w:rPr>
          <w:rFonts w:hint="eastAsia" w:ascii="Times New Roman" w:hAnsi="Times New Roman" w:eastAsia="仿宋" w:cs="Times New Roman"/>
          <w:color w:val="auto"/>
          <w:sz w:val="28"/>
          <w:szCs w:val="28"/>
          <w:highlight w:val="none"/>
          <w:lang w:val="en-US" w:eastAsia="zh-CN"/>
        </w:rPr>
        <w:t>1.1</w:t>
      </w:r>
      <w:bookmarkEnd w:id="3"/>
      <w:r>
        <w:rPr>
          <w:rFonts w:hint="eastAsia" w:ascii="Times New Roman" w:hAnsi="Times New Roman" w:eastAsia="仿宋" w:cs="Times New Roman"/>
          <w:color w:val="auto"/>
          <w:sz w:val="28"/>
          <w:szCs w:val="28"/>
          <w:highlight w:val="none"/>
          <w:lang w:val="en-US" w:eastAsia="zh-CN"/>
        </w:rPr>
        <w:t>项目名称</w:t>
      </w:r>
    </w:p>
    <w:p w14:paraId="21078EF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广州市南沙区大岗镇新沙村筷子基硬底化项目。</w:t>
      </w:r>
    </w:p>
    <w:p w14:paraId="01EC4F57">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1.2项目主管单位</w:t>
      </w:r>
    </w:p>
    <w:p w14:paraId="549DD2C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广州市南沙区农业农村局。</w:t>
      </w:r>
    </w:p>
    <w:p w14:paraId="69211AC1">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360" w:lineRule="auto"/>
        <w:ind w:left="0" w:leftChars="0" w:firstLine="562" w:firstLineChars="200"/>
        <w:textAlignment w:val="bottom"/>
        <w:rPr>
          <w:rFonts w:hint="eastAsia"/>
          <w:lang w:val="en-US" w:eastAsia="zh-CN"/>
        </w:rPr>
      </w:pPr>
      <w:r>
        <w:rPr>
          <w:rFonts w:hint="default" w:ascii="Times New Roman" w:hAnsi="Times New Roman" w:eastAsia="仿宋" w:cs="Times New Roman"/>
          <w:color w:val="auto"/>
          <w:sz w:val="28"/>
          <w:szCs w:val="28"/>
          <w:highlight w:val="none"/>
          <w:lang w:val="en-US" w:eastAsia="zh-CN"/>
        </w:rPr>
        <w:t>1.</w:t>
      </w:r>
      <w:r>
        <w:rPr>
          <w:rFonts w:hint="eastAsia" w:ascii="Times New Roman" w:hAnsi="Times New Roman" w:eastAsia="仿宋" w:cs="Times New Roman"/>
          <w:color w:val="auto"/>
          <w:sz w:val="28"/>
          <w:szCs w:val="28"/>
          <w:highlight w:val="none"/>
          <w:lang w:val="en-US" w:eastAsia="zh-CN"/>
        </w:rPr>
        <w:t>3自然气候条件</w:t>
      </w:r>
    </w:p>
    <w:p w14:paraId="47BEABB1">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1.3.1 </w:t>
      </w:r>
      <w:r>
        <w:rPr>
          <w:rFonts w:hint="eastAsia" w:ascii="Times New Roman" w:hAnsi="Times New Roman" w:eastAsia="仿宋" w:cs="Times New Roman"/>
          <w:color w:val="auto"/>
          <w:sz w:val="28"/>
          <w:szCs w:val="28"/>
          <w:highlight w:val="none"/>
          <w:lang w:val="en-US" w:eastAsia="zh-CN"/>
        </w:rPr>
        <w:t>地理位置</w:t>
      </w:r>
    </w:p>
    <w:p w14:paraId="37FD88B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项目位于广东省广州市南沙区大岗镇内，共涉及新沙村1个行政村。中心坐标约为113.442437031，纬度22.812248536。</w:t>
      </w:r>
    </w:p>
    <w:p w14:paraId="185072B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大岗镇：大岗镇位于南沙新区西北部，北接番禺，东望东莞，西邻顺德、中山，地理位置优势明显。全镇总面积90.07km2，辖25个行政村、6个社区。常住人口13.02万人，其中户籍人口8.26万人，流动人口4.76万人。镇内耕地以种植经济作物甘蔗、蔬菜、香蕉为主。</w:t>
      </w:r>
    </w:p>
    <w:p w14:paraId="076E274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新沙村：在大岗镇北部。东与东涌镇万洲村接壤，南、西临蕉门水道与庙贝村、庙青村隔水相望，北与东涌镇细沥村隔水相望。</w:t>
      </w:r>
    </w:p>
    <w:p w14:paraId="0C17309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因建村时浅滩多沙，取“新生、蓬勃向上”之意，曾名“新沙塱”，后改称新沙村。约在清乾隆年间</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1736-1795</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，在滩涂周围捕鱼的渔民纷纷上岸，</w:t>
      </w:r>
      <w:r>
        <w:rPr>
          <w:rFonts w:hint="eastAsia" w:eastAsia="仿宋" w:cs="Times New Roman"/>
          <w:color w:val="auto"/>
          <w:kern w:val="0"/>
          <w:sz w:val="24"/>
          <w:szCs w:val="24"/>
          <w:highlight w:val="none"/>
          <w:lang w:val="en-US" w:eastAsia="zh-CN" w:bidi="ar-SA"/>
        </w:rPr>
        <w:t>围垦</w:t>
      </w:r>
      <w:r>
        <w:rPr>
          <w:rFonts w:hint="eastAsia" w:ascii="Times New Roman" w:hAnsi="Times New Roman" w:eastAsia="仿宋" w:cs="Times New Roman"/>
          <w:color w:val="auto"/>
          <w:kern w:val="0"/>
          <w:sz w:val="24"/>
          <w:szCs w:val="24"/>
          <w:highlight w:val="none"/>
          <w:lang w:val="en-US" w:eastAsia="zh-CN" w:bidi="ar-SA"/>
        </w:rPr>
        <w:t>造田渐成村落。1953年划归灵山镇管辖</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1960年人民公社化成立新沙大队</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1984年改设新沙乡</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1987年改设新沙村。辖区面积约65平方千米，耕地面积6760亩。下设22个村民小组。村委会驻大岗镇朗口东街65号。村民主要姓氏为冯、梁、陈、郭。低沙田，冲积平原地势平坦。2015年底，辖区人口4019人，其中户籍人口3634人，流动人口385人。</w:t>
      </w:r>
    </w:p>
    <w:p w14:paraId="04BB92C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此村经济传统经营以农业为主，种植果蔗、香</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大</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蕉和养殖“四大家鱼”。现在村经济收</w:t>
      </w:r>
      <w:r>
        <w:rPr>
          <w:rFonts w:hint="eastAsia" w:eastAsia="仿宋" w:cs="Times New Roman"/>
          <w:color w:val="auto"/>
          <w:kern w:val="0"/>
          <w:sz w:val="24"/>
          <w:szCs w:val="24"/>
          <w:highlight w:val="none"/>
          <w:lang w:val="en-US" w:eastAsia="zh-CN" w:bidi="ar-SA"/>
        </w:rPr>
        <w:t>入</w:t>
      </w:r>
      <w:r>
        <w:rPr>
          <w:rFonts w:hint="eastAsia" w:ascii="Times New Roman" w:hAnsi="Times New Roman" w:eastAsia="仿宋" w:cs="Times New Roman"/>
          <w:color w:val="auto"/>
          <w:kern w:val="0"/>
          <w:sz w:val="24"/>
          <w:szCs w:val="24"/>
          <w:highlight w:val="none"/>
          <w:lang w:val="en-US" w:eastAsia="zh-CN" w:bidi="ar-SA"/>
        </w:rPr>
        <w:t>以土地发包和土地租赁为主，2015年村的集体经济总收</w:t>
      </w:r>
      <w:r>
        <w:rPr>
          <w:rFonts w:hint="eastAsia" w:eastAsia="仿宋" w:cs="Times New Roman"/>
          <w:color w:val="auto"/>
          <w:kern w:val="0"/>
          <w:sz w:val="24"/>
          <w:szCs w:val="24"/>
          <w:highlight w:val="none"/>
          <w:lang w:val="en-US" w:eastAsia="zh-CN" w:bidi="ar-SA"/>
        </w:rPr>
        <w:t>入</w:t>
      </w:r>
      <w:r>
        <w:rPr>
          <w:rFonts w:hint="eastAsia" w:ascii="Times New Roman" w:hAnsi="Times New Roman" w:eastAsia="仿宋" w:cs="Times New Roman"/>
          <w:color w:val="auto"/>
          <w:kern w:val="0"/>
          <w:sz w:val="24"/>
          <w:szCs w:val="24"/>
          <w:highlight w:val="none"/>
          <w:lang w:val="en-US" w:eastAsia="zh-CN" w:bidi="ar-SA"/>
        </w:rPr>
        <w:t>为198万元。村特色产品为粉葛。辖区有企业7家。村内设有新沙村看护点，存有立于清光绪六年</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1880</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的“新沙番禺县正堂告示牌”。先后被评为广州市卫生村、广州市文明示范村、广东省卫生村。</w:t>
      </w:r>
    </w:p>
    <w:p w14:paraId="0C44E65E">
      <w:pPr>
        <w:keepNext w:val="0"/>
        <w:keepLines w:val="0"/>
        <w:pageBreakBefore w:val="0"/>
        <w:widowControl w:val="0"/>
        <w:kinsoku/>
        <w:wordWrap/>
        <w:overflowPunct/>
        <w:topLinePunct w:val="0"/>
        <w:autoSpaceDE/>
        <w:autoSpaceDN/>
        <w:bidi w:val="0"/>
        <w:adjustRightInd/>
        <w:snapToGrid w:val="0"/>
        <w:spacing w:line="360" w:lineRule="auto"/>
        <w:jc w:val="left"/>
        <w:textAlignment w:val="bottom"/>
        <w:rPr>
          <w:rFonts w:hint="eastAsia" w:ascii="Times New Roman" w:hAnsi="Times New Roman" w:eastAsia="仿宋" w:cs="仿宋"/>
          <w:sz w:val="24"/>
          <w:szCs w:val="24"/>
          <w:lang w:val="en-US" w:eastAsia="zh-CN"/>
        </w:rPr>
      </w:pPr>
      <w:r>
        <w:rPr>
          <w:rFonts w:hint="eastAsia" w:ascii="Times New Roman" w:hAnsi="Times New Roman" w:eastAsia="仿宋" w:cs="Times New Roman"/>
          <w:color w:val="auto"/>
          <w:kern w:val="0"/>
          <w:sz w:val="24"/>
          <w:szCs w:val="24"/>
          <w:highlight w:val="none"/>
          <w:lang w:val="en-US" w:eastAsia="zh-CN" w:bidi="ar-SA"/>
        </w:rPr>
        <w:t>具体地理位置如下图所示。</w:t>
      </w:r>
      <w:r>
        <w:rPr>
          <w:rFonts w:hint="eastAsia" w:ascii="Times New Roman" w:hAnsi="Times New Roman"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2973070</wp:posOffset>
                </wp:positionH>
                <wp:positionV relativeFrom="paragraph">
                  <wp:posOffset>1373505</wp:posOffset>
                </wp:positionV>
                <wp:extent cx="123825" cy="138430"/>
                <wp:effectExtent l="17145" t="24130" r="30480" b="27940"/>
                <wp:wrapNone/>
                <wp:docPr id="10" name="五角星 10"/>
                <wp:cNvGraphicFramePr/>
                <a:graphic xmlns:a="http://schemas.openxmlformats.org/drawingml/2006/main">
                  <a:graphicData uri="http://schemas.microsoft.com/office/word/2010/wordprocessingShape">
                    <wps:wsp>
                      <wps:cNvSpPr/>
                      <wps:spPr>
                        <a:xfrm>
                          <a:off x="4062730" y="7212965"/>
                          <a:ext cx="123825" cy="13843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4.1pt;margin-top:108.15pt;height:10.9pt;width:9.75pt;z-index:251662336;v-text-anchor:middle;mso-width-relative:page;mso-height-relative:page;" fillcolor="#FF0000" filled="t" stroked="t" coordsize="123825,138430" o:gfxdata="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xmGs9gAAAALAQAADwAAAAAAAAABACAA&#10;AAAiAAAAZHJzL2Rvd25yZXYueG1sUEsBAhQAFAAAAAgAh07iQMk304B/AgAABQUAAA4AAAAAAAAA&#10;AQAgAAAAJwEAAGRycy9lMm9Eb2MueG1sUEsFBgAAAAAGAAYAWQEAABgGAAAAAA==&#10;" path="m0,52875l47297,52875,61912,0,76527,52875,123824,52875,85560,85554,100176,138429,61912,105750,23648,138429,38264,85554xe">
                <v:path o:connectlocs="61912,0;0,52875;23648,138429;100176,138429;123824,52875" o:connectangles="247,164,82,82,0"/>
                <v:fill on="t" focussize="0,0"/>
                <v:stroke weight="1pt" color="#FF0000 [2404]" miterlimit="8" joinstyle="miter"/>
                <v:imagedata o:title=""/>
                <o:lock v:ext="edit" aspectratio="f"/>
              </v:shape>
            </w:pict>
          </mc:Fallback>
        </mc:AlternateContent>
      </w:r>
      <w:r>
        <w:rPr>
          <w:rFonts w:hint="eastAsia" w:ascii="Times New Roman" w:hAnsi="Times New Roman" w:eastAsia="仿宋" w:cs="仿宋"/>
          <w:sz w:val="24"/>
          <w:szCs w:val="24"/>
        </w:rPr>
        <w:drawing>
          <wp:inline distT="0" distB="0" distL="114300" distR="114300">
            <wp:extent cx="5596890" cy="2868295"/>
            <wp:effectExtent l="0" t="0" r="381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rcRect t="18111" r="8511"/>
                    <a:stretch>
                      <a:fillRect/>
                    </a:stretch>
                  </pic:blipFill>
                  <pic:spPr>
                    <a:xfrm>
                      <a:off x="0" y="0"/>
                      <a:ext cx="5596890" cy="2868295"/>
                    </a:xfrm>
                    <a:prstGeom prst="rect">
                      <a:avLst/>
                    </a:prstGeom>
                    <a:noFill/>
                    <a:ln>
                      <a:noFill/>
                    </a:ln>
                  </pic:spPr>
                </pic:pic>
              </a:graphicData>
            </a:graphic>
          </wp:inline>
        </w:drawing>
      </w:r>
    </w:p>
    <w:p w14:paraId="257FF23A">
      <w:pPr>
        <w:pStyle w:val="19"/>
        <w:spacing w:line="360" w:lineRule="auto"/>
        <w:ind w:left="0" w:leftChars="0" w:firstLine="482" w:firstLineChars="200"/>
        <w:jc w:val="center"/>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图1.1-1地理位置图</w:t>
      </w:r>
    </w:p>
    <w:p w14:paraId="352681C0">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1.3.2 </w:t>
      </w:r>
      <w:r>
        <w:rPr>
          <w:rFonts w:hint="eastAsia" w:ascii="Times New Roman" w:hAnsi="Times New Roman" w:eastAsia="仿宋" w:cs="Times New Roman"/>
          <w:color w:val="auto"/>
          <w:sz w:val="28"/>
          <w:szCs w:val="28"/>
          <w:highlight w:val="none"/>
          <w:lang w:val="en-US" w:eastAsia="zh-CN"/>
        </w:rPr>
        <w:t>地形地貌</w:t>
      </w:r>
    </w:p>
    <w:p w14:paraId="7A22C00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项目区地处珠江口，来自陆域的东、西、北江河流径流和南海勃流的互相作用，形成冲积平原，境内地势平坦、土地连片。</w:t>
      </w:r>
    </w:p>
    <w:p w14:paraId="0084475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1.3.3 </w:t>
      </w:r>
      <w:r>
        <w:rPr>
          <w:rFonts w:hint="eastAsia" w:ascii="Times New Roman" w:hAnsi="Times New Roman" w:eastAsia="仿宋" w:cs="Times New Roman"/>
          <w:color w:val="auto"/>
          <w:sz w:val="28"/>
          <w:szCs w:val="28"/>
          <w:highlight w:val="none"/>
          <w:lang w:val="en-US" w:eastAsia="zh-CN"/>
        </w:rPr>
        <w:t>水系</w:t>
      </w:r>
    </w:p>
    <w:p w14:paraId="0DD1EEF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项目区周边水资源丰富，项目</w:t>
      </w:r>
      <w:r>
        <w:rPr>
          <w:rFonts w:hint="eastAsia" w:eastAsia="仿宋" w:cs="Times New Roman"/>
          <w:color w:val="auto"/>
          <w:kern w:val="0"/>
          <w:sz w:val="24"/>
          <w:szCs w:val="24"/>
          <w:highlight w:val="none"/>
          <w:lang w:val="en-US" w:eastAsia="zh-CN" w:bidi="ar-SA"/>
        </w:rPr>
        <w:t>区内</w:t>
      </w:r>
      <w:r>
        <w:rPr>
          <w:rFonts w:hint="eastAsia" w:ascii="Times New Roman" w:hAnsi="Times New Roman" w:eastAsia="仿宋" w:cs="Times New Roman"/>
          <w:color w:val="auto"/>
          <w:kern w:val="0"/>
          <w:sz w:val="24"/>
          <w:szCs w:val="24"/>
          <w:highlight w:val="none"/>
          <w:lang w:val="en-US" w:eastAsia="zh-CN" w:bidi="ar-SA"/>
        </w:rPr>
        <w:t>主要有各水道等及沿线的河涌支流等量。根据历月的南沙区水环境质量状况报告，项目区附近各水道水环境质量水质类别为Ⅱ～Ⅲ类，水质良好。</w:t>
      </w:r>
    </w:p>
    <w:p w14:paraId="39A4CC9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另根据《广州市南沙区2022年水资源公报》，2022年南沙区年降水量1707.6mm，比2021年增加了26.5%，比多年平均增加了10.4%，属偏丰水年。水资源总量54273万m3，比2021年增加25.3%，比多年平均值增加22.0%，其中地表水资源量为51766万m3，地下水资源量9346万m3。</w:t>
      </w:r>
    </w:p>
    <w:p w14:paraId="2A01C19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2022年南沙区总用水量125926万m3（含火电用水80721万m3，其余用水量45205万m3），与2021年相比减少0.7%。从水源结构上来看，为地表水源供水124538万m3为主，其他水源供水1388万m3。按用水结构统计，农业用水23704万m3；工业用水90460万m3（含火电用水80721万m3）；城镇公共用水358万m3；居民生活用水6327万m3；生态环境用水1077万m3。</w:t>
      </w:r>
    </w:p>
    <w:p w14:paraId="2FF3292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2022年南沙区人均用水量1354.9m3（含火电用水），万元GDP用水量20.45m3万元工业增加值用水量12.91m3，农田灌溉亩均用水量774.8m3，城乡居民生活用水量186.5L/人·d。</w:t>
      </w:r>
    </w:p>
    <w:p w14:paraId="4583F87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仿宋"/>
          <w:sz w:val="24"/>
          <w:szCs w:val="24"/>
          <w:lang w:val="en-US" w:eastAsia="zh-CN"/>
        </w:rPr>
      </w:pPr>
      <w:r>
        <w:rPr>
          <w:rFonts w:hint="eastAsia" w:ascii="Times New Roman" w:hAnsi="Times New Roman" w:eastAsia="仿宋" w:cs="Times New Roman"/>
          <w:color w:val="auto"/>
          <w:kern w:val="0"/>
          <w:sz w:val="24"/>
          <w:szCs w:val="24"/>
          <w:highlight w:val="none"/>
          <w:lang w:val="en-US" w:eastAsia="zh-CN" w:bidi="ar-SA"/>
        </w:rPr>
        <w:t>2022年南沙区最严格水资源管理制度考核主要指标：用水总量、万元GDP用水量和万元工业增加值用水量的实际值分别为4.61亿m3、20.45m3、12.91m3。</w:t>
      </w:r>
    </w:p>
    <w:p w14:paraId="7D65735B">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1.3.4 </w:t>
      </w:r>
      <w:r>
        <w:rPr>
          <w:rFonts w:hint="eastAsia" w:ascii="Times New Roman" w:hAnsi="Times New Roman" w:eastAsia="仿宋" w:cs="Times New Roman"/>
          <w:color w:val="auto"/>
          <w:sz w:val="28"/>
          <w:szCs w:val="28"/>
          <w:highlight w:val="none"/>
          <w:lang w:val="en-US" w:eastAsia="zh-CN"/>
        </w:rPr>
        <w:t>气象</w:t>
      </w:r>
    </w:p>
    <w:p w14:paraId="0CCAFEE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项目建设区域属于南亚热带季风性海洋气候，温暖、多雨、湿润，夏长冬短，平均气温22.6℃，最冷月平均气温14.3℃（1月），最热月平均气温28.9℃（7月），历年极端最高气温37.2℃（2016年7月9日），极端最低气温2.2℃（2016年1月24日）。雨量充沛，分布不均，雨量相对集中在汛期，年平均雨量1673.1mm，其中4～9月降雨量1354.9mm，占全年降水量的81%。年平均相对湿度为77%，最小相对湿度9%。全年日照1651.7h，年平均风速为2.1m/s，最多风向东南偏南风。年蒸发量为1670.8mm，年雷暴日数72.2d。夏秋常有热带气旋影响，平均每年约有3～4个。</w:t>
      </w:r>
    </w:p>
    <w:p w14:paraId="1051E6B6">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1.3.5 </w:t>
      </w:r>
      <w:r>
        <w:rPr>
          <w:rFonts w:hint="eastAsia" w:ascii="Times New Roman" w:hAnsi="Times New Roman" w:eastAsia="仿宋" w:cs="Times New Roman"/>
          <w:color w:val="auto"/>
          <w:sz w:val="28"/>
          <w:szCs w:val="28"/>
          <w:highlight w:val="none"/>
          <w:lang w:val="en-US" w:eastAsia="zh-CN"/>
        </w:rPr>
        <w:t>水文地质</w:t>
      </w:r>
    </w:p>
    <w:p w14:paraId="45A6BBE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项目区地质属第四系现代冲积层。地下水主要为第四系松散孔隙水，圆砾层中地下水除大气降水补给外，还受径流影响，其直接影响着地下水的补给和排泄，基岩含风化孔隙水，含水层微弱。</w:t>
      </w:r>
    </w:p>
    <w:p w14:paraId="337A56D2">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1.3.6 </w:t>
      </w:r>
      <w:r>
        <w:rPr>
          <w:rFonts w:hint="eastAsia" w:ascii="Times New Roman" w:hAnsi="Times New Roman" w:eastAsia="仿宋" w:cs="Times New Roman"/>
          <w:color w:val="auto"/>
          <w:sz w:val="28"/>
          <w:szCs w:val="28"/>
          <w:highlight w:val="none"/>
          <w:lang w:val="en-US" w:eastAsia="zh-CN"/>
        </w:rPr>
        <w:t>工程地质</w:t>
      </w:r>
    </w:p>
    <w:p w14:paraId="40931C9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根据既往工程钻探揭露、野外地质观察、现场原位测试显示，项目区揭露的岩土层按时代、成因和物质组成划分为：第四纪人工填土层（Qml）、河流相冲洪积层（Qal+pl）、残积层（Qel）及侏罗纪泥岩系（J）、震旦纪岩片麻岩系（Z）。项目区位于广东省珠江三角洲地区，地处东南沿海地震带地震相对活跃的中段。根据《中国地震动参数区划图》（GB18306-2015），本区地震峰值加速度为0.05g，相应地震基本烈度为Ⅵ度。</w:t>
      </w:r>
    </w:p>
    <w:p w14:paraId="37FFAFD3">
      <w:pPr>
        <w:rPr>
          <w:rFonts w:hint="eastAsia" w:ascii="Times New Roman" w:hAnsi="Times New Roman" w:eastAsia="仿宋"/>
          <w:lang w:val="zh-CN" w:eastAsia="zh-CN"/>
        </w:rPr>
      </w:pPr>
      <w:r>
        <w:rPr>
          <w:rFonts w:hint="eastAsia" w:ascii="Times New Roman" w:hAnsi="Times New Roman" w:eastAsia="仿宋"/>
          <w:lang w:val="zh-CN" w:eastAsia="zh-CN"/>
        </w:rPr>
        <w:br w:type="page"/>
      </w:r>
    </w:p>
    <w:p w14:paraId="25A6EE48">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4</w:t>
      </w:r>
      <w:r>
        <w:rPr>
          <w:rFonts w:hint="eastAsia" w:ascii="Times New Roman" w:hAnsi="Times New Roman" w:eastAsia="仿宋" w:cs="Times New Roman"/>
          <w:b/>
          <w:color w:val="auto"/>
          <w:kern w:val="2"/>
          <w:sz w:val="28"/>
          <w:szCs w:val="28"/>
          <w:lang w:val="zh-CN" w:eastAsia="zh-CN" w:bidi="ar-SA"/>
        </w:rPr>
        <w:t xml:space="preserve"> </w:t>
      </w:r>
      <w:r>
        <w:rPr>
          <w:rFonts w:hint="eastAsia" w:ascii="Times New Roman" w:hAnsi="Times New Roman" w:eastAsia="仿宋" w:cs="Times New Roman"/>
          <w:color w:val="auto"/>
          <w:sz w:val="28"/>
          <w:szCs w:val="28"/>
          <w:highlight w:val="none"/>
          <w:lang w:val="zh-CN" w:eastAsia="zh-CN"/>
        </w:rPr>
        <w:t>社会经济状况</w:t>
      </w:r>
    </w:p>
    <w:p w14:paraId="4FF027B0">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4</w:t>
      </w:r>
      <w:r>
        <w:rPr>
          <w:rFonts w:hint="eastAsia" w:ascii="Times New Roman" w:hAnsi="Times New Roman" w:eastAsia="仿宋" w:cs="Times New Roman"/>
          <w:b/>
          <w:color w:val="auto"/>
          <w:kern w:val="2"/>
          <w:sz w:val="28"/>
          <w:szCs w:val="28"/>
          <w:lang w:val="zh-CN" w:eastAsia="zh-CN" w:bidi="ar-SA"/>
        </w:rPr>
        <w:t xml:space="preserve">.1 </w:t>
      </w:r>
      <w:r>
        <w:rPr>
          <w:rFonts w:hint="eastAsia" w:ascii="Times New Roman" w:hAnsi="Times New Roman" w:eastAsia="仿宋" w:cs="Times New Roman"/>
          <w:color w:val="auto"/>
          <w:sz w:val="28"/>
          <w:szCs w:val="28"/>
          <w:highlight w:val="none"/>
          <w:lang w:val="zh-CN" w:eastAsia="zh-CN"/>
        </w:rPr>
        <w:t>城市性质</w:t>
      </w:r>
    </w:p>
    <w:p w14:paraId="38366DB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大岗镇位于东经113°21'03.59"-113°29'13.20"，北纬22°44'22.20"-22°51'00.36"。东与东涌镇毗邻</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南临上横沥水道，与横沥镇隔水相望</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西濒洪奇沥，与中山市黄圃镇一水之隔</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北与佛山市顺德区大良镇和南沙区榄核镇接壤。珠江流域八大出海口中，有蕉门水道、洪奇沥水道流经镇域。</w:t>
      </w:r>
    </w:p>
    <w:p w14:paraId="653693E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“大岗”之名由来已久</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《番禺县镇村志》载</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“民国《香山县志续编》将'大冈’载入奥地图。追本溯源，应与先民在山顶定居以采石为生，开采之石称'大冈红’有关，后写成'大岗’。”</w:t>
      </w:r>
    </w:p>
    <w:p w14:paraId="4109F4B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大岗原属潭洲地域，隶属番禺县管辖，南宋绍兴二十二年</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1152</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设置香山县</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今中山市</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，大岗从番禺县划归香山县管辖。1957年7月18日，大岗镇划归番禺县管辖。2012年12月1日，大岗镇从番禺区划属南沙区。</w:t>
      </w:r>
    </w:p>
    <w:p w14:paraId="0DC1419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大岗镇总面积90.07km2，规划城区面积24km2，已建成城区面积14.3km2。2015年，户籍人口8.01万人，外来人口5.61万人。下辖25个行政村、6个社区。是联合国开发计划署试点城镇、全国发展改革试点小城镇、广东省首批宜居示范城镇、广东省中心镇、广东省卫生镇和广东省教育强镇。</w:t>
      </w:r>
    </w:p>
    <w:p w14:paraId="47A38209">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4</w:t>
      </w:r>
      <w:r>
        <w:rPr>
          <w:rFonts w:hint="eastAsia" w:ascii="Times New Roman" w:hAnsi="Times New Roman" w:eastAsia="仿宋" w:cs="Times New Roman"/>
          <w:b/>
          <w:color w:val="auto"/>
          <w:kern w:val="2"/>
          <w:sz w:val="28"/>
          <w:szCs w:val="28"/>
          <w:lang w:val="zh-CN" w:eastAsia="zh-CN" w:bidi="ar-SA"/>
        </w:rPr>
        <w:t xml:space="preserve">.2 </w:t>
      </w:r>
      <w:r>
        <w:rPr>
          <w:rFonts w:hint="eastAsia" w:ascii="Times New Roman" w:hAnsi="Times New Roman" w:eastAsia="仿宋" w:cs="Times New Roman"/>
          <w:color w:val="auto"/>
          <w:sz w:val="28"/>
          <w:szCs w:val="28"/>
          <w:highlight w:val="none"/>
          <w:lang w:val="zh-CN" w:eastAsia="zh-CN"/>
        </w:rPr>
        <w:t>行政区划</w:t>
      </w:r>
    </w:p>
    <w:p w14:paraId="3FDE695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大岗镇辖6个社区、25个行政村、1个生活区：</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"https://baike.baidu.com/item/%E8%B1%AA%E5%B2%97%E7%A4%BE%E5%8C%BA/5024566?fromModule=lemma_inlink"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豪岗社区</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"https://baike.baidu.com/item/%E4%BA%8C%E6%B9%BE%E7%A4%BE%E5%8C%BA/5447032?fromModule=lemma_inlink"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二湾社区</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"https://baike.baidu.com/item/%E9%95%87%E5%8D%97%E7%A4%BE%E5%8C%BA/61692791?fromModule=lemma_inlink"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镇南社区</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"https://baike.baidu.com/item/%E6%BD%AD%E6%B4%B2%E7%A4%BE%E5%8C%BA/61692792?fromModule=lemma_inlink"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潭洲社区</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"https://baike.baidu.com/item/%E7%81%B5%E5%B1%B1%E7%A4%BE%E5%8C%BA/61692796?fromModule=lemma_inlink"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灵山社区</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"https://baike.baidu.com/item/%E6%B1%9F%E6%BB%98%E7%A4%BE%E5%8C%BA/61692804?fromModule=lemma_inlink"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江滘社区</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"https://baike.baidu.com/item/%E5%AE%A2%E5%AE%B6%E6%9D%91/2177032?fromModule=lemma_inlink"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客家村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"https://baike.baidu.com/item/%E4%B8%9C%E6%B5%81%E6%9D%91/47831?fromModule=lemma_inlink"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东流村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"https://baike.baidu.com/item/%E6%96%B0%E8%81%94%E4%BA%8C%E6%9D%91/6723427?fromModule=lemma_inlink"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新联二村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"https://baike.baidu.com/item/%E6%96%B0%E8%81%94%E4%B8%80%E6%9D%91/6723315?fromModule=lemma_inlink"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新联一村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"https://baike.baidu.com/item/%E5%8D%97%E9%A1%BA%E4%BA%8C%E6%9D%91/2176884?fromModule=lemma_inlink"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南顺二村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"https://baike.baidu.com/item/%E5%8D%97%E9%A1%BA%E4%B8%80%E6%9D%91/6722094?fromModule=lemma_inlink"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南顺一村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"https://baike.baidu.com/item/%E4%B8%9C%E9%9A%86%E6%9D%91/6722172?fromModule=lemma_inlink"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东隆村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"https://baike.baidu.com/item/%E4%B8%AD%E5%9F%A0%E6%9D%91/45989?fromModule=lemma_inlink"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中埠村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"https://baike.baidu.com/item/%E5%A4%A7%E5%B2%97%E6%9D%91/5349276?fromModule=lemma_inlink"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大岗村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"https://baike.baidu.com/item/%E5%8C%97%E6%B5%81%E6%9D%91/38093?fromModule=lemma_inlink"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北流村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"https://baike.baidu.com/item/%E5%B2%AD%E4%B8%9C%E6%9D%91/55046?fromModule=lemma_inlink"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岭东村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"https://baike.baidu.com/item/%E9%A9%AC%E5%89%8D%E6%9D%91/6723037?fromModule=lemma_inlink"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马前村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"https://baike.baidu.com/item/%E9%BE%99%E5%8F%A4%E6%9D%91/6722938?fromModule=lemma_inlink"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龙古村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"https://baike.baidu.com/item/%E9%B8%AD%E5%88%A9%E6%9D%91/6722638?fromModule=lemma_inlink"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鸭利村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"https://baike.baidu.com/item/%E7%BB%B4%E6%AF%93%E6%9D%91/6722668?fromModule=lemma_inlink"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维毓村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"https://baike.baidu.com/item/%E6%96%B0%E5%9B%B4%E6%9D%91/16553480?fromModule=lemma_inlink"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新围村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"https://baike.baidu.com/item/%E5%A2%9E%E6%B2%99%E6%9D%91/6723050?fromModule=lemma_inlink"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增沙村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"https://baike.baidu.com/item/%E6%94%BE%E9%A9%AC%E6%9D%91/45990?fromModule=lemma_inlink"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放马村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"https://baike.baidu.com/item/%E4%B8%8A%E6%9D%91%E6%9D%91/16558644?fromModule=lemma_inlink"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上村村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"https://baike.baidu.com/item/%E5%8D%97%E6%9D%91%E5%9D%8A%E6%9D%91/16559583?fromModule=lemma_inlink"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南村坊村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"https://baike.baidu.com/item/%E7%81%B5%E5%B1%B1%E6%9D%91/12130?fromModule=lemma_inlink"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灵山村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"https://baike.baidu.com/item/%E5%BA%99%E8%B4%9D%E6%9D%91/6721733?fromModule=lemma_inlink"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庙贝村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"https://baike.baidu.com/item/%E5%BA%99%E9%9D%92%E6%9D%91/6721796?fromModule=lemma_inlink"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庙青村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"https://baike.baidu.com/item/%E6%96%B0%E6%B2%99%E6%9D%91/6721579?fromModule=lemma_inlink"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新沙村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fldChar w:fldCharType="begin"/>
      </w:r>
      <w:r>
        <w:rPr>
          <w:rFonts w:hint="eastAsia" w:ascii="Times New Roman" w:hAnsi="Times New Roman" w:eastAsia="仿宋" w:cs="Times New Roman"/>
          <w:color w:val="auto"/>
          <w:kern w:val="0"/>
          <w:sz w:val="24"/>
          <w:szCs w:val="24"/>
          <w:highlight w:val="none"/>
          <w:lang w:val="en-US" w:eastAsia="zh-CN" w:bidi="ar-SA"/>
        </w:rPr>
        <w:instrText xml:space="preserve"> HYPERLINK "https://baike.baidu.com/item/%E9%AB%98%E6%B2%99%E6%9D%91/6721439?fromModule=lemma_inlink" \t "https://baike.baidu.com/item/%E5%A4%A7%E5%B2%97%E9%95%87/_blank" </w:instrText>
      </w:r>
      <w:r>
        <w:rPr>
          <w:rFonts w:hint="eastAsia" w:ascii="Times New Roman" w:hAnsi="Times New Roman" w:eastAsia="仿宋" w:cs="Times New Roman"/>
          <w:color w:val="auto"/>
          <w:kern w:val="0"/>
          <w:sz w:val="24"/>
          <w:szCs w:val="24"/>
          <w:highlight w:val="none"/>
          <w:lang w:val="en-US" w:eastAsia="zh-CN" w:bidi="ar-SA"/>
        </w:rPr>
        <w:fldChar w:fldCharType="separate"/>
      </w:r>
      <w:r>
        <w:rPr>
          <w:rFonts w:hint="eastAsia" w:ascii="Times New Roman" w:hAnsi="Times New Roman" w:eastAsia="仿宋" w:cs="Times New Roman"/>
          <w:color w:val="auto"/>
          <w:kern w:val="0"/>
          <w:sz w:val="24"/>
          <w:szCs w:val="24"/>
          <w:highlight w:val="none"/>
          <w:lang w:val="en-US" w:eastAsia="zh-CN" w:bidi="ar-SA"/>
        </w:rPr>
        <w:t>高沙村</w:t>
      </w:r>
      <w:r>
        <w:rPr>
          <w:rFonts w:hint="eastAsia" w:ascii="Times New Roman" w:hAnsi="Times New Roman" w:eastAsia="仿宋" w:cs="Times New Roman"/>
          <w:color w:val="auto"/>
          <w:kern w:val="0"/>
          <w:sz w:val="24"/>
          <w:szCs w:val="24"/>
          <w:highlight w:val="none"/>
          <w:lang w:val="en-US" w:eastAsia="zh-CN" w:bidi="ar-SA"/>
        </w:rPr>
        <w:fldChar w:fldCharType="end"/>
      </w:r>
      <w:r>
        <w:rPr>
          <w:rFonts w:hint="eastAsia" w:ascii="Times New Roman" w:hAnsi="Times New Roman" w:eastAsia="仿宋" w:cs="Times New Roman"/>
          <w:color w:val="auto"/>
          <w:kern w:val="0"/>
          <w:sz w:val="24"/>
          <w:szCs w:val="24"/>
          <w:highlight w:val="none"/>
          <w:lang w:val="en-US" w:eastAsia="zh-CN" w:bidi="ar-SA"/>
        </w:rPr>
        <w:t>、圭沙岛生活区，镇人民政府驻豪岗大道13号。</w:t>
      </w:r>
    </w:p>
    <w:p w14:paraId="5CBDB3D0">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4</w:t>
      </w:r>
      <w:r>
        <w:rPr>
          <w:rFonts w:hint="eastAsia" w:ascii="Times New Roman" w:hAnsi="Times New Roman" w:eastAsia="仿宋" w:cs="Times New Roman"/>
          <w:b/>
          <w:color w:val="auto"/>
          <w:kern w:val="2"/>
          <w:sz w:val="28"/>
          <w:szCs w:val="28"/>
          <w:lang w:val="zh-CN" w:eastAsia="zh-CN" w:bidi="ar-SA"/>
        </w:rPr>
        <w:t xml:space="preserve">.3 </w:t>
      </w:r>
      <w:r>
        <w:rPr>
          <w:rFonts w:hint="eastAsia" w:ascii="Times New Roman" w:hAnsi="Times New Roman" w:eastAsia="仿宋" w:cs="Times New Roman"/>
          <w:color w:val="auto"/>
          <w:sz w:val="28"/>
          <w:szCs w:val="28"/>
          <w:highlight w:val="none"/>
          <w:lang w:val="zh-CN" w:eastAsia="zh-CN"/>
        </w:rPr>
        <w:t>农村人口分布与密度</w:t>
      </w:r>
    </w:p>
    <w:p w14:paraId="27980EC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大岗有史以来的两百多年间，人口变化体现为缓慢增长的特征。日本侵略广州沦陷时期因大岗偏安一隅，周围乡民纷纷来此避难，人口剧增。1941年，鼎盛期约6000人。抗战胜利后，外来人口迁出，呈负增长。1949年减至不足5000人。</w:t>
      </w:r>
    </w:p>
    <w:p w14:paraId="5467E2C7">
      <w:pPr>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br w:type="page"/>
      </w:r>
    </w:p>
    <w:p w14:paraId="1FF7A5C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中华人民共和国成立初，大岗镇经济复苏，人口急增，1953年已有9145人。其后10年人口增长势头放缓。1960年，又将原水上派出所管辖的水运联社、渔业队约2100人划出，至1964年人口为9588人。20世纪70年代初，因动员知青上山下乡，1972年减至9106人。20世纪80年代初，知青回城、人口复增，1982年为12217人。</w:t>
      </w:r>
    </w:p>
    <w:p w14:paraId="237F822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改革开放后，大岗镇经济发展迅速，人口增加较多、较快，除自然增长外，主要是外来人口增多。根据人口普查数据显示，1990</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2000年人口增长94.34%。</w:t>
      </w:r>
    </w:p>
    <w:p w14:paraId="74E315E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2000</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2010年，人口增长幅度大，原因主要是因为三镇合并。2002年3月，大岗镇与潭洲镇合并，大岗镇总人口从2001年的30621人增至2002年的100107人</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其中户籍人口54688人</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。2006年1月，原灵山镇的5个村和2个社区并</w:t>
      </w:r>
      <w:r>
        <w:rPr>
          <w:rFonts w:hint="eastAsia" w:eastAsia="仿宋" w:cs="Times New Roman"/>
          <w:color w:val="auto"/>
          <w:kern w:val="0"/>
          <w:sz w:val="24"/>
          <w:szCs w:val="24"/>
          <w:highlight w:val="none"/>
          <w:lang w:val="en-US" w:eastAsia="zh-CN" w:bidi="ar-SA"/>
        </w:rPr>
        <w:t>入</w:t>
      </w:r>
      <w:r>
        <w:rPr>
          <w:rFonts w:hint="eastAsia" w:ascii="Times New Roman" w:hAnsi="Times New Roman" w:eastAsia="仿宋" w:cs="Times New Roman"/>
          <w:color w:val="auto"/>
          <w:kern w:val="0"/>
          <w:sz w:val="24"/>
          <w:szCs w:val="24"/>
          <w:highlight w:val="none"/>
          <w:lang w:val="zh-CN" w:eastAsia="zh-CN" w:bidi="ar-SA"/>
        </w:rPr>
        <w:t>大岗镇，大岗镇总人口从2005年约10万人增至2006年约13万人。</w:t>
      </w:r>
    </w:p>
    <w:p w14:paraId="5E4F2BD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2015年末，大岗常住人口109421人，户籍人口80643人，流动人口42987人。是年，全镇出生人口819人，出生率10.18%，死亡人口553人，死亡率6.87%；自然增长率3.30%。据第三、第四、第五次全国人口普查数据显示，大岗、潭洲、灵山三镇的人口密度都在不断增加。第六次人口普查为三镇合一的数据，总的人口密度也是在增加。至2015年，大岗镇镇域面积90.07平方千米，户籍人口8.06万人，常住人口10.94万人。按户籍人口计算，人口密度为895.34人/平方千米</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按常住人口计算，人口密度为1214.84人/平方千米。</w:t>
      </w:r>
    </w:p>
    <w:p w14:paraId="00ABB02A">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4</w:t>
      </w:r>
      <w:r>
        <w:rPr>
          <w:rFonts w:hint="eastAsia" w:ascii="Times New Roman" w:hAnsi="Times New Roman" w:eastAsia="仿宋" w:cs="Times New Roman"/>
          <w:b/>
          <w:color w:val="auto"/>
          <w:kern w:val="2"/>
          <w:sz w:val="28"/>
          <w:szCs w:val="28"/>
          <w:lang w:val="zh-CN" w:eastAsia="zh-CN" w:bidi="ar-SA"/>
        </w:rPr>
        <w:t xml:space="preserve">.4 </w:t>
      </w:r>
      <w:r>
        <w:rPr>
          <w:rFonts w:hint="eastAsia" w:ascii="Times New Roman" w:hAnsi="Times New Roman" w:eastAsia="仿宋" w:cs="Times New Roman"/>
          <w:color w:val="auto"/>
          <w:sz w:val="28"/>
          <w:szCs w:val="28"/>
          <w:highlight w:val="none"/>
          <w:lang w:val="zh-CN" w:eastAsia="zh-CN"/>
        </w:rPr>
        <w:t>产业类型</w:t>
      </w:r>
    </w:p>
    <w:p w14:paraId="3CA5F3E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大岗镇土壤肥沃、河涌稠密、气候温和、雨量充沛，适合农渔业发展，素有“鱼米之乡之称。从明代中叶开始，附近各县农民陆续迁入开发垦殖，从事农业或渔业生产，采石业也颇具规模。随着农业、渔业的发展，手工业、商业日渐兴旺，形成集镇，辐射周边地区。清道光二十年</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1840</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后，商业发展迅速。抗日战争时期，大岗沦陷，因地处番、香山、顺德三县边缘，为“三不管”地区，走私活动猖獗，匪患严重，经济发展畸形，不仅茶楼、戏院等纷纷设立，赌档、烟馆等也相继开设。</w:t>
      </w:r>
    </w:p>
    <w:p w14:paraId="2523A25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中华人民共和国成立后，人民政府清除匪患，肃清黄赌毒，进行资本主义工商业社会主义改造，建立人民公社，发展地方经济。这一时期，一方面种植业、养殖业等相关产业发展较快，种植业以水稻等粮食作物为主，甘蔗等经济作物为辅</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另一方面，经济生产偏重农业，但农产品较为单一，第二、第三产业发展相对缓慢，生产效率低下1978年中共十一届三中全会后，大岗地区大力发展镇村经济，通过招商引资，开展“三来一补”</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来料加工、来样加工、来件装配和补偿贸易</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相继设立一批工业园区，以加快工业发展步伐，使工业取代农业逐步成为经济的主体。产业结构方面，造船、零部件加工、制衣、家具等工业门类较齐全，第三产业发展迅速，大型商场、酒店、公园相继落成，市场繁荣，人民生活水平不断提高。</w:t>
      </w:r>
    </w:p>
    <w:p w14:paraId="4D39D7C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4</w:t>
      </w:r>
      <w:r>
        <w:rPr>
          <w:rFonts w:hint="eastAsia" w:ascii="Times New Roman" w:hAnsi="Times New Roman" w:eastAsia="仿宋" w:cs="Times New Roman"/>
          <w:b/>
          <w:color w:val="auto"/>
          <w:kern w:val="2"/>
          <w:sz w:val="28"/>
          <w:szCs w:val="28"/>
          <w:lang w:val="zh-CN" w:eastAsia="zh-CN" w:bidi="ar-SA"/>
        </w:rPr>
        <w:t xml:space="preserve">.5 </w:t>
      </w:r>
      <w:r>
        <w:rPr>
          <w:rFonts w:hint="eastAsia" w:ascii="Times New Roman" w:hAnsi="Times New Roman" w:eastAsia="仿宋" w:cs="Times New Roman"/>
          <w:color w:val="auto"/>
          <w:sz w:val="28"/>
          <w:szCs w:val="28"/>
          <w:highlight w:val="none"/>
          <w:lang w:val="zh-CN" w:eastAsia="zh-CN"/>
        </w:rPr>
        <w:t>社会经济概况</w:t>
      </w:r>
    </w:p>
    <w:p w14:paraId="7381510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2008年，总投资270亿元的中船基地落户大岗，计划建设成世界一流的大型装备产业基地。2002</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2011年，大岗镇的地区生产总值从11.74亿元增至66亿元。至2015年，大岗镇实现农业总产值14.13亿元</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工业总产值187.65亿元，其中规模以上工业总产值169.00亿元</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固定资产投资总额6.03亿元</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限额以上住宿餐饮业营业额2.4亿元。</w:t>
      </w:r>
    </w:p>
    <w:p w14:paraId="6C56F72F">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5</w:t>
      </w:r>
      <w:r>
        <w:rPr>
          <w:rFonts w:hint="eastAsia" w:ascii="Times New Roman" w:hAnsi="Times New Roman" w:eastAsia="仿宋" w:cs="Times New Roman"/>
          <w:b/>
          <w:color w:val="auto"/>
          <w:kern w:val="2"/>
          <w:sz w:val="28"/>
          <w:szCs w:val="28"/>
          <w:lang w:val="zh-CN" w:eastAsia="zh-CN" w:bidi="ar-SA"/>
        </w:rPr>
        <w:t xml:space="preserve"> </w:t>
      </w:r>
      <w:r>
        <w:rPr>
          <w:rFonts w:hint="eastAsia" w:ascii="Times New Roman" w:hAnsi="Times New Roman" w:eastAsia="仿宋" w:cs="Times New Roman"/>
          <w:color w:val="auto"/>
          <w:sz w:val="28"/>
          <w:szCs w:val="28"/>
          <w:highlight w:val="none"/>
          <w:lang w:val="zh-CN" w:eastAsia="zh-CN"/>
        </w:rPr>
        <w:t>人居环境现状</w:t>
      </w:r>
    </w:p>
    <w:p w14:paraId="0668A2C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大岗镇党委坚持“镇委统筹+部门推动+党群互动”的总体思路，高站位推进乡村绿化行动，将绿美生态建设、乡村绿化工作纳入全年工作重点，与“百千万工程”、抓党建促乡村振兴、农村人居环境整治等工作一体推进。结合各村（社区）实际情况和群众意愿，因地制宜、分类施策，指导各村（社区）党组织制定“一图一表”，明确乡村绿化“任务书”“时间表”。</w:t>
      </w:r>
    </w:p>
    <w:p w14:paraId="516E7E7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31个村（社区）党组织驻点领导联同“两委”干部进网格、入家庭、到田间，打出“政策宣讲、座谈倡议、点亮心愿”线上线下宣传动员组合拳，开展“绿美大岗党群同行”等植树添绿主题活动123多场次，示范带动党员、青年、巾帼、村民志愿者等1923人次参与义务植树、卫生整洁活动、认种认养行动，使8597株铁冬青、山杜英、土沉香等新种植的苗木在大岗乡道、街道、河道、园区昂扬吐翠，有效推动大地植绿、心中播绿、全民享绿成为大岗新风尚。</w:t>
      </w:r>
    </w:p>
    <w:p w14:paraId="7752948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充分调动社会各界力量参与乡村绿化建设的积极性，共计筹集“大党委”企业共建单位、党员群众、乡贤能人捐资超百万元、捐苗超300株。召开“百企兴百村”助力乡村振兴工作会议暨乡村绿化捐赠仪式，组织2家企业与3条乡村在绿化建设方面开展结对共建，所筹集到的企业捐赠资金定向用于结对乡村的植树造林、景观打造、古树养护等绿化工作，凝聚企业力量助力“百千万工程”。</w:t>
      </w:r>
    </w:p>
    <w:p w14:paraId="2F9960E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zh-CN" w:eastAsia="zh-CN" w:bidi="ar-SA"/>
        </w:rPr>
        <w:t>除了全镇整片推进绿化行动，大岗镇还注重以示范“带”动，结合“百千万工程”，成立了两个建在“多彩高新沙”和“富美东南田园”新乡村示范带的联合党委，联合党委以新乡村示范带建设为主轴，推动基层党建和乡村绿化、基层治理、乡村振兴深度融合，共立项并推进绿道建设、观赏亭打造、“四小园”升级等民生</w:t>
      </w:r>
      <w:r>
        <w:rPr>
          <w:rFonts w:hint="eastAsia" w:eastAsia="仿宋" w:cs="Times New Roman"/>
          <w:color w:val="auto"/>
          <w:kern w:val="0"/>
          <w:sz w:val="24"/>
          <w:szCs w:val="24"/>
          <w:highlight w:val="none"/>
          <w:lang w:val="en-US" w:eastAsia="zh-CN" w:bidi="ar-SA"/>
        </w:rPr>
        <w:t>实</w:t>
      </w:r>
      <w:r>
        <w:rPr>
          <w:rFonts w:hint="eastAsia" w:ascii="Times New Roman" w:hAnsi="Times New Roman" w:eastAsia="仿宋" w:cs="Times New Roman"/>
          <w:color w:val="auto"/>
          <w:kern w:val="0"/>
          <w:sz w:val="24"/>
          <w:szCs w:val="24"/>
          <w:highlight w:val="none"/>
          <w:lang w:val="zh-CN" w:eastAsia="zh-CN" w:bidi="ar-SA"/>
        </w:rPr>
        <w:t>事项目110余个，以点带面催化乡村之美。</w:t>
      </w:r>
    </w:p>
    <w:p w14:paraId="4C9AAD2D">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5</w:t>
      </w:r>
      <w:r>
        <w:rPr>
          <w:rFonts w:hint="eastAsia" w:ascii="Times New Roman" w:hAnsi="Times New Roman" w:eastAsia="仿宋" w:cs="Times New Roman"/>
          <w:b/>
          <w:color w:val="auto"/>
          <w:kern w:val="2"/>
          <w:sz w:val="28"/>
          <w:szCs w:val="28"/>
          <w:lang w:val="zh-CN" w:eastAsia="zh-CN" w:bidi="ar-SA"/>
        </w:rPr>
        <w:t xml:space="preserve">.1 </w:t>
      </w:r>
      <w:r>
        <w:rPr>
          <w:rFonts w:hint="eastAsia" w:ascii="Times New Roman" w:hAnsi="Times New Roman" w:eastAsia="仿宋" w:cs="Times New Roman"/>
          <w:color w:val="auto"/>
          <w:sz w:val="28"/>
          <w:szCs w:val="28"/>
          <w:highlight w:val="none"/>
          <w:lang w:val="zh-CN" w:eastAsia="zh-CN"/>
        </w:rPr>
        <w:t>现状分析</w:t>
      </w:r>
    </w:p>
    <w:p w14:paraId="6646571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1、</w:t>
      </w:r>
      <w:r>
        <w:rPr>
          <w:rFonts w:hint="eastAsia" w:ascii="Times New Roman" w:hAnsi="Times New Roman" w:eastAsia="仿宋" w:cs="Times New Roman"/>
          <w:color w:val="auto"/>
          <w:kern w:val="0"/>
          <w:sz w:val="24"/>
          <w:szCs w:val="24"/>
          <w:highlight w:val="none"/>
          <w:lang w:val="zh-CN" w:eastAsia="zh-CN" w:bidi="ar-SA"/>
        </w:rPr>
        <w:t>优化整治农村空间布局。</w:t>
      </w:r>
      <w:r>
        <w:rPr>
          <w:rFonts w:hint="eastAsia" w:ascii="Times New Roman" w:hAnsi="Times New Roman" w:eastAsia="仿宋" w:cs="Times New Roman"/>
          <w:color w:val="auto"/>
          <w:kern w:val="0"/>
          <w:sz w:val="24"/>
          <w:szCs w:val="24"/>
          <w:highlight w:val="none"/>
          <w:lang w:val="en-US" w:eastAsia="zh-CN" w:bidi="ar-SA"/>
        </w:rPr>
        <w:t>南沙区</w:t>
      </w:r>
      <w:r>
        <w:rPr>
          <w:rFonts w:hint="eastAsia" w:ascii="Times New Roman" w:hAnsi="Times New Roman" w:eastAsia="仿宋" w:cs="Times New Roman"/>
          <w:color w:val="auto"/>
          <w:kern w:val="0"/>
          <w:sz w:val="24"/>
          <w:szCs w:val="24"/>
          <w:highlight w:val="none"/>
          <w:lang w:val="zh-CN" w:eastAsia="zh-CN" w:bidi="ar-SA"/>
        </w:rPr>
        <w:t>通过整治农村建筑、规范三线布局、绿化美化等手段，提升农村的美观程度；完善农村供水、供电、</w:t>
      </w:r>
      <w:r>
        <w:rPr>
          <w:rFonts w:hint="eastAsia" w:eastAsia="仿宋" w:cs="Times New Roman"/>
          <w:color w:val="auto"/>
          <w:kern w:val="0"/>
          <w:sz w:val="24"/>
          <w:szCs w:val="24"/>
          <w:highlight w:val="none"/>
          <w:lang w:val="zh-CN" w:eastAsia="zh-CN" w:bidi="ar-SA"/>
        </w:rPr>
        <w:t>通信等</w:t>
      </w:r>
      <w:r>
        <w:rPr>
          <w:rFonts w:hint="eastAsia" w:ascii="Times New Roman" w:hAnsi="Times New Roman" w:eastAsia="仿宋" w:cs="Times New Roman"/>
          <w:color w:val="auto"/>
          <w:kern w:val="0"/>
          <w:sz w:val="24"/>
          <w:szCs w:val="24"/>
          <w:highlight w:val="none"/>
          <w:lang w:val="zh-CN" w:eastAsia="zh-CN" w:bidi="ar-SA"/>
        </w:rPr>
        <w:t>基础设施，解决农村水、电、通信等问题，提高农民生活的便利性和舒适度。</w:t>
      </w:r>
      <w:r>
        <w:rPr>
          <w:rFonts w:hint="eastAsia" w:ascii="Times New Roman" w:hAnsi="Times New Roman" w:eastAsia="仿宋" w:cs="Times New Roman"/>
          <w:color w:val="auto"/>
          <w:kern w:val="0"/>
          <w:sz w:val="24"/>
          <w:szCs w:val="24"/>
          <w:highlight w:val="none"/>
          <w:lang w:val="en-US" w:eastAsia="zh-CN" w:bidi="ar-SA"/>
        </w:rPr>
        <w:t>南沙区</w:t>
      </w:r>
      <w:r>
        <w:rPr>
          <w:rFonts w:hint="eastAsia" w:ascii="Times New Roman" w:hAnsi="Times New Roman" w:eastAsia="仿宋" w:cs="Times New Roman"/>
          <w:color w:val="auto"/>
          <w:kern w:val="0"/>
          <w:sz w:val="24"/>
          <w:szCs w:val="24"/>
          <w:highlight w:val="none"/>
          <w:lang w:val="zh-CN" w:eastAsia="zh-CN" w:bidi="ar-SA"/>
        </w:rPr>
        <w:t>投入3亿元资金打造宜居宜业宜游新乡村示范带建设，建成农村“小公园”“微景观”等857处。供水、供电、光纤、5G网络通讯达到辖区100%全覆盖。</w:t>
      </w:r>
    </w:p>
    <w:p w14:paraId="0B48113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w:t>
      </w:r>
      <w:r>
        <w:rPr>
          <w:rFonts w:hint="eastAsia" w:ascii="Times New Roman" w:hAnsi="Times New Roman" w:eastAsia="仿宋" w:cs="Times New Roman"/>
          <w:color w:val="auto"/>
          <w:kern w:val="0"/>
          <w:sz w:val="24"/>
          <w:szCs w:val="24"/>
          <w:highlight w:val="none"/>
          <w:lang w:val="zh-CN" w:eastAsia="zh-CN" w:bidi="ar-SA"/>
        </w:rPr>
        <w:t>巩固提升厕所革命成果。</w:t>
      </w:r>
      <w:r>
        <w:rPr>
          <w:rFonts w:hint="eastAsia" w:ascii="Times New Roman" w:hAnsi="Times New Roman" w:eastAsia="仿宋" w:cs="Times New Roman"/>
          <w:color w:val="auto"/>
          <w:kern w:val="0"/>
          <w:sz w:val="24"/>
          <w:szCs w:val="24"/>
          <w:highlight w:val="none"/>
          <w:lang w:val="en-US" w:eastAsia="zh-CN" w:bidi="ar-SA"/>
        </w:rPr>
        <w:t>南沙区</w:t>
      </w:r>
      <w:r>
        <w:rPr>
          <w:rFonts w:hint="eastAsia" w:ascii="Times New Roman" w:hAnsi="Times New Roman" w:eastAsia="仿宋" w:cs="Times New Roman"/>
          <w:color w:val="auto"/>
          <w:kern w:val="0"/>
          <w:sz w:val="24"/>
          <w:szCs w:val="24"/>
          <w:highlight w:val="none"/>
          <w:lang w:val="zh-CN" w:eastAsia="zh-CN" w:bidi="ar-SA"/>
        </w:rPr>
        <w:t>结合农村人居环境整治</w:t>
      </w:r>
      <w:r>
        <w:rPr>
          <w:rFonts w:hint="eastAsia" w:eastAsia="仿宋" w:cs="Times New Roman"/>
          <w:color w:val="auto"/>
          <w:kern w:val="0"/>
          <w:sz w:val="24"/>
          <w:szCs w:val="24"/>
          <w:highlight w:val="none"/>
          <w:lang w:val="zh-CN" w:eastAsia="zh-CN" w:bidi="ar-SA"/>
        </w:rPr>
        <w:t>，在</w:t>
      </w:r>
      <w:r>
        <w:rPr>
          <w:rFonts w:hint="eastAsia" w:ascii="Times New Roman" w:hAnsi="Times New Roman" w:eastAsia="仿宋" w:cs="Times New Roman"/>
          <w:color w:val="auto"/>
          <w:kern w:val="0"/>
          <w:sz w:val="24"/>
          <w:szCs w:val="24"/>
          <w:highlight w:val="none"/>
          <w:lang w:val="zh-CN" w:eastAsia="zh-CN" w:bidi="ar-SA"/>
        </w:rPr>
        <w:t>美丽乡村、特色精品村、美丽圩镇、新乡村示范带建设和乡村旅游发展等方面，全力推进乡村公厕的升级提质工程，对乡村公厕进行分期分批统一升级改造，每个村因地制宜建成1座以上标准化公共厕所，全区累计新建改建农村公厕157座，形成农村地区“15分钟如厕圈”。全面消灭旱厕，实现农村无害化卫生户厕普及率及改造率100%。</w:t>
      </w:r>
    </w:p>
    <w:p w14:paraId="2B3A25F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w:t>
      </w:r>
      <w:r>
        <w:rPr>
          <w:rFonts w:hint="eastAsia" w:ascii="Times New Roman" w:hAnsi="Times New Roman" w:eastAsia="仿宋" w:cs="Times New Roman"/>
          <w:color w:val="auto"/>
          <w:kern w:val="0"/>
          <w:sz w:val="24"/>
          <w:szCs w:val="24"/>
          <w:highlight w:val="none"/>
          <w:lang w:val="zh-CN" w:eastAsia="zh-CN" w:bidi="ar-SA"/>
        </w:rPr>
        <w:t>全面提升生活垃圾治理水平。</w:t>
      </w:r>
      <w:r>
        <w:rPr>
          <w:rFonts w:hint="eastAsia" w:ascii="Times New Roman" w:hAnsi="Times New Roman" w:eastAsia="仿宋" w:cs="Times New Roman"/>
          <w:color w:val="auto"/>
          <w:kern w:val="0"/>
          <w:sz w:val="24"/>
          <w:szCs w:val="24"/>
          <w:highlight w:val="none"/>
          <w:lang w:val="en-US" w:eastAsia="zh-CN" w:bidi="ar-SA"/>
        </w:rPr>
        <w:t>南沙区</w:t>
      </w:r>
      <w:r>
        <w:rPr>
          <w:rFonts w:hint="eastAsia" w:ascii="Times New Roman" w:hAnsi="Times New Roman" w:eastAsia="仿宋" w:cs="Times New Roman"/>
          <w:color w:val="auto"/>
          <w:kern w:val="0"/>
          <w:sz w:val="24"/>
          <w:szCs w:val="24"/>
          <w:highlight w:val="none"/>
          <w:lang w:val="zh-CN" w:eastAsia="zh-CN" w:bidi="ar-SA"/>
        </w:rPr>
        <w:t>全面落实“一村一点、一镇一站”建设工作，每个镇（街）平均有1个以上垃圾转运站、每个村有1个以上密闭环保垃圾收集点，农村生活垃圾收集、运输及处置体系高效运作，农村保洁覆盖面、垃圾处理率、资源化利用率均达100%，完成星级投放点和样板村创建年度任务，打造一批分类亮点和示范线路。加快推进南沙生活垃圾分类先行示范区和区级绿色分拣中心创建。</w:t>
      </w:r>
    </w:p>
    <w:p w14:paraId="199E7BE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4、</w:t>
      </w:r>
      <w:r>
        <w:rPr>
          <w:rFonts w:hint="eastAsia" w:ascii="Times New Roman" w:hAnsi="Times New Roman" w:eastAsia="仿宋" w:cs="Times New Roman"/>
          <w:color w:val="auto"/>
          <w:kern w:val="0"/>
          <w:sz w:val="24"/>
          <w:szCs w:val="24"/>
          <w:highlight w:val="none"/>
          <w:lang w:val="zh-CN" w:eastAsia="zh-CN" w:bidi="ar-SA"/>
        </w:rPr>
        <w:t>扎实推进农村生活污水治理。</w:t>
      </w:r>
      <w:r>
        <w:rPr>
          <w:rFonts w:hint="eastAsia" w:ascii="Times New Roman" w:hAnsi="Times New Roman" w:eastAsia="仿宋" w:cs="Times New Roman"/>
          <w:color w:val="auto"/>
          <w:kern w:val="0"/>
          <w:sz w:val="24"/>
          <w:szCs w:val="24"/>
          <w:highlight w:val="none"/>
          <w:lang w:val="en-US" w:eastAsia="zh-CN" w:bidi="ar-SA"/>
        </w:rPr>
        <w:t>南沙</w:t>
      </w:r>
      <w:r>
        <w:rPr>
          <w:rFonts w:hint="eastAsia" w:ascii="Times New Roman" w:hAnsi="Times New Roman" w:eastAsia="仿宋" w:cs="Times New Roman"/>
          <w:color w:val="auto"/>
          <w:kern w:val="0"/>
          <w:sz w:val="24"/>
          <w:szCs w:val="24"/>
          <w:highlight w:val="none"/>
          <w:lang w:val="zh-CN" w:eastAsia="zh-CN" w:bidi="ar-SA"/>
        </w:rPr>
        <w:t>区累计安排48.4亿元，进村入户强化污水源头收集，完善终端处理设施建设；累计铺设农村生活污水管网1783公里，立管改造1230公里，建成在运行污水处理设施站点356座，污水处理能力达到5.01万吨/天。农村生活污水治理、农村黑臭水体整治、集中供水率均为100%，国考断面考核达标率和地表水优良率均达100%，打造农村生活污水治理“以效定价、以效定支”“南沙模式”，连续四年在全市河湖长制考核中获优秀，被生态环境部推选为“综合规划与政策典型案例”，成功入选住房和城乡建设部“全国农村生活污水治理示范区”。</w:t>
      </w:r>
    </w:p>
    <w:p w14:paraId="15C3C5F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5、</w:t>
      </w:r>
      <w:r>
        <w:rPr>
          <w:rFonts w:hint="eastAsia" w:ascii="Times New Roman" w:hAnsi="Times New Roman" w:eastAsia="仿宋" w:cs="Times New Roman"/>
          <w:color w:val="auto"/>
          <w:kern w:val="0"/>
          <w:sz w:val="24"/>
          <w:szCs w:val="24"/>
          <w:highlight w:val="none"/>
          <w:lang w:val="zh-CN" w:eastAsia="zh-CN" w:bidi="ar-SA"/>
        </w:rPr>
        <w:t>持续推进农村基础设施建设。</w:t>
      </w:r>
      <w:r>
        <w:rPr>
          <w:rFonts w:hint="eastAsia" w:ascii="Times New Roman" w:hAnsi="Times New Roman" w:eastAsia="仿宋" w:cs="Times New Roman"/>
          <w:color w:val="auto"/>
          <w:kern w:val="0"/>
          <w:sz w:val="24"/>
          <w:szCs w:val="24"/>
          <w:highlight w:val="none"/>
          <w:lang w:val="en-US" w:eastAsia="zh-CN" w:bidi="ar-SA"/>
        </w:rPr>
        <w:t>南沙区</w:t>
      </w:r>
      <w:r>
        <w:rPr>
          <w:rFonts w:hint="eastAsia" w:ascii="Times New Roman" w:hAnsi="Times New Roman" w:eastAsia="仿宋" w:cs="Times New Roman"/>
          <w:color w:val="auto"/>
          <w:kern w:val="0"/>
          <w:sz w:val="24"/>
          <w:szCs w:val="24"/>
          <w:highlight w:val="none"/>
          <w:lang w:val="zh-CN" w:eastAsia="zh-CN" w:bidi="ar-SA"/>
        </w:rPr>
        <w:t>不断巩固全国“生态文明建设示范区（生态工业园区）”建设成效，大力推进农村人居环境综合整治及农村基础设施建设，建设好农村公交、学校、卫生院、文化活动中心等公共基础设施，满足农民的交通、教育、医疗、文化等多样化需求。实现了100%村庄干净整洁，100%以上村庄达到美丽宜居，村道路面硬化率和农村公路列养率100%，农村道路亮化率100%，农村通公交覆盖率100%，农村义务教育标准化学校覆盖率100%，颐康中心100%全覆盖，村卫生站“一元钱”看病覆盖率达100%。</w:t>
      </w:r>
    </w:p>
    <w:p w14:paraId="2C3E6AA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6、</w:t>
      </w:r>
      <w:r>
        <w:rPr>
          <w:rFonts w:hint="eastAsia" w:ascii="Times New Roman" w:hAnsi="Times New Roman" w:eastAsia="仿宋" w:cs="Times New Roman"/>
          <w:color w:val="auto"/>
          <w:kern w:val="0"/>
          <w:sz w:val="24"/>
          <w:szCs w:val="24"/>
          <w:highlight w:val="none"/>
          <w:lang w:val="zh-CN" w:eastAsia="zh-CN" w:bidi="ar-SA"/>
        </w:rPr>
        <w:t>建立健全长效管护机制。</w:t>
      </w:r>
      <w:r>
        <w:rPr>
          <w:rFonts w:hint="eastAsia" w:ascii="Times New Roman" w:hAnsi="Times New Roman" w:eastAsia="仿宋" w:cs="Times New Roman"/>
          <w:color w:val="auto"/>
          <w:kern w:val="0"/>
          <w:sz w:val="24"/>
          <w:szCs w:val="24"/>
          <w:highlight w:val="none"/>
          <w:lang w:val="en-US" w:eastAsia="zh-CN" w:bidi="ar-SA"/>
        </w:rPr>
        <w:t>南沙区</w:t>
      </w:r>
      <w:r>
        <w:rPr>
          <w:rFonts w:hint="eastAsia" w:ascii="Times New Roman" w:hAnsi="Times New Roman" w:eastAsia="仿宋" w:cs="Times New Roman"/>
          <w:color w:val="auto"/>
          <w:kern w:val="0"/>
          <w:sz w:val="24"/>
          <w:szCs w:val="24"/>
          <w:highlight w:val="none"/>
          <w:lang w:val="zh-CN" w:eastAsia="zh-CN" w:bidi="ar-SA"/>
        </w:rPr>
        <w:t>完善农村人居环境考核机制并推进实施</w:t>
      </w:r>
      <w:r>
        <w:rPr>
          <w:rFonts w:hint="eastAsia" w:eastAsia="仿宋" w:cs="Times New Roman"/>
          <w:color w:val="auto"/>
          <w:kern w:val="0"/>
          <w:sz w:val="24"/>
          <w:szCs w:val="24"/>
          <w:highlight w:val="none"/>
          <w:lang w:val="zh-CN" w:eastAsia="zh-CN" w:bidi="ar-SA"/>
        </w:rPr>
        <w:t>，</w:t>
      </w:r>
      <w:r>
        <w:rPr>
          <w:rFonts w:hint="eastAsia" w:ascii="Times New Roman" w:hAnsi="Times New Roman" w:eastAsia="仿宋" w:cs="Times New Roman"/>
          <w:color w:val="auto"/>
          <w:kern w:val="0"/>
          <w:sz w:val="24"/>
          <w:szCs w:val="24"/>
          <w:highlight w:val="none"/>
          <w:lang w:val="zh-CN" w:eastAsia="zh-CN" w:bidi="ar-SA"/>
        </w:rPr>
        <w:t>常态化开展季度考核和回头看检查，将村庄环境卫生纳入村规民约，将人居环境整治与乡村治理相结合，区财政每年每村补助4万元，支持农村全域推行乡村治理积分制管理模式，结合爱国卫生运动、创建文明城市、常态化开展村庄清洁行动、农村人居环境综合整治等行动，巩固提升人居环境质量。印发农村人居环境整治长效管护工作方案，形成“机制健全、保障到位、工作落实、规范运行、长效治理”的农村人居环境整治长效管护。</w:t>
      </w:r>
    </w:p>
    <w:p w14:paraId="0A1645EA">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5</w:t>
      </w:r>
      <w:r>
        <w:rPr>
          <w:rFonts w:hint="eastAsia" w:ascii="Times New Roman" w:hAnsi="Times New Roman" w:eastAsia="仿宋" w:cs="Times New Roman"/>
          <w:b/>
          <w:color w:val="auto"/>
          <w:kern w:val="2"/>
          <w:sz w:val="28"/>
          <w:szCs w:val="28"/>
          <w:lang w:val="zh-CN" w:eastAsia="zh-CN" w:bidi="ar-SA"/>
        </w:rPr>
        <w:t xml:space="preserve">.2 </w:t>
      </w:r>
      <w:r>
        <w:rPr>
          <w:rFonts w:hint="eastAsia" w:ascii="Times New Roman" w:hAnsi="Times New Roman" w:eastAsia="仿宋" w:cs="Times New Roman"/>
          <w:color w:val="auto"/>
          <w:sz w:val="28"/>
          <w:szCs w:val="28"/>
          <w:highlight w:val="none"/>
          <w:lang w:val="zh-CN" w:eastAsia="zh-CN"/>
        </w:rPr>
        <w:t>问题分析</w:t>
      </w:r>
    </w:p>
    <w:p w14:paraId="252292E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1、</w:t>
      </w:r>
      <w:r>
        <w:rPr>
          <w:rFonts w:hint="eastAsia" w:ascii="Times New Roman" w:hAnsi="Times New Roman" w:eastAsia="仿宋" w:cs="Times New Roman"/>
          <w:color w:val="auto"/>
          <w:kern w:val="0"/>
          <w:sz w:val="24"/>
          <w:szCs w:val="24"/>
          <w:highlight w:val="none"/>
          <w:lang w:val="zh-CN" w:eastAsia="zh-CN" w:bidi="ar-SA"/>
        </w:rPr>
        <w:t>基础设施</w:t>
      </w:r>
    </w:p>
    <w:p w14:paraId="018B0BC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新沙村部分</w:t>
      </w:r>
      <w:r>
        <w:rPr>
          <w:rFonts w:hint="eastAsia" w:ascii="Times New Roman" w:hAnsi="Times New Roman" w:eastAsia="仿宋" w:cs="Times New Roman"/>
          <w:color w:val="auto"/>
          <w:kern w:val="0"/>
          <w:sz w:val="24"/>
          <w:szCs w:val="24"/>
          <w:highlight w:val="none"/>
          <w:lang w:val="zh-CN" w:eastAsia="zh-CN" w:bidi="ar-SA"/>
        </w:rPr>
        <w:t>道路未完成全部硬化，</w:t>
      </w:r>
      <w:r>
        <w:rPr>
          <w:rFonts w:hint="eastAsia" w:ascii="Times New Roman" w:hAnsi="Times New Roman" w:eastAsia="仿宋" w:cs="Times New Roman"/>
          <w:color w:val="auto"/>
          <w:kern w:val="0"/>
          <w:sz w:val="24"/>
          <w:szCs w:val="24"/>
          <w:highlight w:val="none"/>
          <w:lang w:val="en-US" w:eastAsia="zh-CN" w:bidi="ar-SA"/>
        </w:rPr>
        <w:t>需要建设硬底化道路，完善基础设施建设</w:t>
      </w:r>
      <w:r>
        <w:rPr>
          <w:rFonts w:hint="eastAsia" w:ascii="Times New Roman" w:hAnsi="Times New Roman" w:eastAsia="仿宋" w:cs="Times New Roman"/>
          <w:color w:val="auto"/>
          <w:kern w:val="0"/>
          <w:sz w:val="24"/>
          <w:szCs w:val="24"/>
          <w:highlight w:val="none"/>
          <w:lang w:val="zh-CN" w:eastAsia="zh-CN" w:bidi="ar-SA"/>
        </w:rPr>
        <w:t>。</w:t>
      </w:r>
    </w:p>
    <w:p w14:paraId="15408E5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2、</w:t>
      </w:r>
      <w:r>
        <w:rPr>
          <w:rFonts w:hint="eastAsia" w:ascii="Times New Roman" w:hAnsi="Times New Roman" w:eastAsia="仿宋" w:cs="Times New Roman"/>
          <w:color w:val="auto"/>
          <w:kern w:val="0"/>
          <w:sz w:val="24"/>
          <w:szCs w:val="24"/>
          <w:highlight w:val="none"/>
          <w:lang w:val="zh-CN" w:eastAsia="zh-CN" w:bidi="ar-SA"/>
        </w:rPr>
        <w:t>公共服务设施</w:t>
      </w:r>
    </w:p>
    <w:p w14:paraId="14BA5D2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新沙村</w:t>
      </w:r>
      <w:r>
        <w:rPr>
          <w:rFonts w:hint="eastAsia" w:ascii="Times New Roman" w:hAnsi="Times New Roman" w:eastAsia="仿宋" w:cs="Times New Roman"/>
          <w:color w:val="auto"/>
          <w:kern w:val="0"/>
          <w:sz w:val="24"/>
          <w:szCs w:val="24"/>
          <w:highlight w:val="none"/>
          <w:lang w:val="zh-CN" w:eastAsia="zh-CN" w:bidi="ar-SA"/>
        </w:rPr>
        <w:t>包括党群服务中心、幼儿园、活动广场等，基本能满足村民生活需求。</w:t>
      </w:r>
    </w:p>
    <w:p w14:paraId="3893B7F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3、</w:t>
      </w:r>
      <w:r>
        <w:rPr>
          <w:rFonts w:hint="eastAsia" w:ascii="Times New Roman" w:hAnsi="Times New Roman" w:eastAsia="仿宋" w:cs="Times New Roman"/>
          <w:color w:val="auto"/>
          <w:kern w:val="0"/>
          <w:sz w:val="24"/>
          <w:szCs w:val="24"/>
          <w:highlight w:val="none"/>
          <w:lang w:val="zh-CN" w:eastAsia="zh-CN" w:bidi="ar-SA"/>
        </w:rPr>
        <w:t>村庄环境</w:t>
      </w:r>
    </w:p>
    <w:p w14:paraId="5DAA5F5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新沙村</w:t>
      </w:r>
      <w:r>
        <w:rPr>
          <w:rFonts w:hint="eastAsia" w:ascii="Times New Roman" w:hAnsi="Times New Roman" w:eastAsia="仿宋" w:cs="Times New Roman"/>
          <w:color w:val="auto"/>
          <w:kern w:val="0"/>
          <w:sz w:val="24"/>
          <w:szCs w:val="24"/>
          <w:highlight w:val="none"/>
          <w:lang w:val="zh-CN" w:eastAsia="zh-CN" w:bidi="ar-SA"/>
        </w:rPr>
        <w:t>生产生活垃圾</w:t>
      </w:r>
      <w:r>
        <w:rPr>
          <w:rFonts w:hint="eastAsia" w:ascii="Times New Roman" w:hAnsi="Times New Roman" w:eastAsia="仿宋" w:cs="Times New Roman"/>
          <w:color w:val="auto"/>
          <w:kern w:val="0"/>
          <w:sz w:val="24"/>
          <w:szCs w:val="24"/>
          <w:highlight w:val="none"/>
          <w:lang w:val="en-US" w:eastAsia="zh-CN" w:bidi="ar-SA"/>
        </w:rPr>
        <w:t>基本能集中</w:t>
      </w:r>
      <w:r>
        <w:rPr>
          <w:rFonts w:hint="eastAsia" w:ascii="Times New Roman" w:hAnsi="Times New Roman" w:eastAsia="仿宋" w:cs="Times New Roman"/>
          <w:color w:val="auto"/>
          <w:kern w:val="0"/>
          <w:sz w:val="24"/>
          <w:szCs w:val="24"/>
          <w:highlight w:val="none"/>
          <w:lang w:val="zh-CN" w:eastAsia="zh-CN" w:bidi="ar-SA"/>
        </w:rPr>
        <w:t>堆放，清理及时，</w:t>
      </w:r>
      <w:r>
        <w:rPr>
          <w:rFonts w:hint="eastAsia" w:ascii="Times New Roman" w:hAnsi="Times New Roman" w:eastAsia="仿宋" w:cs="Times New Roman"/>
          <w:color w:val="auto"/>
          <w:kern w:val="0"/>
          <w:sz w:val="24"/>
          <w:szCs w:val="24"/>
          <w:highlight w:val="none"/>
          <w:lang w:val="en-US" w:eastAsia="zh-CN" w:bidi="ar-SA"/>
        </w:rPr>
        <w:t>基本不</w:t>
      </w:r>
      <w:r>
        <w:rPr>
          <w:rFonts w:hint="eastAsia" w:ascii="Times New Roman" w:hAnsi="Times New Roman" w:eastAsia="仿宋" w:cs="Times New Roman"/>
          <w:color w:val="auto"/>
          <w:kern w:val="0"/>
          <w:sz w:val="24"/>
          <w:szCs w:val="24"/>
          <w:highlight w:val="none"/>
          <w:lang w:val="zh-CN" w:eastAsia="zh-CN" w:bidi="ar-SA"/>
        </w:rPr>
        <w:t>存在卫生死角。</w:t>
      </w:r>
    </w:p>
    <w:p w14:paraId="03CEDC2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zh-CN" w:eastAsia="zh-CN" w:bidi="ar-SA"/>
        </w:rPr>
      </w:pPr>
      <w:r>
        <w:rPr>
          <w:rFonts w:hint="eastAsia" w:ascii="Times New Roman" w:hAnsi="Times New Roman" w:eastAsia="仿宋" w:cs="Times New Roman"/>
          <w:color w:val="auto"/>
          <w:kern w:val="0"/>
          <w:sz w:val="24"/>
          <w:szCs w:val="24"/>
          <w:highlight w:val="none"/>
          <w:lang w:val="en-US" w:eastAsia="zh-CN" w:bidi="ar-SA"/>
        </w:rPr>
        <w:t>4、</w:t>
      </w:r>
      <w:r>
        <w:rPr>
          <w:rFonts w:hint="eastAsia" w:ascii="Times New Roman" w:hAnsi="Times New Roman" w:eastAsia="仿宋" w:cs="Times New Roman"/>
          <w:color w:val="auto"/>
          <w:kern w:val="0"/>
          <w:sz w:val="24"/>
          <w:szCs w:val="24"/>
          <w:highlight w:val="none"/>
          <w:lang w:val="zh-CN" w:eastAsia="zh-CN" w:bidi="ar-SA"/>
        </w:rPr>
        <w:t>建筑风貌</w:t>
      </w:r>
    </w:p>
    <w:p w14:paraId="0C4FFCB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仿宋"/>
          <w:sz w:val="24"/>
          <w:szCs w:val="24"/>
          <w:lang w:val="en-US" w:eastAsia="zh-CN"/>
        </w:rPr>
      </w:pPr>
      <w:r>
        <w:rPr>
          <w:rFonts w:hint="eastAsia" w:ascii="Times New Roman" w:hAnsi="Times New Roman" w:eastAsia="仿宋" w:cs="Times New Roman"/>
          <w:color w:val="auto"/>
          <w:kern w:val="0"/>
          <w:sz w:val="24"/>
          <w:szCs w:val="24"/>
          <w:highlight w:val="none"/>
          <w:lang w:val="en-US" w:eastAsia="zh-CN" w:bidi="ar-SA"/>
        </w:rPr>
        <w:t>新沙村基本不</w:t>
      </w:r>
      <w:r>
        <w:rPr>
          <w:rFonts w:hint="eastAsia" w:ascii="Times New Roman" w:hAnsi="Times New Roman" w:eastAsia="仿宋" w:cs="Times New Roman"/>
          <w:color w:val="auto"/>
          <w:kern w:val="0"/>
          <w:sz w:val="24"/>
          <w:szCs w:val="24"/>
          <w:highlight w:val="none"/>
          <w:lang w:val="zh-CN" w:eastAsia="zh-CN" w:bidi="ar-SA"/>
        </w:rPr>
        <w:t>存在乱搭乱建。</w:t>
      </w:r>
    </w:p>
    <w:p w14:paraId="1EAB6EE7">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5</w:t>
      </w:r>
      <w:r>
        <w:rPr>
          <w:rFonts w:hint="eastAsia" w:ascii="Times New Roman" w:hAnsi="Times New Roman" w:eastAsia="仿宋" w:cs="Times New Roman"/>
          <w:b/>
          <w:color w:val="auto"/>
          <w:kern w:val="2"/>
          <w:sz w:val="28"/>
          <w:szCs w:val="28"/>
          <w:lang w:val="zh-CN" w:eastAsia="zh-CN" w:bidi="ar-SA"/>
        </w:rPr>
        <w:t xml:space="preserve">.3 </w:t>
      </w:r>
      <w:r>
        <w:rPr>
          <w:rFonts w:hint="eastAsia" w:ascii="Times New Roman" w:hAnsi="Times New Roman" w:eastAsia="仿宋" w:cs="Times New Roman"/>
          <w:color w:val="auto"/>
          <w:sz w:val="28"/>
          <w:szCs w:val="28"/>
          <w:highlight w:val="none"/>
          <w:lang w:val="zh-CN" w:eastAsia="zh-CN"/>
        </w:rPr>
        <w:t>经验总结</w:t>
      </w:r>
    </w:p>
    <w:p w14:paraId="16D87F2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1、思想上再重视。进一步认真贯彻落实省、市工作要求，按照“三无一规范一眼净”的目标，加强投入，强化措施，有效开展工作，逐步提高我县农村村容村貌整治标准和管理水平，进一步美化人居环境。</w:t>
      </w:r>
    </w:p>
    <w:p w14:paraId="2345ADFD">
      <w:pPr>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br w:type="page"/>
      </w:r>
    </w:p>
    <w:p w14:paraId="1054C06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2、推进上再有力。坚持科学谋划，分类指导，按照改善农村人居环境的总体要求，循序渐进，按照农村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的阶段性规律，有序推进农村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坚持群众主体、尊重群众意愿，广泛动员群众参与项目组织实施，保障群众决策权、参与权和监督权，扎实推进。</w:t>
      </w:r>
    </w:p>
    <w:p w14:paraId="10063FA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3、考核上再严格。将改善农村人居环境工作纳入绩效考核体系，按照考核办法，加大</w:t>
      </w:r>
      <w:r>
        <w:rPr>
          <w:rFonts w:hint="eastAsia" w:eastAsia="仿宋" w:cs="Times New Roman"/>
          <w:color w:val="auto"/>
          <w:kern w:val="0"/>
          <w:sz w:val="24"/>
          <w:szCs w:val="24"/>
          <w:highlight w:val="none"/>
          <w:lang w:val="en-US" w:eastAsia="zh-CN" w:bidi="ar-SA"/>
        </w:rPr>
        <w:t>督查</w:t>
      </w:r>
      <w:r>
        <w:rPr>
          <w:rFonts w:hint="eastAsia" w:ascii="Times New Roman" w:hAnsi="Times New Roman" w:eastAsia="仿宋" w:cs="Times New Roman"/>
          <w:color w:val="auto"/>
          <w:kern w:val="0"/>
          <w:sz w:val="24"/>
          <w:szCs w:val="24"/>
          <w:highlight w:val="none"/>
          <w:lang w:val="en-US" w:eastAsia="zh-CN" w:bidi="ar-SA"/>
        </w:rPr>
        <w:t>力度推动各项工作落实。重点对达标村和示范村进行检查，建立</w:t>
      </w:r>
      <w:r>
        <w:rPr>
          <w:rFonts w:hint="eastAsia" w:eastAsia="仿宋" w:cs="Times New Roman"/>
          <w:color w:val="auto"/>
          <w:kern w:val="0"/>
          <w:sz w:val="24"/>
          <w:szCs w:val="24"/>
          <w:highlight w:val="none"/>
          <w:lang w:val="en-US" w:eastAsia="zh-CN" w:bidi="ar-SA"/>
        </w:rPr>
        <w:t>季度</w:t>
      </w:r>
      <w:r>
        <w:rPr>
          <w:rFonts w:hint="eastAsia" w:ascii="Times New Roman" w:hAnsi="Times New Roman" w:eastAsia="仿宋" w:cs="Times New Roman"/>
          <w:color w:val="auto"/>
          <w:kern w:val="0"/>
          <w:sz w:val="24"/>
          <w:szCs w:val="24"/>
          <w:highlight w:val="none"/>
          <w:lang w:val="en-US" w:eastAsia="zh-CN" w:bidi="ar-SA"/>
        </w:rPr>
        <w:t>观摩评比、年</w:t>
      </w:r>
      <w:r>
        <w:rPr>
          <w:rFonts w:hint="eastAsia" w:eastAsia="仿宋" w:cs="Times New Roman"/>
          <w:color w:val="auto"/>
          <w:kern w:val="0"/>
          <w:sz w:val="24"/>
          <w:szCs w:val="24"/>
          <w:highlight w:val="none"/>
          <w:lang w:val="en-US" w:eastAsia="zh-CN" w:bidi="ar-SA"/>
        </w:rPr>
        <w:t>度</w:t>
      </w:r>
      <w:r>
        <w:rPr>
          <w:rFonts w:hint="eastAsia" w:ascii="Times New Roman" w:hAnsi="Times New Roman" w:eastAsia="仿宋" w:cs="Times New Roman"/>
          <w:color w:val="auto"/>
          <w:kern w:val="0"/>
          <w:sz w:val="24"/>
          <w:szCs w:val="24"/>
          <w:highlight w:val="none"/>
          <w:lang w:val="en-US" w:eastAsia="zh-CN" w:bidi="ar-SA"/>
        </w:rPr>
        <w:t>全面考核的督查考核机制依据目标完成情况和整治效果，严格落实奖惩机制。</w:t>
      </w:r>
    </w:p>
    <w:p w14:paraId="7299881A">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6</w:t>
      </w:r>
      <w:r>
        <w:rPr>
          <w:rFonts w:hint="eastAsia" w:ascii="Times New Roman" w:hAnsi="Times New Roman" w:eastAsia="仿宋" w:cs="Times New Roman"/>
          <w:b/>
          <w:color w:val="auto"/>
          <w:kern w:val="2"/>
          <w:sz w:val="28"/>
          <w:szCs w:val="28"/>
          <w:lang w:val="zh-CN" w:eastAsia="zh-CN" w:bidi="ar-SA"/>
        </w:rPr>
        <w:t xml:space="preserve"> </w:t>
      </w:r>
      <w:r>
        <w:rPr>
          <w:rFonts w:hint="eastAsia" w:ascii="Times New Roman" w:hAnsi="Times New Roman" w:eastAsia="仿宋" w:cs="Times New Roman"/>
          <w:color w:val="auto"/>
          <w:sz w:val="28"/>
          <w:szCs w:val="28"/>
          <w:highlight w:val="none"/>
          <w:lang w:val="zh-CN" w:eastAsia="zh-CN"/>
        </w:rPr>
        <w:t>项目建设的必要性分析</w:t>
      </w:r>
    </w:p>
    <w:p w14:paraId="74CCE342">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zh-CN" w:eastAsia="zh-CN"/>
        </w:rPr>
      </w:pPr>
      <w:r>
        <w:rPr>
          <w:rFonts w:hint="eastAsia" w:ascii="Times New Roman" w:hAnsi="Times New Roman" w:eastAsia="仿宋" w:cs="Times New Roman"/>
          <w:b/>
          <w:color w:val="auto"/>
          <w:kern w:val="2"/>
          <w:sz w:val="28"/>
          <w:szCs w:val="28"/>
          <w:lang w:val="zh-CN" w:eastAsia="zh-CN" w:bidi="ar-SA"/>
        </w:rPr>
        <w:t>1.</w:t>
      </w:r>
      <w:r>
        <w:rPr>
          <w:rFonts w:hint="eastAsia" w:ascii="Times New Roman" w:hAnsi="Times New Roman" w:eastAsia="仿宋" w:cs="Times New Roman"/>
          <w:b/>
          <w:color w:val="auto"/>
          <w:kern w:val="2"/>
          <w:sz w:val="28"/>
          <w:szCs w:val="28"/>
          <w:lang w:val="en-US" w:eastAsia="zh-CN" w:bidi="ar-SA"/>
        </w:rPr>
        <w:t>6</w:t>
      </w:r>
      <w:r>
        <w:rPr>
          <w:rFonts w:hint="eastAsia" w:ascii="Times New Roman" w:hAnsi="Times New Roman" w:eastAsia="仿宋" w:cs="Times New Roman"/>
          <w:b/>
          <w:color w:val="auto"/>
          <w:kern w:val="2"/>
          <w:sz w:val="28"/>
          <w:szCs w:val="28"/>
          <w:lang w:val="zh-CN" w:eastAsia="zh-CN" w:bidi="ar-SA"/>
        </w:rPr>
        <w:t xml:space="preserve">.1 </w:t>
      </w:r>
      <w:r>
        <w:rPr>
          <w:rFonts w:hint="eastAsia" w:ascii="Times New Roman" w:hAnsi="Times New Roman" w:eastAsia="仿宋" w:cs="Times New Roman"/>
          <w:color w:val="auto"/>
          <w:sz w:val="28"/>
          <w:szCs w:val="28"/>
          <w:highlight w:val="none"/>
          <w:lang w:val="zh-CN" w:eastAsia="zh-CN"/>
        </w:rPr>
        <w:t>目前农村人居环境存在的问题及不利影响</w:t>
      </w:r>
    </w:p>
    <w:p w14:paraId="310BAED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1、存在问题及不利影响</w:t>
      </w:r>
    </w:p>
    <w:p w14:paraId="70B342E5">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一是农民主体作用发挥不够。一些群众受传统生活习惯影响，对农村生活污水、生活垃圾造成的环境影响缺乏认识，主动性不强，环境整治工作存在“上边热、下边凉”的现象，甚至个别群众认为环境整治是政府的事，因此成了环境整治工作的旁观者、局外人。虽然大部分村庄通过健全和完善村规民约落实了村民主体责任，但是乱扔垃圾、乱倒污水、焚烧秸秆等破坏生态环境的现象时有发生。</w:t>
      </w:r>
    </w:p>
    <w:p w14:paraId="4AB8E30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二是基础保障还有所欠缺。农村人居环境整治需要投入大量资金，一些村庄自身无力承担清洁乡村活动的经费投入，无足够的资金保障设施正常运转及后期维护，农村垃圾无法得到及时有效地处理而导致村庄脏乱差问题出现反复。同时，一些从事该项工作的人员专业性还不够强，参与整治能力有限。</w:t>
      </w:r>
    </w:p>
    <w:p w14:paraId="2AF8FA5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三是环境整治提升不够彻底。自上而下的农村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虽然达到了一个时期的工作要求，也改善了农村人居环境，但是由于缺乏科学的规划进行引导，来一个项目就建一个项目，导致农村人居环境整治提升仍然存在一些盲区，未能做到整村推进、统筹治理，留下了一些人居环境整治提升历史问题，整体效果不全面，不彻底。</w:t>
      </w:r>
    </w:p>
    <w:p w14:paraId="542C9B54">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2、对策建议</w:t>
      </w:r>
    </w:p>
    <w:p w14:paraId="5A8E66F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一是进一步激发群众内生动力。强化农民群众在人居环境整治中的主体作用，结合实际制定完善村规民约，以勤俭节约、环境卫生、孝老爱幼、家庭和睦、邻里和谐、互帮互助等情况为主要内容，开展星级文明村、星级文明家庭等评比活动，并强化成果的转化运用，将评比结果与村级集体经济收益分配、金融信贷额度授信等结合起来，不断激发农民群众积极响应党和国家政策自力更生、勤劳致富的内生动力。要充分发挥村党支部、村委会的组织领导作用，发挥农村党员的示范带动作用，以养成良好的生活生产习惯为抓手，多形式、多渠道加强教育管理，动员引导农民群众切实增强内生动力，自觉主动改善人居环境，为建设幸福玉门打下坚实基础。</w:t>
      </w:r>
    </w:p>
    <w:p w14:paraId="7209A6D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二是持续加大基础设施建设力度。坚持农村生产和生活基础设施一起抓，坚持“分类指导、因需推进”的原则，做到人员、责任、经费“三落实”，继续加大乡村水、电、路、房、讯等基础设施的投入力度，积极探索乡村垃圾和污水处理、畜禽粪便无害化处理与利用等设施建设，深入推进“厕所革命”，加大改厕、改圈力度，进一步改善乡村基本生产生活条件。健全完善乡村环境治理管护机制，巩固乡村基础设施建设成果，持续加强以绿化、美化、净化为重点的乡村人居环境整治，健全完善乡村环境治理管护机制，巩固乡村基础设施建设和环境整治成果，早日把乡村建设成为广大农民群众的幸福家园、美丽乐园。</w:t>
      </w:r>
    </w:p>
    <w:p w14:paraId="5BD1FCD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三是不断加强规划引领作用。突出规划性和阶段性，保障农村人居环境整治提升的有序开展，按照改善农村人居环境的总体要求，根据农村经济社会发展实际，聚焦目标，做到规划先行，因地制宜、因时制宜，创造性地推进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一是突出规划性。结合乡村振兴发展规划，根据农村经济、社会、地理、人口及民族等因素，充分调研、科学论证、反复研究，坚持问题导向，突出整治重点，并做好与土地利用总体规划等规划的衔接。并明确村庄布局，合理确定基础设施和公共服务设施的项目与建设标准，编制和完善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规划，确保农村人居环境整治提升工作有据可循、有条不紊、有序推进。二是突出阶段性。坚持量力而行、循序渐进原则，充分尊重农民意愿，保障农民参与，有力发挥农民自主性和创造性，满足农民需求，体现农村特色，防止生搬硬套和“一刀切”。按照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的阶段性规律，立足现有条件和财力可能，区分轻重缓急，优先安排保障农民基本生活条件的项目，有序推进农村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。明确农村人居环境整治提升的重点内容及内容实施的优先序</w:t>
      </w:r>
      <w:r>
        <w:rPr>
          <w:rFonts w:hint="eastAsia" w:eastAsia="仿宋" w:cs="Times New Roman"/>
          <w:color w:val="auto"/>
          <w:kern w:val="0"/>
          <w:sz w:val="24"/>
          <w:szCs w:val="24"/>
          <w:highlight w:val="none"/>
          <w:lang w:val="en-US" w:eastAsia="zh-CN" w:bidi="ar-SA"/>
        </w:rPr>
        <w:t>，</w:t>
      </w:r>
      <w:r>
        <w:rPr>
          <w:rFonts w:hint="eastAsia" w:ascii="Times New Roman" w:hAnsi="Times New Roman" w:eastAsia="仿宋" w:cs="Times New Roman"/>
          <w:color w:val="auto"/>
          <w:kern w:val="0"/>
          <w:sz w:val="24"/>
          <w:szCs w:val="24"/>
          <w:highlight w:val="none"/>
          <w:lang w:val="en-US" w:eastAsia="zh-CN" w:bidi="ar-SA"/>
        </w:rPr>
        <w:t>推动农村人居环境整治提升实现预期成效。</w:t>
      </w:r>
    </w:p>
    <w:p w14:paraId="6DC60C19">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1.6.2 </w:t>
      </w:r>
      <w:r>
        <w:rPr>
          <w:rFonts w:hint="eastAsia" w:ascii="Times New Roman" w:hAnsi="Times New Roman" w:eastAsia="仿宋" w:cs="Times New Roman"/>
          <w:color w:val="auto"/>
          <w:sz w:val="28"/>
          <w:szCs w:val="28"/>
          <w:highlight w:val="none"/>
          <w:lang w:val="en-US" w:eastAsia="zh-CN"/>
        </w:rPr>
        <w:t>项目区域内相关规划对人居环境实施提出的要求</w:t>
      </w:r>
    </w:p>
    <w:p w14:paraId="0CC926D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为贯彻落实《关于全域推进农村人居环境整治建设生态宜居美丽乡村的实施方案》精神，深入实施乡村振兴战略，切实改善农村人居环境，促进农民脱贫奔康致富，建设生态宜居美丽乡村，特制订本方案。</w:t>
      </w:r>
    </w:p>
    <w:p w14:paraId="3D8E8768">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一、指导思想、目标任务和基本原则</w:t>
      </w:r>
    </w:p>
    <w:p w14:paraId="5202E63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1.指导思想。全面贯彻落实党的十九大精神，以习近平新时代中国特色社会主义思想为指导，深入贯彻</w:t>
      </w:r>
      <w:r>
        <w:rPr>
          <w:rFonts w:hint="eastAsia" w:eastAsia="仿宋" w:cs="Times New Roman"/>
          <w:color w:val="auto"/>
          <w:kern w:val="0"/>
          <w:sz w:val="24"/>
          <w:szCs w:val="24"/>
          <w:highlight w:val="none"/>
          <w:lang w:val="en-US" w:eastAsia="zh-CN" w:bidi="ar-SA"/>
        </w:rPr>
        <w:t>习近平总书记重要讲话精神</w:t>
      </w:r>
      <w:r>
        <w:rPr>
          <w:rFonts w:hint="eastAsia" w:ascii="Times New Roman" w:hAnsi="Times New Roman" w:eastAsia="仿宋" w:cs="Times New Roman"/>
          <w:color w:val="auto"/>
          <w:kern w:val="0"/>
          <w:sz w:val="24"/>
          <w:szCs w:val="24"/>
          <w:highlight w:val="none"/>
          <w:lang w:val="en-US" w:eastAsia="zh-CN" w:bidi="ar-SA"/>
        </w:rPr>
        <w:t>和治国理政新理念新思想新战略，以我县“一个引领、三个加快建设、三个走在前列、一个排头兵”战略定位统领工作全局，按照“产业兴旺、生态宜居、乡风文明、治理有效、生活富裕”的总要求，以建设生态宜居美丽乡村为导向，开展“百村示范、千村整治”行动，以农村垃圾、污水处理和村容村貌提升为主战场，着力改善农村人居环境、加快补齐农村基础设施突出短板，建设生态宜居美丽乡村，为如期实现全面建成小康社会目标奠定坚实基础。</w:t>
      </w:r>
    </w:p>
    <w:p w14:paraId="6A34549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2.目标任务。围绕</w:t>
      </w:r>
      <w:r>
        <w:rPr>
          <w:rFonts w:hint="eastAsia" w:eastAsia="仿宋" w:cs="Times New Roman"/>
          <w:color w:val="auto"/>
          <w:kern w:val="0"/>
          <w:sz w:val="24"/>
          <w:szCs w:val="24"/>
          <w:highlight w:val="none"/>
          <w:lang w:val="en-US" w:eastAsia="zh-CN" w:bidi="ar-SA"/>
        </w:rPr>
        <w:t>县委、县政府</w:t>
      </w:r>
      <w:r>
        <w:rPr>
          <w:rFonts w:hint="eastAsia" w:ascii="Times New Roman" w:hAnsi="Times New Roman" w:eastAsia="仿宋" w:cs="Times New Roman"/>
          <w:color w:val="auto"/>
          <w:kern w:val="0"/>
          <w:sz w:val="24"/>
          <w:szCs w:val="24"/>
          <w:highlight w:val="none"/>
          <w:lang w:val="en-US" w:eastAsia="zh-CN" w:bidi="ar-SA"/>
        </w:rPr>
        <w:t>的工作总体部署，以行政村为基础，以自然村为基本单元，力争用3年时间完成全镇农村人居环境整治，创建干净整洁村、美丽宜居村和特色精品村，用10年时间将全镇农村全面建设成为生态宜居美丽乡村。</w:t>
      </w:r>
    </w:p>
    <w:p w14:paraId="5E1DD16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到2025年年底前，80%以上行政村达到美丽宜居村标准。</w:t>
      </w:r>
    </w:p>
    <w:p w14:paraId="20039F0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到2027年年底前，全部行政村达到美丽宜居村以上标准，创建一批特色精品村。</w:t>
      </w:r>
    </w:p>
    <w:p w14:paraId="62289BF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基本原则。各村根据自身发展基础、人口规模、资源禀赋等方面的差异，坚持总体谋划、规划引领，坚持突出重点、分步推进，坚持点面结合、连线连片，坚持立足村庄、梯次创建，坚持农民主体、共建共享，坚持整合资源、多方投入，坚持长效管护、持续发展，有序推进农村人居环境综合整治，建设生态宜居美丽乡村。</w:t>
      </w:r>
    </w:p>
    <w:p w14:paraId="7408703A">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1.6.3 </w:t>
      </w:r>
      <w:r>
        <w:rPr>
          <w:rFonts w:hint="eastAsia" w:ascii="Times New Roman" w:hAnsi="Times New Roman" w:eastAsia="仿宋" w:cs="Times New Roman"/>
          <w:color w:val="auto"/>
          <w:sz w:val="28"/>
          <w:szCs w:val="28"/>
          <w:highlight w:val="none"/>
          <w:lang w:val="en-US" w:eastAsia="zh-CN"/>
        </w:rPr>
        <w:t>国家或地方社会经济，城市建设发展提出的要求</w:t>
      </w:r>
    </w:p>
    <w:p w14:paraId="3D3C0F6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w w:val="100"/>
          <w:kern w:val="0"/>
          <w:sz w:val="24"/>
          <w:szCs w:val="24"/>
          <w:highlight w:val="none"/>
          <w:lang w:val="en-US" w:eastAsia="zh-CN" w:bidi="ar-SA"/>
        </w:rPr>
      </w:pPr>
      <w:r>
        <w:rPr>
          <w:rFonts w:hint="eastAsia" w:ascii="Times New Roman" w:hAnsi="Times New Roman" w:eastAsia="仿宋" w:cs="Times New Roman"/>
          <w:color w:val="auto"/>
          <w:w w:val="100"/>
          <w:kern w:val="0"/>
          <w:sz w:val="24"/>
          <w:szCs w:val="24"/>
          <w:highlight w:val="none"/>
          <w:lang w:val="en-US" w:eastAsia="zh-CN" w:bidi="ar-SA"/>
        </w:rPr>
        <w:t>中共中央办公厅、国务院办公厅印发了《农村人居环境整治提升五年行动方案（2021－2025年）》，并发出通知，要求各地区各部门结合实际认真贯彻落实。</w:t>
      </w:r>
    </w:p>
    <w:p w14:paraId="31AFDF8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w w:val="100"/>
          <w:kern w:val="0"/>
          <w:sz w:val="24"/>
          <w:szCs w:val="24"/>
          <w:highlight w:val="none"/>
          <w:lang w:val="en-US" w:eastAsia="zh-CN" w:bidi="ar-SA"/>
        </w:rPr>
      </w:pPr>
      <w:r>
        <w:rPr>
          <w:rFonts w:hint="eastAsia" w:ascii="Times New Roman" w:hAnsi="Times New Roman" w:eastAsia="仿宋" w:cs="Times New Roman"/>
          <w:color w:val="auto"/>
          <w:w w:val="100"/>
          <w:kern w:val="0"/>
          <w:sz w:val="24"/>
          <w:szCs w:val="24"/>
          <w:highlight w:val="none"/>
          <w:lang w:val="en-US" w:eastAsia="zh-CN" w:bidi="ar-SA"/>
        </w:rPr>
        <w:t>改善农村人居环境，是以习近平同志为核心的党中央从战略和全局高度作出的重大决策部署，是实施乡村振兴战略的重点任务，事关广大农民根本福祉，事关农民群众健康，事关美丽中国建设。2018年农村人居环境整治三年行动实施以来，各地区各部门认真贯彻党中央、国务院决策部署，全面扎实推进农村人居环境整治，扭转了农村长期以来存在的脏乱差局面，村庄环境基本实现干净整洁有序，农民群众环境卫生观念发生可喜变化、生活质量普遍提高，为全面建成小康社会提供了有力支撑。但是，我国农村人居环境总体质量水平不高，还存在区域发展不平衡、基本生活设施不完善、管护机制不健全等问题，与农业农村现代化要求和农民群众对美好生活的向往还有差距。为加快农村人居环境整治提升，制定本方案。</w:t>
      </w:r>
    </w:p>
    <w:p w14:paraId="6789DF28">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一、总体要求</w:t>
      </w:r>
    </w:p>
    <w:p w14:paraId="704D54DD">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（一）指导思想</w:t>
      </w:r>
    </w:p>
    <w:p w14:paraId="27C4431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以习近平新时代中国特色社会主义思想为指导，深入贯彻党的十九大和十九届二中、三中、四中、五中、六中全会精神，坚持以人民为中心的发展思想，践行绿水青山就是金山银山的理念，深入学习推广浙江“千村示范、万村整治”工程经验，以农村厕所革命、生活污水垃圾治理、村容村貌提升为重点，巩固拓展农村人居环境整治三年行动成果，全面提升农村人居环境质量，为全面推进乡村振兴、加快农业农村现代化、建设美丽中国提供有力支撑。</w:t>
      </w:r>
    </w:p>
    <w:p w14:paraId="37538142">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（二）工作原则</w:t>
      </w:r>
    </w:p>
    <w:p w14:paraId="006258E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坚持因地制宜，突出分类施策。同区域气候条件和地形地貌相匹配，同地方经济社会发展能力和水平相适应，同当地文化和风土人情相协调，实事求是、自下而上、分类确定治理标准和目标任务，坚持数量服从质量、进度服从实效，求好不求快，既尽力而为，又量力而行。</w:t>
      </w:r>
    </w:p>
    <w:p w14:paraId="23E14EA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坚持规划先行，突出统筹推进。树立系统观念，先规划后建设，以县域为单位统筹推进农村人居环境整治提升各项重点任务</w:t>
      </w:r>
      <w:r>
        <w:rPr>
          <w:rFonts w:hint="eastAsia" w:eastAsia="仿宋" w:cs="Times New Roman"/>
          <w:color w:val="auto"/>
          <w:kern w:val="0"/>
          <w:sz w:val="24"/>
          <w:szCs w:val="24"/>
          <w:highlight w:val="none"/>
          <w:lang w:val="en-US" w:eastAsia="zh-CN" w:bidi="ar-SA"/>
        </w:rPr>
        <w:t>，把</w:t>
      </w:r>
      <w:r>
        <w:rPr>
          <w:rFonts w:hint="eastAsia" w:ascii="Times New Roman" w:hAnsi="Times New Roman" w:eastAsia="仿宋" w:cs="Times New Roman"/>
          <w:color w:val="auto"/>
          <w:kern w:val="0"/>
          <w:sz w:val="24"/>
          <w:szCs w:val="24"/>
          <w:highlight w:val="none"/>
          <w:lang w:val="en-US" w:eastAsia="zh-CN" w:bidi="ar-SA"/>
        </w:rPr>
        <w:t>重点突破和综合整治、示范带动和整体推进相结合，合理安排建设时序，实现农村人居环境整治提升与公共基础设施改善、乡村产业发展、乡风文明进步等互促互进。</w:t>
      </w:r>
    </w:p>
    <w:p w14:paraId="3525127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坚持立足农村，突出乡土特色。遵循乡村发展规律，体现乡村特点，注重乡土味道，保留乡村风貌，留住田园乡愁。坚持农业农村联动、生产生活生态融合，推进农村生活污水垃圾减量化、资源化、循环利用。</w:t>
      </w:r>
    </w:p>
    <w:p w14:paraId="59C1825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坚持问需于民，突出农民主体。充分体现乡村建设为农民而建，尊重村民意愿，激发内生动力，保障村民知情权、参与权、表达权、监督权。坚持地方为主，强化地方党委和政府责任，鼓励社会力量积极参与，构建政府、市场主体、村集体、村民等多方共建共管格局。</w:t>
      </w:r>
    </w:p>
    <w:p w14:paraId="717D539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坚持持续推进，突出健全机制。注重与农村人居环境整治三年行动相衔接，持续发力、久久为功，积小胜为大成。建管用并重，着力构建系统化、规范化、长效化的政策制度和工作推进机制。</w:t>
      </w:r>
    </w:p>
    <w:p w14:paraId="1FA6835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（三）行动目标</w:t>
      </w:r>
    </w:p>
    <w:p w14:paraId="6F133F3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到2025年，农村人居环境显著改善，生态宜居美丽乡村建设取得新进步。农村卫生厕所普及率稳步提高，厕所粪污基本得到有效处理；农村生活污水治理率不断提升，乱倒乱排得到管控；农村生活垃圾无害化处理水平明显提升，有条件的村庄实现生活垃圾分类、源头减量；农村</w:t>
      </w:r>
      <w:r>
        <w:rPr>
          <w:rFonts w:hint="eastAsia" w:eastAsia="仿宋" w:cs="Times New Roman"/>
          <w:color w:val="auto"/>
          <w:kern w:val="0"/>
          <w:sz w:val="24"/>
          <w:szCs w:val="24"/>
          <w:highlight w:val="none"/>
          <w:lang w:val="en-US" w:eastAsia="zh-CN" w:bidi="ar-SA"/>
        </w:rPr>
        <w:t>人居环境整治</w:t>
      </w:r>
      <w:r>
        <w:rPr>
          <w:rFonts w:hint="eastAsia" w:ascii="Times New Roman" w:hAnsi="Times New Roman" w:eastAsia="仿宋" w:cs="Times New Roman"/>
          <w:color w:val="auto"/>
          <w:kern w:val="0"/>
          <w:sz w:val="24"/>
          <w:szCs w:val="24"/>
          <w:highlight w:val="none"/>
          <w:lang w:val="en-US" w:eastAsia="zh-CN" w:bidi="ar-SA"/>
        </w:rPr>
        <w:t>水平显著提升，长效管护机制基本建立。东部地区、中西部城市近郊区等有基础、有条件的地区，全面提升农村人居环境基础设施建设水平，农村卫生厕所基本普及，农村生活污水治理率明显提升，农村生活垃圾基本实现无害化处理并推动分类处理试点示范，长效管护机制全面建立。中西部有较好基础、基本具备条件的地区，农村人居环境基础设施持续完善，农村户用厕所愿改尽改，农村生活污水治理率有效提升，农村生活垃圾收运处置体系基本实现全覆盖，长效管护机制基本建立。地处偏远、经济欠发达的地区，农村人居环境基础设施明显改善，农村卫生厕所普及率逐步提高，农村生活污水垃圾治理水平有新提升，村容村貌持续改善。</w:t>
      </w:r>
    </w:p>
    <w:p w14:paraId="1A78A255">
      <w:pPr>
        <w:pStyle w:val="35"/>
        <w:keepNext w:val="0"/>
        <w:keepLines w:val="0"/>
        <w:pageBreakBefore w:val="0"/>
        <w:widowControl w:val="0"/>
        <w:numPr>
          <w:ilvl w:val="2"/>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 xml:space="preserve">1.6.4 </w:t>
      </w:r>
      <w:r>
        <w:rPr>
          <w:rFonts w:hint="eastAsia" w:ascii="Times New Roman" w:hAnsi="Times New Roman" w:eastAsia="仿宋" w:cs="Times New Roman"/>
          <w:color w:val="auto"/>
          <w:sz w:val="28"/>
          <w:szCs w:val="28"/>
          <w:highlight w:val="none"/>
        </w:rPr>
        <w:t>项目实施的重要意义</w:t>
      </w:r>
    </w:p>
    <w:p w14:paraId="4A70EC6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1、改善农村人居环境的意义极其重大</w:t>
      </w:r>
    </w:p>
    <w:p w14:paraId="1B7C535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改善农村人居环境的意义极其重大这是党中央、国务院做出的一个重大的部署，特别是推进新型城镇化的过程中。农村对一个国家，特别是对一个大国来说极其重要。首先它的第一个功能就是保障粮食安全，除了农村保障粮食安全的重要功能之外，农村还有很多重要的功能：比如水土保全，防止水土流失，实际上也是一个国土保全的重要功能。这个功能城市是不具备的，因为农村占了国土的大部分面积，它对水体、农业都起到了水土保全的作用。还有生态屏障，这也是城市起不到的，对一个国家来讲这是一个重大的生态屏障。再有就是传承化，我们很多文化是在农村的。还有就是稳定社会等等功能，很多是城市不具备而且是不可替代的。因为农村的功能是综合的而且极其重要，农村的价值是不能仅以农业生产的GDP去衡量的，农村的价值对一个国家来讲远远超过农业生产的GDP。从这个意义上我们推进农村人居环境的改善的意义就非常明显了。在当前我们国家所处的阶段，首先是推进新型城镇化的必然要求，也是全面建设小康的必然要求。同时中央提出来建设美丽中国，我们国家的国土大部分是农村，农村不美中国也不能说是美的。这是从宏观层面上来看很重要的一点，也是农村群众的迫切愿望。</w:t>
      </w:r>
    </w:p>
    <w:p w14:paraId="4C2605E9">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2、加快农村人居环境改善是全面建成小康社会的重要组成部分</w:t>
      </w:r>
    </w:p>
    <w:p w14:paraId="4E8EBEE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仿宋"/>
          <w:sz w:val="24"/>
          <w:szCs w:val="24"/>
          <w:lang w:val="en-US" w:eastAsia="zh-CN"/>
        </w:rPr>
        <w:t>近</w:t>
      </w:r>
      <w:r>
        <w:rPr>
          <w:rFonts w:hint="eastAsia" w:ascii="Times New Roman" w:hAnsi="Times New Roman" w:eastAsia="仿宋" w:cs="Times New Roman"/>
          <w:color w:val="auto"/>
          <w:kern w:val="0"/>
          <w:sz w:val="24"/>
          <w:szCs w:val="24"/>
          <w:highlight w:val="none"/>
          <w:lang w:val="en-US" w:eastAsia="zh-CN" w:bidi="ar-SA"/>
        </w:rPr>
        <w:t>年来，各级政府积极推进农村基础设施建设和城乡基本公共服务均等化，农村人居环境逐步得到改善，取得显著效果，但可以看到的是目前农村人居环境总体水平仍然较低，在居住条件、公共设施和环境卫生等方面与全面建成小康社会的目标要求还有差距。</w:t>
      </w:r>
    </w:p>
    <w:p w14:paraId="472E557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有效改善农村居民基本生活条件。这是本项工作开展的出发点和最为重要的作用，主要途径是加快推进农村拓宽道路等。</w:t>
      </w:r>
    </w:p>
    <w:p w14:paraId="479081E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有效改善村庄居住环境。自然环境方面：借助于环境综合整治，</w:t>
      </w:r>
      <w:r>
        <w:rPr>
          <w:rFonts w:hint="eastAsia" w:eastAsia="仿宋" w:cs="Times New Roman"/>
          <w:color w:val="auto"/>
          <w:kern w:val="0"/>
          <w:sz w:val="24"/>
          <w:szCs w:val="24"/>
          <w:highlight w:val="none"/>
          <w:lang w:val="en-US" w:eastAsia="zh-CN" w:bidi="ar-SA"/>
        </w:rPr>
        <w:t>尤其</w:t>
      </w:r>
      <w:r>
        <w:rPr>
          <w:rFonts w:hint="eastAsia" w:ascii="Times New Roman" w:hAnsi="Times New Roman" w:eastAsia="仿宋" w:cs="Times New Roman"/>
          <w:color w:val="auto"/>
          <w:kern w:val="0"/>
          <w:sz w:val="24"/>
          <w:szCs w:val="24"/>
          <w:highlight w:val="none"/>
          <w:lang w:val="en-US" w:eastAsia="zh-CN" w:bidi="ar-SA"/>
        </w:rPr>
        <w:t>是重点治理农村垃圾和污水，大力开展生态清洁型小流域建设，合理利用秸秆、养殖粪便等生态资源，加强对村域的升级改造管理，保持村庄整体风貌与自然环境相协调，结合水土保持等工程，保护和修复自然景观与田园景观，让水更绿，山更青。人文环境方面：推进规模化畜禽养殖区和居民生活区的科学分离，推进农村清洁工程，推动建设无害化公厕，改造、建设村庄公共活动场所，推进村庄公共照明设施建设，全方位打造宜居村庄，整体带动提升农村人居环境质量。</w:t>
      </w:r>
    </w:p>
    <w:p w14:paraId="467F785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有效拉动就业、去库存。农村土地开展</w:t>
      </w:r>
      <w:r>
        <w:rPr>
          <w:rFonts w:hint="eastAsia" w:eastAsia="仿宋" w:cs="Times New Roman"/>
          <w:color w:val="auto"/>
          <w:kern w:val="0"/>
          <w:sz w:val="24"/>
          <w:szCs w:val="24"/>
          <w:highlight w:val="none"/>
          <w:lang w:val="en-US" w:eastAsia="zh-CN" w:bidi="ar-SA"/>
        </w:rPr>
        <w:t>人居</w:t>
      </w:r>
      <w:r>
        <w:rPr>
          <w:rFonts w:hint="eastAsia" w:ascii="Times New Roman" w:hAnsi="Times New Roman" w:eastAsia="仿宋" w:cs="Times New Roman"/>
          <w:color w:val="auto"/>
          <w:kern w:val="0"/>
          <w:sz w:val="24"/>
          <w:szCs w:val="24"/>
          <w:highlight w:val="none"/>
          <w:lang w:val="en-US" w:eastAsia="zh-CN" w:bidi="ar-SA"/>
        </w:rPr>
        <w:t>环境改善工作，无论是道路硬化、农房外立面美化，都需要大量的人力物力，这项工作都需要大量的人力物力，可以提供大量的就业岗位也需要大量的钢筋、水泥等物资，可以有效拉动经济的发展。</w:t>
      </w:r>
    </w:p>
    <w:p w14:paraId="03B834CF">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3、改善农村人居环境，是全面建成小康社会的基本要求</w:t>
      </w:r>
    </w:p>
    <w:p w14:paraId="62E6686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党的十八大明确提出，要把生态文明建设放在突出位置，努力建设美丽中国，实现中华民族永续发展。生态文明建设的难点在农村，生态文明建设的希望也在农村，没有美丽乡村就</w:t>
      </w:r>
      <w:r>
        <w:rPr>
          <w:rFonts w:hint="eastAsia" w:eastAsia="仿宋" w:cs="Times New Roman"/>
          <w:color w:val="auto"/>
          <w:kern w:val="0"/>
          <w:sz w:val="24"/>
          <w:szCs w:val="24"/>
          <w:highlight w:val="none"/>
          <w:lang w:val="en-US" w:eastAsia="zh-CN" w:bidi="ar-SA"/>
        </w:rPr>
        <w:t>没有</w:t>
      </w:r>
      <w:r>
        <w:rPr>
          <w:rFonts w:hint="eastAsia" w:ascii="Times New Roman" w:hAnsi="Times New Roman" w:eastAsia="仿宋" w:cs="Times New Roman"/>
          <w:color w:val="auto"/>
          <w:kern w:val="0"/>
          <w:sz w:val="24"/>
          <w:szCs w:val="24"/>
          <w:highlight w:val="none"/>
          <w:lang w:val="en-US" w:eastAsia="zh-CN" w:bidi="ar-SA"/>
        </w:rPr>
        <w:t>美丽中国，建设“天蓝、地绿、水净，安居、乐业、增收”的美丽乡村是实现美丽广东乃至美丽中国的必由之路。“美丽乡村”是升级版的新农村建设，应以文化为根、以农业为基、以村民为本，更加注重关注生态环境资源的有效利用，更加关注人与自然和谐相处，更加关注农业发展方式转变，更加关注农业功能多样性发展，更加关注农村可持续发展，更加关注保护和传承农业文明。建设美丽乡村是统筹城乡协调发展、同步发展，提高广大农民群众幸福感和满意度的必然选择；是整合零散的农业资源，构建现代农业产业体系农民增收的重要途径；是改善农村生态环境和人居环境，形成强大的生态、宜居、宜业、宜游的凝聚力、辐射力，建设美好幸福家园的根本举措。</w:t>
      </w:r>
    </w:p>
    <w:p w14:paraId="1D65B11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习近平总书记在全国改善农村人居环境工作会议上强调要坚持因地制宜、分类指导，通过长期艰苦努力，全面改善农村生产生活条件。李克强总理强调，改善农村人居环境承载了亿万农民的新期待，要坚持农民主体地位，尊重农民意愿，突出农村特色，弘扬传统文化，有序推进农村人居环境综合整治，加快美丽乡村建设。汪洋副总理强调，要保护利用好农村土地，严控大拆大建；保护好历史文化和景观，保持乡村特色。因此，应大力呼吁和建议加大美丽乡村建设力度，突出创新“产业发展增收美、生活舒适康居美、生态优良环境美、文化传承和谐美”的工作理念与建设目标，充分体现强化农业、惠及农村和富裕农民的政策和措施，推动形成节约资源和保护环境的农业生产方式和农民生活方式，构建清洁、优美、文明、和谐的生态家园。改善农村人居环境，是全面建成小康社会的基本要求，是统筹城乡发展的有效途径，是一项利国利民的事业，是全面建成小康社会的重要组成部分，是广大农民群众的迫切愿望，因此，本项目建设是十分必要的。</w:t>
      </w:r>
    </w:p>
    <w:p w14:paraId="62814F7E">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482" w:firstLineChars="200"/>
        <w:textAlignment w:val="bottom"/>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4村、街、区发展诉求</w:t>
      </w:r>
    </w:p>
    <w:p w14:paraId="171972E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rPr>
      </w:pPr>
      <w:r>
        <w:rPr>
          <w:rFonts w:hint="eastAsia" w:ascii="Times New Roman" w:hAnsi="Times New Roman" w:eastAsia="仿宋" w:cs="Times New Roman"/>
          <w:color w:val="auto"/>
          <w:kern w:val="0"/>
          <w:sz w:val="24"/>
          <w:szCs w:val="24"/>
          <w:highlight w:val="none"/>
          <w:lang w:val="en-US" w:eastAsia="zh-CN" w:bidi="ar-SA"/>
        </w:rPr>
        <w:t>通过村委座谈、村民访谈、实地踏勘等方式，全面了解了项目的土地利用、社会、经济等情况，在这过程中，村委和村民充分表达了对本村的发展意愿和诉求。</w:t>
      </w:r>
    </w:p>
    <w:p w14:paraId="34F3CE3B">
      <w:pPr>
        <w:rPr>
          <w:rFonts w:hint="eastAsia" w:ascii="Times New Roman" w:hAnsi="Times New Roman" w:eastAsia="仿宋" w:cs="Times New Roman"/>
          <w:b/>
          <w:color w:val="auto"/>
          <w:kern w:val="2"/>
          <w:sz w:val="28"/>
          <w:szCs w:val="28"/>
          <w:lang w:val="en-US" w:eastAsia="zh-CN" w:bidi="ar-SA"/>
        </w:rPr>
      </w:pPr>
      <w:bookmarkStart w:id="4" w:name="_Toc16089"/>
      <w:bookmarkStart w:id="5" w:name="_Toc276025909"/>
      <w:bookmarkStart w:id="6" w:name="_Toc12921"/>
      <w:bookmarkStart w:id="7" w:name="_Toc19806070"/>
      <w:bookmarkStart w:id="8" w:name="_Toc14414"/>
      <w:bookmarkStart w:id="9" w:name="_Toc275114978"/>
      <w:bookmarkStart w:id="10" w:name="_Toc103572163"/>
      <w:r>
        <w:rPr>
          <w:rFonts w:hint="eastAsia" w:ascii="Times New Roman" w:hAnsi="Times New Roman" w:eastAsia="仿宋" w:cs="Times New Roman"/>
          <w:b/>
          <w:color w:val="auto"/>
          <w:kern w:val="2"/>
          <w:sz w:val="28"/>
          <w:szCs w:val="28"/>
          <w:lang w:val="en-US" w:eastAsia="zh-CN" w:bidi="ar-SA"/>
        </w:rPr>
        <w:br w:type="page"/>
      </w:r>
    </w:p>
    <w:p w14:paraId="3B434DDD">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eastAsia" w:ascii="Times New Roman" w:hAnsi="Times New Roman" w:eastAsia="仿宋" w:cs="Times New Roman"/>
          <w:color w:val="auto"/>
          <w:sz w:val="28"/>
          <w:szCs w:val="28"/>
          <w:highlight w:val="none"/>
          <w:lang w:val="en-US" w:eastAsia="zh-CN"/>
        </w:rPr>
      </w:pPr>
      <w:bookmarkStart w:id="11" w:name="_Toc19526"/>
      <w:r>
        <w:rPr>
          <w:rFonts w:hint="eastAsia" w:ascii="Times New Roman" w:hAnsi="Times New Roman" w:eastAsia="仿宋" w:cs="Times New Roman"/>
          <w:b/>
          <w:bCs w:val="0"/>
          <w:color w:val="auto"/>
          <w:sz w:val="28"/>
          <w:szCs w:val="28"/>
          <w:highlight w:val="none"/>
          <w:lang w:val="en-US" w:eastAsia="zh-CN"/>
        </w:rPr>
        <w:t>建设内容</w:t>
      </w:r>
      <w:bookmarkEnd w:id="4"/>
      <w:bookmarkEnd w:id="5"/>
      <w:bookmarkEnd w:id="6"/>
      <w:bookmarkEnd w:id="7"/>
      <w:bookmarkEnd w:id="8"/>
      <w:bookmarkEnd w:id="9"/>
      <w:bookmarkEnd w:id="11"/>
      <w:bookmarkStart w:id="12" w:name="_Toc22646"/>
    </w:p>
    <w:bookmarkEnd w:id="12"/>
    <w:p w14:paraId="23D68853">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2.1</w:t>
      </w:r>
      <w:r>
        <w:rPr>
          <w:rFonts w:hint="default" w:ascii="Times New Roman" w:hAnsi="Times New Roman" w:eastAsia="仿宋" w:cs="Times New Roman"/>
          <w:color w:val="auto"/>
          <w:sz w:val="28"/>
          <w:szCs w:val="28"/>
          <w:highlight w:val="none"/>
        </w:rPr>
        <w:t>项目技术路线</w:t>
      </w:r>
    </w:p>
    <w:p w14:paraId="4B104FB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以习近平新时代中国特色社会主义思想为指导，深入贯彻党的十九大和十九届二中、三中、四中、五中、六中全会精神，坚持以人民为中心的发展思想，践行绿水青山就是金山银山的理念，深入学习推广浙江“千村示范、万村整治”工程经验，巩固拓展农村人居环境整治三年行动成果，全面提升农村人居环境质量，为全面推进乡村振兴、加快农业农村现代化、建设美丽中国提供有力支撑。</w:t>
      </w:r>
    </w:p>
    <w:p w14:paraId="0A4AF5BF">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 xml:space="preserve">2.2 </w:t>
      </w:r>
      <w:r>
        <w:rPr>
          <w:rFonts w:hint="default" w:ascii="Times New Roman" w:hAnsi="Times New Roman" w:eastAsia="仿宋" w:cs="Times New Roman"/>
          <w:color w:val="auto"/>
          <w:sz w:val="28"/>
          <w:szCs w:val="28"/>
          <w:highlight w:val="none"/>
        </w:rPr>
        <w:t>主</w:t>
      </w:r>
      <w:r>
        <w:rPr>
          <w:rFonts w:hint="default" w:ascii="Times New Roman" w:hAnsi="Times New Roman" w:eastAsia="仿宋" w:cs="Times New Roman"/>
          <w:color w:val="auto"/>
          <w:sz w:val="28"/>
          <w:szCs w:val="28"/>
          <w:highlight w:val="none"/>
          <w:lang w:val="en-US" w:eastAsia="zh-CN"/>
        </w:rPr>
        <w:t>要建设内容</w:t>
      </w:r>
    </w:p>
    <w:p w14:paraId="15DF152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主要的建设内容有硬底化村道，邻渠侧建设浆砌石挡墙，</w:t>
      </w:r>
      <w:r>
        <w:rPr>
          <w:rFonts w:hint="eastAsia" w:eastAsia="仿宋" w:cs="Times New Roman"/>
          <w:color w:val="auto"/>
          <w:kern w:val="0"/>
          <w:sz w:val="24"/>
          <w:szCs w:val="24"/>
          <w:highlight w:val="none"/>
          <w:lang w:val="en-US" w:eastAsia="zh-CN" w:bidi="ar-SA"/>
        </w:rPr>
        <w:t>安装不锈钢栏杆，</w:t>
      </w:r>
      <w:r>
        <w:rPr>
          <w:rFonts w:hint="default" w:ascii="Times New Roman" w:hAnsi="Times New Roman" w:eastAsia="仿宋" w:cs="Times New Roman"/>
          <w:color w:val="auto"/>
          <w:kern w:val="0"/>
          <w:sz w:val="24"/>
          <w:szCs w:val="24"/>
          <w:highlight w:val="none"/>
          <w:lang w:val="en-US" w:eastAsia="zh-CN" w:bidi="ar-SA"/>
        </w:rPr>
        <w:t>确保村道路基稳定，使得道路周围环境整洁。</w:t>
      </w:r>
    </w:p>
    <w:p w14:paraId="7B1CA52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lang w:val="en-US" w:eastAsia="zh-CN"/>
        </w:rPr>
      </w:pPr>
      <w:r>
        <w:rPr>
          <w:rFonts w:hint="default" w:ascii="Times New Roman" w:hAnsi="Times New Roman" w:eastAsia="仿宋" w:cs="Times New Roman"/>
          <w:color w:val="auto"/>
          <w:kern w:val="0"/>
          <w:sz w:val="24"/>
          <w:szCs w:val="24"/>
          <w:highlight w:val="none"/>
          <w:lang w:val="en-US" w:eastAsia="zh-CN" w:bidi="ar-SA"/>
        </w:rPr>
        <w:t>巷道硬底化建设内容，道路面层采用设接缝的普通混凝土。当面层板形状不规则，路面结构下埋有地下设施，软土地基、填挖交界段的路基等有可能产生不均匀沉降时，采用设置接缝的钢筋混凝土面层。混凝土强度应≥C25。道路面层厚度：道路面层厚度不小于10cm，横向接缝的间距4</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6m；路肩处理：路肩铺面结构应具有一定的承载能力，其结构层组合和材料选用应与道路相协调，并保证进入路面结构中的水的排除。路肩水泥混凝土面层的厚度采用与行车道面层等厚，其基层宜与行车道基层相同。选用薄面层时，其厚度不宜小于150mm，基层应采用开级配粒料；路面排水：本次规划对村庄道路进行硬底化或拓宽的建设过程中同时敷设道路排水管道，面层采用混凝土，道路路面应设置双向横坡，排至两侧排水沟，坡度为1%-2%。路肩铺面的横向坡度值宜比行车道路面的横坡值大1%-2%。</w:t>
      </w:r>
    </w:p>
    <w:p w14:paraId="350DB7B2">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 xml:space="preserve">2.3 </w:t>
      </w:r>
      <w:r>
        <w:rPr>
          <w:rFonts w:hint="default" w:ascii="Times New Roman" w:hAnsi="Times New Roman" w:eastAsia="仿宋" w:cs="Times New Roman"/>
          <w:color w:val="auto"/>
          <w:sz w:val="28"/>
          <w:szCs w:val="28"/>
          <w:highlight w:val="none"/>
        </w:rPr>
        <w:t>建设周期</w:t>
      </w:r>
    </w:p>
    <w:p w14:paraId="363F4F3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项目计划2025年4月底前完成前期工作，2025年5月初开工建设，2025年7月完成验收，施工期共3个月。</w:t>
      </w:r>
    </w:p>
    <w:p w14:paraId="6C76909B">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 xml:space="preserve">2.4 </w:t>
      </w:r>
      <w:r>
        <w:rPr>
          <w:rFonts w:hint="default" w:ascii="Times New Roman" w:hAnsi="Times New Roman" w:eastAsia="仿宋" w:cs="Times New Roman"/>
          <w:color w:val="auto"/>
          <w:sz w:val="28"/>
          <w:szCs w:val="28"/>
          <w:highlight w:val="none"/>
        </w:rPr>
        <w:t>项目投资</w:t>
      </w:r>
    </w:p>
    <w:p w14:paraId="4A5F070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本项目估算总投资59.07万元，其中建筑工程50.16万元，占投资规模的84.92%；独立费用6.09万元（其中建设单位管理费，0.81万元；</w:t>
      </w:r>
      <w:r>
        <w:rPr>
          <w:rFonts w:hint="eastAsia" w:eastAsia="仿宋" w:cs="Times New Roman"/>
          <w:color w:val="auto"/>
          <w:kern w:val="0"/>
          <w:sz w:val="24"/>
          <w:szCs w:val="24"/>
          <w:highlight w:val="none"/>
          <w:lang w:val="en-US" w:eastAsia="zh-CN" w:bidi="ar-SA"/>
        </w:rPr>
        <w:t>勘测</w:t>
      </w:r>
      <w:r>
        <w:rPr>
          <w:rFonts w:hint="default" w:ascii="Times New Roman" w:hAnsi="Times New Roman" w:eastAsia="仿宋" w:cs="Times New Roman"/>
          <w:color w:val="auto"/>
          <w:kern w:val="0"/>
          <w:sz w:val="24"/>
          <w:szCs w:val="24"/>
          <w:highlight w:val="none"/>
          <w:lang w:val="en-US" w:eastAsia="zh-CN" w:bidi="ar-SA"/>
        </w:rPr>
        <w:t>设计费，2.86万元；工程监理费，1.41万元；工程保险费，0.23万元；全过程造价咨询费，0.48万元；工程检验监测费，0.30万元），占项目总投资的10.31%；基本预备费2.82万元，占总投资的4.77%。</w:t>
      </w:r>
    </w:p>
    <w:p w14:paraId="53EB1D8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bookmarkStart w:id="13" w:name="_Toc12695"/>
      <w:r>
        <w:rPr>
          <w:rFonts w:hint="default" w:ascii="Times New Roman" w:hAnsi="Times New Roman" w:eastAsia="仿宋" w:cs="Times New Roman"/>
          <w:color w:val="auto"/>
          <w:kern w:val="0"/>
          <w:sz w:val="24"/>
          <w:szCs w:val="24"/>
          <w:highlight w:val="none"/>
          <w:lang w:val="en-US" w:eastAsia="zh-CN" w:bidi="ar-SA"/>
        </w:rPr>
        <w:t>项目建设所需资金由市级培育创建的“百千万工程”典型村资金45万，其余资金由建设单位自行统筹安排</w:t>
      </w:r>
      <w:r>
        <w:rPr>
          <w:rFonts w:hint="default" w:ascii="Times New Roman" w:hAnsi="Times New Roman" w:eastAsia="仿宋" w:cs="Times New Roman"/>
          <w:color w:val="auto"/>
          <w:kern w:val="0"/>
          <w:sz w:val="24"/>
          <w:szCs w:val="24"/>
          <w:highlight w:val="none"/>
          <w:lang w:val="zh-CN" w:eastAsia="zh-CN" w:bidi="ar-SA"/>
        </w:rPr>
        <w:t>。</w:t>
      </w:r>
    </w:p>
    <w:p w14:paraId="1DA5910E">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 xml:space="preserve">2.5 </w:t>
      </w:r>
      <w:r>
        <w:rPr>
          <w:rFonts w:hint="default" w:ascii="Times New Roman" w:hAnsi="Times New Roman" w:eastAsia="仿宋" w:cs="Times New Roman"/>
          <w:color w:val="auto"/>
          <w:sz w:val="28"/>
          <w:szCs w:val="28"/>
          <w:highlight w:val="none"/>
        </w:rPr>
        <w:t>编制依据</w:t>
      </w:r>
      <w:bookmarkEnd w:id="13"/>
    </w:p>
    <w:p w14:paraId="5EECC89B">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lang w:val="zh-CN"/>
        </w:rPr>
      </w:pPr>
      <w:r>
        <w:rPr>
          <w:rFonts w:hint="eastAsia" w:ascii="Times New Roman" w:hAnsi="Times New Roman" w:eastAsia="仿宋" w:cs="Times New Roman"/>
          <w:b/>
          <w:color w:val="auto"/>
          <w:kern w:val="2"/>
          <w:sz w:val="28"/>
          <w:szCs w:val="28"/>
          <w:lang w:val="en-US" w:eastAsia="zh-CN" w:bidi="ar-SA"/>
        </w:rPr>
        <w:t>2</w:t>
      </w:r>
      <w:r>
        <w:rPr>
          <w:rFonts w:hint="eastAsia" w:ascii="Times New Roman" w:hAnsi="Times New Roman" w:eastAsia="仿宋" w:cs="Times New Roman"/>
          <w:b/>
          <w:color w:val="auto"/>
          <w:kern w:val="2"/>
          <w:sz w:val="28"/>
          <w:szCs w:val="28"/>
          <w:lang w:val="zh-CN" w:eastAsia="zh-CN" w:bidi="ar-SA"/>
        </w:rPr>
        <w:t>.</w:t>
      </w:r>
      <w:r>
        <w:rPr>
          <w:rFonts w:hint="eastAsia" w:ascii="Times New Roman" w:hAnsi="Times New Roman" w:eastAsia="仿宋" w:cs="Times New Roman"/>
          <w:b/>
          <w:color w:val="auto"/>
          <w:kern w:val="2"/>
          <w:sz w:val="28"/>
          <w:szCs w:val="28"/>
          <w:lang w:val="en-US" w:eastAsia="zh-CN" w:bidi="ar-SA"/>
        </w:rPr>
        <w:t>5</w:t>
      </w:r>
      <w:r>
        <w:rPr>
          <w:rFonts w:hint="eastAsia" w:ascii="Times New Roman" w:hAnsi="Times New Roman" w:eastAsia="仿宋" w:cs="Times New Roman"/>
          <w:b/>
          <w:color w:val="auto"/>
          <w:kern w:val="2"/>
          <w:sz w:val="28"/>
          <w:szCs w:val="28"/>
          <w:lang w:val="zh-CN" w:eastAsia="zh-CN" w:bidi="ar-SA"/>
        </w:rPr>
        <w:t xml:space="preserve">.1 </w:t>
      </w:r>
      <w:r>
        <w:rPr>
          <w:rFonts w:hint="default" w:ascii="Times New Roman" w:hAnsi="Times New Roman" w:eastAsia="仿宋" w:cs="Times New Roman"/>
          <w:color w:val="auto"/>
          <w:sz w:val="28"/>
          <w:szCs w:val="28"/>
          <w:highlight w:val="none"/>
          <w:lang w:val="en-US" w:eastAsia="zh-CN"/>
        </w:rPr>
        <w:t>法律法规</w:t>
      </w:r>
    </w:p>
    <w:p w14:paraId="75AB0FC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1、《中华人民共和国农业法》（2012年修正）；</w:t>
      </w:r>
    </w:p>
    <w:p w14:paraId="1036DA4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2、《中华人民共和国土地管理法》（2019年修正）；</w:t>
      </w:r>
    </w:p>
    <w:p w14:paraId="7076425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3、《中华人民共和国土地管理法实施条例》（2021年修正）；</w:t>
      </w:r>
    </w:p>
    <w:p w14:paraId="5BF09BC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4、《中华人民共和国水法》（2016年修正）；</w:t>
      </w:r>
    </w:p>
    <w:p w14:paraId="7CC416F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5、《中华人民共和国环境保护法》（2014年修订）；</w:t>
      </w:r>
    </w:p>
    <w:p w14:paraId="37780FC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6、《中华人民共和国水土保持法》（2010年修订）；</w:t>
      </w:r>
    </w:p>
    <w:p w14:paraId="4D24CF0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7、《中华人民共和国基本农田保护条例》（2011年修订）；</w:t>
      </w:r>
    </w:p>
    <w:p w14:paraId="67A5BF2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8、《中华人民共和国农村土地承包法》（2018年修正）；</w:t>
      </w:r>
    </w:p>
    <w:p w14:paraId="371BD59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9、《中华人民共和国城乡规划法》（2019年修正）；</w:t>
      </w:r>
    </w:p>
    <w:p w14:paraId="45D8AE1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10、《</w:t>
      </w:r>
      <w:r>
        <w:rPr>
          <w:rFonts w:hint="default" w:ascii="Times New Roman" w:hAnsi="Times New Roman" w:eastAsia="仿宋" w:cs="Times New Roman"/>
          <w:color w:val="auto"/>
          <w:kern w:val="0"/>
          <w:sz w:val="24"/>
          <w:szCs w:val="24"/>
          <w:highlight w:val="none"/>
          <w:lang w:val="en-US" w:eastAsia="zh-CN" w:bidi="ar-SA"/>
        </w:rPr>
        <w:fldChar w:fldCharType="begin"/>
      </w:r>
      <w:r>
        <w:rPr>
          <w:rFonts w:hint="default" w:ascii="Times New Roman" w:hAnsi="Times New Roman" w:eastAsia="仿宋" w:cs="Times New Roman"/>
          <w:color w:val="auto"/>
          <w:kern w:val="0"/>
          <w:sz w:val="24"/>
          <w:szCs w:val="24"/>
          <w:highlight w:val="none"/>
          <w:lang w:val="en-US" w:eastAsia="zh-CN" w:bidi="ar-SA"/>
        </w:rPr>
        <w:instrText xml:space="preserve"> HYPERLINK "https://baike.baidu.com/item/%E4%B8%AD%E5%8D%8E%E4%BA%BA%E6%B0%91%E5%85%B1%E5%92%8C%E5%9B%BD%E4%B9%A1%E6%9D%91%E6%8C%AF%E5%85%B4%E4%BF%83%E8%BF%9B%E6%B3%95/23340883?fromModule=lemma_inlink" \t "https://baike.baidu.com/item/%E4%B9%A1%E6%9D%91%E6%8C%AF%E5%85%B4%E6%88%98%E7%95%A5/_blank" </w:instrText>
      </w:r>
      <w:r>
        <w:rPr>
          <w:rFonts w:hint="default" w:ascii="Times New Roman" w:hAnsi="Times New Roman" w:eastAsia="仿宋" w:cs="Times New Roman"/>
          <w:color w:val="auto"/>
          <w:kern w:val="0"/>
          <w:sz w:val="24"/>
          <w:szCs w:val="24"/>
          <w:highlight w:val="none"/>
          <w:lang w:val="en-US" w:eastAsia="zh-CN" w:bidi="ar-SA"/>
        </w:rPr>
        <w:fldChar w:fldCharType="separate"/>
      </w:r>
      <w:r>
        <w:rPr>
          <w:rFonts w:hint="default" w:ascii="Times New Roman" w:hAnsi="Times New Roman" w:eastAsia="仿宋" w:cs="Times New Roman"/>
          <w:color w:val="auto"/>
          <w:kern w:val="0"/>
          <w:sz w:val="24"/>
          <w:szCs w:val="24"/>
          <w:highlight w:val="none"/>
          <w:lang w:val="en-US" w:eastAsia="zh-CN" w:bidi="ar-SA"/>
        </w:rPr>
        <w:t>中华人民共和国乡村振兴促进法</w:t>
      </w:r>
      <w:r>
        <w:rPr>
          <w:rFonts w:hint="default" w:ascii="Times New Roman" w:hAnsi="Times New Roman" w:eastAsia="仿宋" w:cs="Times New Roman"/>
          <w:color w:val="auto"/>
          <w:kern w:val="0"/>
          <w:sz w:val="24"/>
          <w:szCs w:val="24"/>
          <w:highlight w:val="none"/>
          <w:lang w:val="en-US" w:eastAsia="zh-CN" w:bidi="ar-SA"/>
        </w:rPr>
        <w:fldChar w:fldCharType="end"/>
      </w:r>
      <w:r>
        <w:rPr>
          <w:rFonts w:hint="default" w:ascii="Times New Roman" w:hAnsi="Times New Roman"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fldChar w:fldCharType="begin"/>
      </w:r>
      <w:r>
        <w:rPr>
          <w:rFonts w:hint="default" w:ascii="Times New Roman" w:hAnsi="Times New Roman" w:eastAsia="仿宋" w:cs="Times New Roman"/>
          <w:color w:val="auto"/>
          <w:kern w:val="0"/>
          <w:sz w:val="24"/>
          <w:szCs w:val="24"/>
          <w:highlight w:val="none"/>
          <w:lang w:val="en-US" w:eastAsia="zh-CN" w:bidi="ar-SA"/>
        </w:rPr>
        <w:instrText xml:space="preserve"> HYPERLINK "https://baike.baidu.com/item/%E4%B8%AD%E5%8D%8E%E4%BA%BA%E6%B0%91%E5%85%B1%E5%92%8C%E5%9B%BD%E4%B8%BB%E5%B8%AD%E4%BB%A4%EF%BC%88%E7%AC%AC%E4%B8%83%E5%8D%81%E4%B8%83%E5%8F%B7%EF%BC%89/23122901?fromModule=lemma_inlink" \t "https://baike.baidu.com/item/%E4%B8%AD%E5%8D%8E%E4%BA%BA%E6%B0%91%E5%85%B1%E5%92%8C%E5%9B%BD%E4%B9%A1%E6%9D%91%E6%8C%AF%E5%85%B4%E4%BF%83%E8%BF%9B%E6%B3%95/_blank" </w:instrText>
      </w:r>
      <w:r>
        <w:rPr>
          <w:rFonts w:hint="default" w:ascii="Times New Roman" w:hAnsi="Times New Roman" w:eastAsia="仿宋" w:cs="Times New Roman"/>
          <w:color w:val="auto"/>
          <w:kern w:val="0"/>
          <w:sz w:val="24"/>
          <w:szCs w:val="24"/>
          <w:highlight w:val="none"/>
          <w:lang w:val="en-US" w:eastAsia="zh-CN" w:bidi="ar-SA"/>
        </w:rPr>
        <w:fldChar w:fldCharType="separate"/>
      </w:r>
      <w:r>
        <w:rPr>
          <w:rFonts w:hint="default" w:ascii="Times New Roman" w:hAnsi="Times New Roman" w:eastAsia="仿宋" w:cs="Times New Roman"/>
          <w:color w:val="auto"/>
          <w:kern w:val="0"/>
          <w:sz w:val="24"/>
          <w:szCs w:val="24"/>
          <w:highlight w:val="none"/>
          <w:lang w:val="en-US" w:eastAsia="zh-CN" w:bidi="ar-SA"/>
        </w:rPr>
        <w:t>中华人民共和国主席令（第七十七号）</w:t>
      </w:r>
      <w:r>
        <w:rPr>
          <w:rFonts w:hint="default" w:ascii="Times New Roman" w:hAnsi="Times New Roman" w:eastAsia="仿宋" w:cs="Times New Roman"/>
          <w:color w:val="auto"/>
          <w:kern w:val="0"/>
          <w:sz w:val="24"/>
          <w:szCs w:val="24"/>
          <w:highlight w:val="none"/>
          <w:lang w:val="en-US" w:eastAsia="zh-CN" w:bidi="ar-SA"/>
        </w:rPr>
        <w:fldChar w:fldCharType="end"/>
      </w:r>
      <w:r>
        <w:rPr>
          <w:rFonts w:hint="default" w:ascii="Times New Roman" w:hAnsi="Times New Roman" w:eastAsia="仿宋" w:cs="Times New Roman"/>
          <w:color w:val="auto"/>
          <w:kern w:val="0"/>
          <w:sz w:val="24"/>
          <w:szCs w:val="24"/>
          <w:highlight w:val="none"/>
          <w:lang w:val="en-US" w:eastAsia="zh-CN" w:bidi="ar-SA"/>
        </w:rPr>
        <w:t>公布，自2021年6月1日起施行）。</w:t>
      </w:r>
    </w:p>
    <w:p w14:paraId="225BC0B1">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lang w:val="en-US" w:eastAsia="zh-CN"/>
        </w:rPr>
      </w:pPr>
      <w:bookmarkStart w:id="14" w:name="_Toc9722"/>
      <w:r>
        <w:rPr>
          <w:rFonts w:hint="eastAsia" w:ascii="Times New Roman" w:hAnsi="Times New Roman" w:eastAsia="仿宋" w:cs="Times New Roman"/>
          <w:b/>
          <w:color w:val="auto"/>
          <w:kern w:val="2"/>
          <w:sz w:val="28"/>
          <w:szCs w:val="28"/>
          <w:lang w:val="en-US" w:eastAsia="zh-CN" w:bidi="ar-SA"/>
        </w:rPr>
        <w:t xml:space="preserve">2.5.2 </w:t>
      </w:r>
      <w:r>
        <w:rPr>
          <w:rFonts w:hint="default" w:ascii="Times New Roman" w:hAnsi="Times New Roman" w:eastAsia="仿宋" w:cs="Times New Roman"/>
          <w:color w:val="auto"/>
          <w:sz w:val="28"/>
          <w:szCs w:val="28"/>
          <w:highlight w:val="none"/>
          <w:lang w:val="en-US" w:eastAsia="zh-CN"/>
        </w:rPr>
        <w:t>国家和地方支持性规划</w:t>
      </w:r>
      <w:bookmarkEnd w:id="14"/>
    </w:p>
    <w:p w14:paraId="2D842B9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kern w:val="0"/>
          <w:sz w:val="24"/>
          <w:szCs w:val="24"/>
          <w:highlight w:val="none"/>
          <w:lang w:val="en-US" w:eastAsia="zh-CN" w:bidi="ar-SA"/>
        </w:rPr>
        <w:t>、《中华人民共和国国民经济和社会发展第十四个五年规划和2035年远景目标纲要》；</w:t>
      </w:r>
    </w:p>
    <w:p w14:paraId="4E7B04D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2、《“十四五”推进农业农村现代化规划》；</w:t>
      </w:r>
    </w:p>
    <w:p w14:paraId="5EC2B82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3、《</w:t>
      </w:r>
      <w:r>
        <w:rPr>
          <w:rFonts w:hint="default" w:ascii="Times New Roman" w:hAnsi="Times New Roman" w:eastAsia="仿宋" w:cs="Times New Roman"/>
          <w:color w:val="auto"/>
          <w:kern w:val="0"/>
          <w:sz w:val="24"/>
          <w:szCs w:val="24"/>
          <w:highlight w:val="none"/>
          <w:lang w:val="en-US" w:eastAsia="zh-CN" w:bidi="ar-SA"/>
        </w:rPr>
        <w:fldChar w:fldCharType="begin"/>
      </w:r>
      <w:r>
        <w:rPr>
          <w:rFonts w:hint="default" w:ascii="Times New Roman" w:hAnsi="Times New Roman" w:eastAsia="仿宋" w:cs="Times New Roman"/>
          <w:color w:val="auto"/>
          <w:kern w:val="0"/>
          <w:sz w:val="24"/>
          <w:szCs w:val="24"/>
          <w:highlight w:val="none"/>
          <w:lang w:val="en-US" w:eastAsia="zh-CN" w:bidi="ar-SA"/>
        </w:rPr>
        <w:instrText xml:space="preserve"> HYPERLINK "http://www.baidu.com/link?url=u5KPg3WG47gcQgF2HxMk5H40s02nY1hibffqxgCNvfMkM1PVY3Ha7_9vzZZWT-pS-Ai90eUqMv8Y2DYZbwh99Q-8hKSw9HRUqnhxprCAfFTNWvwQi0DjTyysEjeKTpdt63THfQocBSWR52c80m1jOwOHeWY9SHsz5fBdd3SAYns91HnhUiVy5oWfPJ31Hve74fS2yCromRZCFFeWY9Azs1y1Zl08Ul0aIdr5JYv21vPkDUexxk_TRjmdegJm5MKL" \t "https://www.baidu.com/_blank" </w:instrText>
      </w:r>
      <w:r>
        <w:rPr>
          <w:rFonts w:hint="default" w:ascii="Times New Roman" w:hAnsi="Times New Roman" w:eastAsia="仿宋" w:cs="Times New Roman"/>
          <w:color w:val="auto"/>
          <w:kern w:val="0"/>
          <w:sz w:val="24"/>
          <w:szCs w:val="24"/>
          <w:highlight w:val="none"/>
          <w:lang w:val="en-US" w:eastAsia="zh-CN" w:bidi="ar-SA"/>
        </w:rPr>
        <w:fldChar w:fldCharType="separate"/>
      </w:r>
      <w:r>
        <w:rPr>
          <w:rFonts w:hint="default" w:ascii="Times New Roman" w:hAnsi="Times New Roman" w:eastAsia="仿宋" w:cs="Times New Roman"/>
          <w:color w:val="auto"/>
          <w:kern w:val="0"/>
          <w:sz w:val="24"/>
          <w:szCs w:val="24"/>
          <w:highlight w:val="none"/>
          <w:lang w:val="en-US" w:eastAsia="zh-CN" w:bidi="ar-SA"/>
        </w:rPr>
        <w:t>全国国土空间规划纲要（2021</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2035年）</w:t>
      </w:r>
      <w:r>
        <w:rPr>
          <w:rFonts w:hint="default" w:ascii="Times New Roman" w:hAnsi="Times New Roman" w:eastAsia="仿宋" w:cs="Times New Roman"/>
          <w:color w:val="auto"/>
          <w:kern w:val="0"/>
          <w:sz w:val="24"/>
          <w:szCs w:val="24"/>
          <w:highlight w:val="none"/>
          <w:lang w:val="en-US" w:eastAsia="zh-CN" w:bidi="ar-SA"/>
        </w:rPr>
        <w:fldChar w:fldCharType="end"/>
      </w:r>
      <w:r>
        <w:rPr>
          <w:rFonts w:hint="default" w:ascii="Times New Roman" w:hAnsi="Times New Roman" w:eastAsia="仿宋" w:cs="Times New Roman"/>
          <w:color w:val="auto"/>
          <w:kern w:val="0"/>
          <w:sz w:val="24"/>
          <w:szCs w:val="24"/>
          <w:highlight w:val="none"/>
          <w:lang w:val="en-US" w:eastAsia="zh-CN" w:bidi="ar-SA"/>
        </w:rPr>
        <w:t>》；</w:t>
      </w:r>
    </w:p>
    <w:p w14:paraId="6DBC471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4、《粤港澳大湾区发展规划纲要》；</w:t>
      </w:r>
    </w:p>
    <w:p w14:paraId="2F9A211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5、《广东省国民经济和社会发展第十四个五年规划和2035年远景目标纲要》；</w:t>
      </w:r>
    </w:p>
    <w:p w14:paraId="6BB533C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6、《广东省推进农业农村现代化“十四五”规划》；</w:t>
      </w:r>
    </w:p>
    <w:p w14:paraId="7AC73B5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7、《</w:t>
      </w:r>
      <w:r>
        <w:rPr>
          <w:rFonts w:hint="default" w:ascii="Times New Roman" w:hAnsi="Times New Roman" w:eastAsia="仿宋" w:cs="Times New Roman"/>
          <w:color w:val="auto"/>
          <w:kern w:val="0"/>
          <w:sz w:val="24"/>
          <w:szCs w:val="24"/>
          <w:highlight w:val="none"/>
          <w:lang w:val="en-US" w:eastAsia="zh-CN" w:bidi="ar-SA"/>
        </w:rPr>
        <w:fldChar w:fldCharType="begin"/>
      </w:r>
      <w:r>
        <w:rPr>
          <w:rFonts w:hint="default" w:ascii="Times New Roman" w:hAnsi="Times New Roman" w:eastAsia="仿宋" w:cs="Times New Roman"/>
          <w:color w:val="auto"/>
          <w:kern w:val="0"/>
          <w:sz w:val="24"/>
          <w:szCs w:val="24"/>
          <w:highlight w:val="none"/>
          <w:lang w:val="en-US" w:eastAsia="zh-CN" w:bidi="ar-SA"/>
        </w:rPr>
        <w:instrText xml:space="preserve"> HYPERLINK "http://www.baidu.com/link?url=u5KPg3WG47gcQgF2HxMk5H40s02nY1hibffqxgCNvfMkM1PVY3Ha7_9vzZZWT-pS-Ai90eUqMv8Y2DYZbwh99Q-8hKSw9HRUqnhxprCAfFTNWvwQi0DjTyysEjeKTpdt63THfQocBSWR52c80m1jOwOHeWY9SHsz5fBdd3SAYns91HnhUiVy5oWfPJ31Hve74fS2yCromRZCFFeWY9Azs1y1Zl08Ul0aIdr5JYv21vPkDUexxk_TRjmdegJm5MKL" \t "https://www.baidu.com/_blank" </w:instrText>
      </w:r>
      <w:r>
        <w:rPr>
          <w:rFonts w:hint="default" w:ascii="Times New Roman" w:hAnsi="Times New Roman" w:eastAsia="仿宋" w:cs="Times New Roman"/>
          <w:color w:val="auto"/>
          <w:kern w:val="0"/>
          <w:sz w:val="24"/>
          <w:szCs w:val="24"/>
          <w:highlight w:val="none"/>
          <w:lang w:val="en-US" w:eastAsia="zh-CN" w:bidi="ar-SA"/>
        </w:rPr>
        <w:fldChar w:fldCharType="separate"/>
      </w:r>
      <w:r>
        <w:rPr>
          <w:rFonts w:hint="default" w:ascii="Times New Roman" w:hAnsi="Times New Roman" w:eastAsia="仿宋" w:cs="Times New Roman"/>
          <w:color w:val="auto"/>
          <w:kern w:val="0"/>
          <w:sz w:val="24"/>
          <w:szCs w:val="24"/>
          <w:highlight w:val="none"/>
          <w:lang w:val="en-US" w:eastAsia="zh-CN" w:bidi="ar-SA"/>
        </w:rPr>
        <w:t>广东省国土空间规划纲要（2021</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2035年）</w:t>
      </w:r>
      <w:r>
        <w:rPr>
          <w:rFonts w:hint="default" w:ascii="Times New Roman" w:hAnsi="Times New Roman" w:eastAsia="仿宋" w:cs="Times New Roman"/>
          <w:color w:val="auto"/>
          <w:kern w:val="0"/>
          <w:sz w:val="24"/>
          <w:szCs w:val="24"/>
          <w:highlight w:val="none"/>
          <w:lang w:val="en-US" w:eastAsia="zh-CN" w:bidi="ar-SA"/>
        </w:rPr>
        <w:fldChar w:fldCharType="end"/>
      </w:r>
      <w:r>
        <w:rPr>
          <w:rFonts w:hint="default" w:ascii="Times New Roman" w:hAnsi="Times New Roman" w:eastAsia="仿宋" w:cs="Times New Roman"/>
          <w:color w:val="auto"/>
          <w:kern w:val="0"/>
          <w:sz w:val="24"/>
          <w:szCs w:val="24"/>
          <w:highlight w:val="none"/>
          <w:lang w:val="en-US" w:eastAsia="zh-CN" w:bidi="ar-SA"/>
        </w:rPr>
        <w:t>》；</w:t>
      </w:r>
    </w:p>
    <w:p w14:paraId="4F374A3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8、《广东省生态环境保护“十四五”规划》；</w:t>
      </w:r>
    </w:p>
    <w:p w14:paraId="2A1235F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9、《广州市国民经济和社会发展第十四个五年规划和2035年远景目标纲要》；</w:t>
      </w:r>
    </w:p>
    <w:p w14:paraId="36E9F5C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10、《广州市农业农村现代化“十四五”规划》；</w:t>
      </w:r>
    </w:p>
    <w:p w14:paraId="2F34C11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11、《</w:t>
      </w:r>
      <w:r>
        <w:rPr>
          <w:rFonts w:hint="default" w:ascii="Times New Roman" w:hAnsi="Times New Roman" w:eastAsia="仿宋" w:cs="Times New Roman"/>
          <w:color w:val="auto"/>
          <w:kern w:val="0"/>
          <w:sz w:val="24"/>
          <w:szCs w:val="24"/>
          <w:highlight w:val="none"/>
          <w:lang w:val="en-US" w:eastAsia="zh-CN" w:bidi="ar-SA"/>
        </w:rPr>
        <w:fldChar w:fldCharType="begin"/>
      </w:r>
      <w:r>
        <w:rPr>
          <w:rFonts w:hint="default" w:ascii="Times New Roman" w:hAnsi="Times New Roman" w:eastAsia="仿宋" w:cs="Times New Roman"/>
          <w:color w:val="auto"/>
          <w:kern w:val="0"/>
          <w:sz w:val="24"/>
          <w:szCs w:val="24"/>
          <w:highlight w:val="none"/>
          <w:lang w:val="en-US" w:eastAsia="zh-CN" w:bidi="ar-SA"/>
        </w:rPr>
        <w:instrText xml:space="preserve"> HYPERLINK "http://www.baidu.com/link?url=u5KPg3WG47gcQgF2HxMk5H40s02nY1hibffqxgCNvfMkM1PVY3Ha7_9vzZZWT-pS-Ai90eUqMv8Y2DYZbwh99Q-8hKSw9HRUqnhxprCAfFTNWvwQi0DjTyysEjeKTpdt63THfQocBSWR52c80m1jOwOHeWY9SHsz5fBdd3SAYns91HnhUiVy5oWfPJ31Hve74fS2yCromRZCFFeWY9Azs1y1Zl08Ul0aIdr5JYv21vPkDUexxk_TRjmdegJm5MKL" \t "https://www.baidu.com/_blank" </w:instrText>
      </w:r>
      <w:r>
        <w:rPr>
          <w:rFonts w:hint="default" w:ascii="Times New Roman" w:hAnsi="Times New Roman" w:eastAsia="仿宋" w:cs="Times New Roman"/>
          <w:color w:val="auto"/>
          <w:kern w:val="0"/>
          <w:sz w:val="24"/>
          <w:szCs w:val="24"/>
          <w:highlight w:val="none"/>
          <w:lang w:val="en-US" w:eastAsia="zh-CN" w:bidi="ar-SA"/>
        </w:rPr>
        <w:fldChar w:fldCharType="separate"/>
      </w:r>
      <w:r>
        <w:rPr>
          <w:rFonts w:hint="default" w:ascii="Times New Roman" w:hAnsi="Times New Roman" w:eastAsia="仿宋" w:cs="Times New Roman"/>
          <w:color w:val="auto"/>
          <w:kern w:val="0"/>
          <w:sz w:val="24"/>
          <w:szCs w:val="24"/>
          <w:highlight w:val="none"/>
          <w:lang w:val="en-US" w:eastAsia="zh-CN" w:bidi="ar-SA"/>
        </w:rPr>
        <w:t>广州南沙新区国土空间总体规划纲要（2021</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2035年）</w:t>
      </w:r>
      <w:r>
        <w:rPr>
          <w:rFonts w:hint="default" w:ascii="Times New Roman" w:hAnsi="Times New Roman" w:eastAsia="仿宋" w:cs="Times New Roman"/>
          <w:color w:val="auto"/>
          <w:kern w:val="0"/>
          <w:sz w:val="24"/>
          <w:szCs w:val="24"/>
          <w:highlight w:val="none"/>
          <w:lang w:val="en-US" w:eastAsia="zh-CN" w:bidi="ar-SA"/>
        </w:rPr>
        <w:fldChar w:fldCharType="end"/>
      </w:r>
      <w:r>
        <w:rPr>
          <w:rFonts w:hint="default" w:ascii="Times New Roman" w:hAnsi="Times New Roman" w:eastAsia="仿宋" w:cs="Times New Roman"/>
          <w:color w:val="auto"/>
          <w:kern w:val="0"/>
          <w:sz w:val="24"/>
          <w:szCs w:val="24"/>
          <w:highlight w:val="none"/>
          <w:lang w:val="en-US" w:eastAsia="zh-CN" w:bidi="ar-SA"/>
        </w:rPr>
        <w:t>》；</w:t>
      </w:r>
    </w:p>
    <w:p w14:paraId="2D12196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12、《广州市生态环境保护“十四五”规划》。</w:t>
      </w:r>
    </w:p>
    <w:p w14:paraId="7FCCE61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lang w:val="en-US" w:eastAsia="zh-CN"/>
        </w:rPr>
      </w:pPr>
      <w:bookmarkStart w:id="15" w:name="_Toc14857"/>
      <w:r>
        <w:rPr>
          <w:rFonts w:hint="eastAsia" w:ascii="Times New Roman" w:hAnsi="Times New Roman" w:eastAsia="仿宋" w:cs="Times New Roman"/>
          <w:b/>
          <w:color w:val="auto"/>
          <w:kern w:val="2"/>
          <w:sz w:val="28"/>
          <w:szCs w:val="28"/>
          <w:lang w:val="en-US" w:eastAsia="zh-CN" w:bidi="ar-SA"/>
        </w:rPr>
        <w:t xml:space="preserve">2.5.3 </w:t>
      </w:r>
      <w:r>
        <w:rPr>
          <w:rFonts w:hint="default" w:ascii="Times New Roman" w:hAnsi="Times New Roman" w:eastAsia="仿宋" w:cs="Times New Roman"/>
          <w:color w:val="auto"/>
          <w:sz w:val="28"/>
          <w:szCs w:val="28"/>
          <w:highlight w:val="none"/>
          <w:lang w:val="en-US" w:eastAsia="zh-CN"/>
        </w:rPr>
        <w:t>政策性文件</w:t>
      </w:r>
      <w:bookmarkEnd w:id="15"/>
    </w:p>
    <w:p w14:paraId="13194EC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1、《中共中央国务院关于学习运用“千村示范、万村整治”工程经验有力有效推进乡村全面振兴的意见》（2024年1月1日，中央一号文件）；</w:t>
      </w:r>
    </w:p>
    <w:p w14:paraId="60D02E1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2、《中共中央办公厅国务院办公厅印发</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农村人居环境整治提升五年行动方案（2021－2025年）</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w:t>
      </w:r>
    </w:p>
    <w:p w14:paraId="03923BD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3、《》;</w:t>
      </w:r>
    </w:p>
    <w:p w14:paraId="747D1D3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4、《国家乡村振兴局关于落实党中央国务院2023年全面推进乡村振兴重点工作部署的实施意见》（国乡振发〔2023〕1号）；</w:t>
      </w:r>
    </w:p>
    <w:p w14:paraId="3EDE674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5、《中共中央办公厅、国务院办公厅</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关于建立健全重大决策社会稳定风险评估机制的指导意见（试行）</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的通知》（中办发〔2012〕2号）；</w:t>
      </w:r>
    </w:p>
    <w:p w14:paraId="1F5D645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6、《“十四五”扩大内需战略实施方案》（国家发展和改革委员会）；</w:t>
      </w:r>
    </w:p>
    <w:p w14:paraId="6DE52C8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7、《自然资源部办公厅关于印发</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乡村振兴用地政策指南（2023年）</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的通知》（自然资办发〔2023〕48号）；</w:t>
      </w:r>
    </w:p>
    <w:p w14:paraId="0706B20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8、《交通部关于印发</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农村公路建设指导意见</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的通知》（交公路发〔2004〕372号）；</w:t>
      </w:r>
    </w:p>
    <w:p w14:paraId="611E3DE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9、《中共广东省委关于实施“百县千镇万村高质量发展工程”促进城乡区域协调发展的决定》（2022年12月8日中国共产党广东省第十三届委员会第二次全体会议通过）；</w:t>
      </w:r>
    </w:p>
    <w:p w14:paraId="268D9FA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10、《中共广东省委广东省人民政府关于做好2023年全面推进乡村振兴重点工作的实施意见》；</w:t>
      </w:r>
    </w:p>
    <w:p w14:paraId="7F1CDC6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11、《广东省科学技术厅关于印发</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广东省科技支撑“百县千镇万村高质量发展工程”促进城乡区域协调发展实施方案（试行）</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的通知》（粤科农字〔2023〕116号）；</w:t>
      </w:r>
    </w:p>
    <w:p w14:paraId="2A15828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12、《</w:t>
      </w:r>
      <w:r>
        <w:rPr>
          <w:rFonts w:hint="default" w:ascii="Times New Roman" w:hAnsi="Times New Roman" w:eastAsia="仿宋" w:cs="Times New Roman"/>
          <w:color w:val="auto"/>
          <w:kern w:val="0"/>
          <w:sz w:val="24"/>
          <w:szCs w:val="24"/>
          <w:highlight w:val="none"/>
          <w:lang w:val="zh-CN" w:eastAsia="zh-CN" w:bidi="ar-SA"/>
        </w:rPr>
        <w:t>广东省乡村公共基础设施工程建设投资估算指标（2021）</w:t>
      </w:r>
      <w:r>
        <w:rPr>
          <w:rFonts w:hint="default" w:ascii="Times New Roman" w:hAnsi="Times New Roman"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zh-CN" w:eastAsia="zh-CN" w:bidi="ar-SA"/>
        </w:rPr>
        <w:t>广东省住房和城乡建设厅，二○二二年四月</w:t>
      </w:r>
      <w:r>
        <w:rPr>
          <w:rFonts w:hint="eastAsia" w:ascii="Times New Roman" w:hAnsi="Times New Roman" w:eastAsia="仿宋" w:cs="Times New Roman"/>
          <w:color w:val="auto"/>
          <w:kern w:val="0"/>
          <w:sz w:val="24"/>
          <w:szCs w:val="24"/>
          <w:highlight w:val="none"/>
          <w:lang w:val="en-US" w:eastAsia="zh-CN" w:bidi="ar-SA"/>
        </w:rPr>
        <w:t>）</w:t>
      </w:r>
    </w:p>
    <w:p w14:paraId="4FA55471">
      <w:pPr>
        <w:rPr>
          <w:rFonts w:hint="eastAsia" w:ascii="Times New Roman" w:hAnsi="Times New Roman" w:eastAsia="仿宋" w:cs="Times New Roman"/>
          <w:b/>
          <w:color w:val="auto"/>
          <w:kern w:val="2"/>
          <w:sz w:val="28"/>
          <w:szCs w:val="28"/>
          <w:lang w:val="en-US" w:eastAsia="zh-CN" w:bidi="ar-SA"/>
        </w:rPr>
      </w:pPr>
      <w:bookmarkStart w:id="16" w:name="_Toc30983"/>
      <w:r>
        <w:rPr>
          <w:rFonts w:hint="eastAsia" w:ascii="Times New Roman" w:hAnsi="Times New Roman" w:eastAsia="仿宋" w:cs="Times New Roman"/>
          <w:b/>
          <w:color w:val="auto"/>
          <w:kern w:val="2"/>
          <w:sz w:val="28"/>
          <w:szCs w:val="28"/>
          <w:lang w:val="en-US" w:eastAsia="zh-CN" w:bidi="ar-SA"/>
        </w:rPr>
        <w:br w:type="page"/>
      </w:r>
    </w:p>
    <w:p w14:paraId="3917BD5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color w:val="auto"/>
          <w:kern w:val="2"/>
          <w:sz w:val="28"/>
          <w:szCs w:val="28"/>
          <w:lang w:val="en-US" w:eastAsia="zh-CN" w:bidi="ar-SA"/>
        </w:rPr>
        <w:t xml:space="preserve">2.5.4 </w:t>
      </w:r>
      <w:r>
        <w:rPr>
          <w:rFonts w:hint="default" w:ascii="Times New Roman" w:hAnsi="Times New Roman" w:eastAsia="仿宋" w:cs="Times New Roman"/>
          <w:color w:val="auto"/>
          <w:sz w:val="28"/>
          <w:szCs w:val="28"/>
          <w:highlight w:val="none"/>
          <w:lang w:val="en-US" w:eastAsia="zh-CN"/>
        </w:rPr>
        <w:t>主要标准规范</w:t>
      </w:r>
      <w:bookmarkEnd w:id="16"/>
    </w:p>
    <w:p w14:paraId="39636C7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1、《量和单位》（GB3100～3102-1993）；</w:t>
      </w:r>
    </w:p>
    <w:p w14:paraId="428F11E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2、《1:500，1:1000，1:2000地形图图式》（GB/T20257.1-2017）；</w:t>
      </w:r>
    </w:p>
    <w:p w14:paraId="4524B69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3、《水土保持综合治理技术规范》（GB/T16453-2008）；</w:t>
      </w:r>
    </w:p>
    <w:p w14:paraId="554FBC1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4、《乡村道路工程技术规范》（GB/T51224-2017）；</w:t>
      </w:r>
    </w:p>
    <w:p w14:paraId="7FEA135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5、《建设工程施工现场供用电安全规范》（GB50194-2014）；</w:t>
      </w:r>
    </w:p>
    <w:p w14:paraId="27F4F85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6、国家和本地区其他相关规范。</w:t>
      </w:r>
    </w:p>
    <w:p w14:paraId="19BA07D2">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360" w:lineRule="auto"/>
        <w:ind w:left="0" w:leftChars="0" w:firstLine="562" w:firstLineChars="200"/>
        <w:textAlignment w:val="bottom"/>
        <w:rPr>
          <w:rFonts w:hint="default" w:ascii="Times New Roman" w:hAnsi="Times New Roman" w:eastAsia="仿宋" w:cs="Times New Roman"/>
          <w:color w:val="auto"/>
          <w:sz w:val="28"/>
          <w:szCs w:val="28"/>
          <w:highlight w:val="none"/>
          <w:lang w:val="en-US" w:eastAsia="zh-CN"/>
        </w:rPr>
      </w:pPr>
      <w:bookmarkStart w:id="17" w:name="_Toc1218"/>
      <w:r>
        <w:rPr>
          <w:rFonts w:hint="eastAsia" w:ascii="Times New Roman" w:hAnsi="Times New Roman" w:eastAsia="仿宋" w:cs="Times New Roman"/>
          <w:b/>
          <w:color w:val="auto"/>
          <w:kern w:val="2"/>
          <w:sz w:val="28"/>
          <w:szCs w:val="28"/>
          <w:lang w:val="en-US" w:eastAsia="zh-CN" w:bidi="ar-SA"/>
        </w:rPr>
        <w:t xml:space="preserve">2.5.5 </w:t>
      </w:r>
      <w:r>
        <w:rPr>
          <w:rFonts w:hint="default" w:ascii="Times New Roman" w:hAnsi="Times New Roman" w:eastAsia="仿宋" w:cs="Times New Roman"/>
          <w:color w:val="auto"/>
          <w:sz w:val="28"/>
          <w:szCs w:val="28"/>
          <w:highlight w:val="none"/>
          <w:lang w:val="en-US" w:eastAsia="zh-CN"/>
        </w:rPr>
        <w:t>其他资料</w:t>
      </w:r>
      <w:bookmarkEnd w:id="17"/>
    </w:p>
    <w:p w14:paraId="50D3F8A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1、《广州市南沙区2022年水资源公报》（广州市南沙区水务局）；</w:t>
      </w:r>
    </w:p>
    <w:p w14:paraId="506CB23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2、其他与本项目相关资料。</w:t>
      </w:r>
    </w:p>
    <w:bookmarkEnd w:id="10"/>
    <w:p w14:paraId="3EBD8906">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18" w:name="_Toc20074"/>
      <w:r>
        <w:rPr>
          <w:rFonts w:hint="eastAsia" w:ascii="Times New Roman" w:hAnsi="Times New Roman" w:eastAsia="仿宋" w:cs="Times New Roman"/>
          <w:b/>
          <w:color w:val="auto"/>
          <w:kern w:val="2"/>
          <w:sz w:val="28"/>
          <w:szCs w:val="28"/>
          <w:lang w:val="en-US" w:eastAsia="zh-CN" w:bidi="ar-SA"/>
        </w:rPr>
        <w:t xml:space="preserve">2.6 </w:t>
      </w:r>
      <w:r>
        <w:rPr>
          <w:rFonts w:hint="default" w:ascii="Times New Roman" w:hAnsi="Times New Roman" w:eastAsia="仿宋" w:cs="Times New Roman"/>
          <w:color w:val="auto"/>
          <w:sz w:val="28"/>
          <w:szCs w:val="28"/>
          <w:highlight w:val="none"/>
        </w:rPr>
        <w:t>编制范围</w:t>
      </w:r>
      <w:bookmarkEnd w:id="18"/>
    </w:p>
    <w:p w14:paraId="14C7F75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项目充分考虑对现状用地的充分利用，以村道硬化为主要建设内容。根据国家对建设项目可行性研究报告工作范围和深度规定，本报告对项目所涉及区域概况、整治思路、重点整治任务实施方案、重点建设内容及规模、配套建设方案、投资估算与资金来源、项目实施计划、保障措施、效益分析等，从技术、经济和环境保护等多个方面进行较为详细的调查研究。通过分析比较方案，并对项目建成后可能取得的效果进行预测，从而为投资决策提供可靠的依据，作为项目进行下一步工作的基础文件。</w:t>
      </w:r>
    </w:p>
    <w:p w14:paraId="73EB4495">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kern w:val="0"/>
          <w:sz w:val="24"/>
          <w:szCs w:val="24"/>
          <w:highlight w:val="none"/>
          <w:lang w:val="en-US" w:eastAsia="zh-CN" w:bidi="ar-SA"/>
        </w:rPr>
        <w:t>本报告具体论述项目的设立在社会效益上的必要性、合理性、现实性、建设上的可行性，为项目主管部门决策提供可靠和准确的依据。</w:t>
      </w:r>
    </w:p>
    <w:p w14:paraId="0B087E87">
      <w:pPr>
        <w:rPr>
          <w:rFonts w:hint="default" w:ascii="Times New Roman" w:hAnsi="Times New Roman" w:eastAsia="仿宋" w:cs="Times New Roman"/>
          <w:b/>
          <w:bCs w:val="0"/>
          <w:color w:val="auto"/>
          <w:sz w:val="28"/>
          <w:szCs w:val="28"/>
          <w:highlight w:val="none"/>
          <w:lang w:val="en-US" w:eastAsia="zh-CN"/>
        </w:rPr>
      </w:pPr>
      <w:r>
        <w:rPr>
          <w:rFonts w:hint="eastAsia" w:ascii="Times New Roman" w:hAnsi="Times New Roman" w:eastAsia="仿宋" w:cs="Times New Roman"/>
          <w:b/>
          <w:bCs w:val="0"/>
          <w:color w:val="auto"/>
          <w:sz w:val="28"/>
          <w:szCs w:val="28"/>
          <w:highlight w:val="none"/>
          <w:lang w:val="en-US" w:eastAsia="zh-CN"/>
        </w:rPr>
        <w:br w:type="page"/>
      </w:r>
    </w:p>
    <w:p w14:paraId="3402E154">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default" w:ascii="Times New Roman" w:hAnsi="Times New Roman" w:eastAsia="仿宋" w:cs="Times New Roman"/>
          <w:b/>
          <w:bCs w:val="0"/>
          <w:color w:val="auto"/>
          <w:sz w:val="28"/>
          <w:szCs w:val="28"/>
          <w:highlight w:val="none"/>
          <w:lang w:val="en-US" w:eastAsia="zh-CN"/>
        </w:rPr>
      </w:pPr>
      <w:bookmarkStart w:id="19" w:name="_Toc30676"/>
      <w:r>
        <w:rPr>
          <w:rFonts w:hint="eastAsia" w:ascii="Times New Roman" w:hAnsi="Times New Roman" w:eastAsia="仿宋" w:cs="Times New Roman"/>
          <w:b/>
          <w:bCs w:val="0"/>
          <w:color w:val="auto"/>
          <w:sz w:val="28"/>
          <w:szCs w:val="28"/>
          <w:highlight w:val="none"/>
          <w:lang w:val="en-US" w:eastAsia="zh-CN"/>
        </w:rPr>
        <w:t>项目投资</w:t>
      </w:r>
      <w:bookmarkEnd w:id="19"/>
    </w:p>
    <w:p w14:paraId="706ED4D0">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420" w:lineRule="exact"/>
        <w:ind w:leftChars="200"/>
        <w:textAlignment w:val="bottom"/>
        <w:rPr>
          <w:rFonts w:hint="default" w:ascii="Times New Roman" w:hAnsi="Times New Roman" w:eastAsia="仿宋" w:cs="Times New Roman"/>
          <w:color w:val="auto"/>
          <w:sz w:val="28"/>
          <w:szCs w:val="28"/>
          <w:highlight w:val="none"/>
        </w:rPr>
      </w:pPr>
      <w:bookmarkStart w:id="20" w:name="_Toc13213"/>
      <w:bookmarkStart w:id="21" w:name="_Toc436324674"/>
      <w:r>
        <w:rPr>
          <w:rFonts w:hint="eastAsia" w:ascii="Times New Roman" w:hAnsi="Times New Roman" w:eastAsia="仿宋" w:cs="Times New Roman"/>
          <w:color w:val="auto"/>
          <w:sz w:val="28"/>
          <w:szCs w:val="28"/>
          <w:highlight w:val="none"/>
          <w:lang w:val="en-US" w:eastAsia="zh-CN"/>
        </w:rPr>
        <w:t xml:space="preserve">3.1 </w:t>
      </w:r>
      <w:r>
        <w:rPr>
          <w:rFonts w:hint="default" w:ascii="Times New Roman" w:hAnsi="Times New Roman" w:eastAsia="仿宋" w:cs="Times New Roman"/>
          <w:color w:val="auto"/>
          <w:sz w:val="28"/>
          <w:szCs w:val="28"/>
          <w:highlight w:val="none"/>
        </w:rPr>
        <w:t>组织领导方案</w:t>
      </w:r>
      <w:bookmarkEnd w:id="20"/>
      <w:bookmarkEnd w:id="21"/>
    </w:p>
    <w:p w14:paraId="46D6D4A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为加强项目的管理，保证工程进度和项目目标的实现，由项目镇农业农村部门全面负责项目申报、施工准备、实施管理等工作，对项目的资金筹措、工程招标、施工组织等建设全过程进行管理，并根据工作需要，聘请工程技术、经济等专业人员为项目的管理提供专业服务，以便高质量、高效率完成项目的各项管理工作。</w:t>
      </w:r>
    </w:p>
    <w:p w14:paraId="5AFC9E0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根据建设单位提供的相关资料，项目建成后，由项目镇农业农村部门组织专门的运作管理机构，按工作需要配备运作管理人员，对项目进行全面的管理，日常维护。</w:t>
      </w:r>
    </w:p>
    <w:p w14:paraId="17866F1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本项目人力资源配置方法为按岗位计算定员，根据需要进行人员培训再上岗：</w:t>
      </w:r>
    </w:p>
    <w:p w14:paraId="5392265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1、加强理论学习，提高工作人员的理论水平；</w:t>
      </w:r>
    </w:p>
    <w:p w14:paraId="0847CA3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2、加强定期培训，提高操作水平素质；</w:t>
      </w:r>
    </w:p>
    <w:p w14:paraId="1BEFECB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3、加强队伍建设，加强学习，促进交流，优化人员结构，提高素质。</w:t>
      </w:r>
    </w:p>
    <w:p w14:paraId="553AD6A9">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22" w:name="_Toc436324675"/>
      <w:bookmarkStart w:id="23" w:name="_Toc8466"/>
      <w:r>
        <w:rPr>
          <w:rFonts w:hint="eastAsia" w:ascii="Times New Roman" w:hAnsi="Times New Roman" w:eastAsia="仿宋" w:cs="Times New Roman"/>
          <w:b/>
          <w:color w:val="auto"/>
          <w:kern w:val="2"/>
          <w:sz w:val="28"/>
          <w:szCs w:val="28"/>
          <w:lang w:val="en-US" w:eastAsia="zh-CN" w:bidi="ar-SA"/>
        </w:rPr>
        <w:t xml:space="preserve">3.2 </w:t>
      </w:r>
      <w:r>
        <w:rPr>
          <w:rFonts w:hint="default" w:ascii="Times New Roman" w:hAnsi="Times New Roman" w:eastAsia="仿宋" w:cs="Times New Roman"/>
          <w:color w:val="auto"/>
          <w:sz w:val="28"/>
          <w:szCs w:val="28"/>
          <w:highlight w:val="none"/>
        </w:rPr>
        <w:t>资金筹措方案</w:t>
      </w:r>
      <w:bookmarkEnd w:id="22"/>
      <w:bookmarkEnd w:id="23"/>
    </w:p>
    <w:p w14:paraId="61FD84F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（1）资金总体情况</w:t>
      </w:r>
    </w:p>
    <w:p w14:paraId="51BCD82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按照建设方案确定，项目资金总体情况使用计划拟于项目计划2025年4月底前完成前期工作，2025年5月初开工建设，2025年7月完成验收，施工期共3个月。并于202</w:t>
      </w:r>
      <w:r>
        <w:rPr>
          <w:rFonts w:hint="eastAsia" w:ascii="Times New Roman" w:hAnsi="Times New Roman"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zh-CN" w:eastAsia="zh-CN" w:bidi="ar-SA"/>
        </w:rPr>
        <w:t>年使用完开工建设所需资金</w:t>
      </w:r>
      <w:r>
        <w:rPr>
          <w:rFonts w:hint="default" w:ascii="Times New Roman" w:hAnsi="Times New Roman" w:eastAsia="仿宋" w:cs="Times New Roman"/>
          <w:color w:val="auto"/>
          <w:kern w:val="0"/>
          <w:sz w:val="24"/>
          <w:szCs w:val="24"/>
          <w:highlight w:val="none"/>
          <w:lang w:val="en-US" w:eastAsia="zh-CN" w:bidi="ar-SA"/>
        </w:rPr>
        <w:t>。</w:t>
      </w:r>
    </w:p>
    <w:p w14:paraId="78B9778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（2）资金筹措模式</w:t>
      </w:r>
    </w:p>
    <w:p w14:paraId="0BB803D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项目建设所需资金由市级培育创建的“百千万工程”典型村资金45万，其余资金由建设单位自行统筹安排</w:t>
      </w:r>
      <w:r>
        <w:rPr>
          <w:rFonts w:hint="default" w:ascii="Times New Roman" w:hAnsi="Times New Roman" w:eastAsia="仿宋" w:cs="Times New Roman"/>
          <w:color w:val="auto"/>
          <w:kern w:val="0"/>
          <w:sz w:val="24"/>
          <w:szCs w:val="24"/>
          <w:highlight w:val="none"/>
          <w:lang w:val="zh-CN" w:eastAsia="zh-CN" w:bidi="ar-SA"/>
        </w:rPr>
        <w:t>。</w:t>
      </w:r>
    </w:p>
    <w:p w14:paraId="746EFF89">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24" w:name="_Toc26219"/>
      <w:r>
        <w:rPr>
          <w:rFonts w:hint="eastAsia" w:ascii="Times New Roman" w:hAnsi="Times New Roman" w:eastAsia="仿宋" w:cs="Times New Roman"/>
          <w:b/>
          <w:color w:val="auto"/>
          <w:kern w:val="2"/>
          <w:sz w:val="28"/>
          <w:szCs w:val="28"/>
          <w:lang w:val="en-US" w:eastAsia="zh-CN" w:bidi="ar-SA"/>
        </w:rPr>
        <w:t xml:space="preserve">3.3 </w:t>
      </w:r>
      <w:r>
        <w:rPr>
          <w:rFonts w:hint="default" w:ascii="Times New Roman" w:hAnsi="Times New Roman" w:eastAsia="仿宋" w:cs="Times New Roman"/>
          <w:color w:val="auto"/>
          <w:sz w:val="28"/>
          <w:szCs w:val="28"/>
          <w:highlight w:val="none"/>
        </w:rPr>
        <w:t>公众参与方案</w:t>
      </w:r>
      <w:bookmarkEnd w:id="24"/>
    </w:p>
    <w:p w14:paraId="70FEBDE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1、构建与当地居（村）民共建共赢机制。本项目位于</w:t>
      </w:r>
      <w:r>
        <w:rPr>
          <w:rFonts w:hint="eastAsia" w:ascii="Times New Roman" w:hAnsi="Times New Roman" w:eastAsia="仿宋" w:cs="Times New Roman"/>
          <w:color w:val="auto"/>
          <w:kern w:val="0"/>
          <w:sz w:val="24"/>
          <w:szCs w:val="24"/>
          <w:highlight w:val="none"/>
          <w:lang w:val="zh-CN" w:eastAsia="zh-CN" w:bidi="ar-SA"/>
        </w:rPr>
        <w:t>广州市南沙区大岗镇</w:t>
      </w:r>
      <w:r>
        <w:rPr>
          <w:rFonts w:hint="default" w:ascii="Times New Roman" w:hAnsi="Times New Roman" w:eastAsia="仿宋" w:cs="Times New Roman"/>
          <w:color w:val="auto"/>
          <w:kern w:val="0"/>
          <w:sz w:val="24"/>
          <w:szCs w:val="24"/>
          <w:highlight w:val="none"/>
          <w:lang w:val="zh-CN" w:eastAsia="zh-CN" w:bidi="ar-SA"/>
        </w:rPr>
        <w:t>，周边分布的居民点较多，只有做好居（村）民共建，增加共同参与和沟通，才能创造和睦共处的和谐场面，为项目的顺利推进奠定基础。</w:t>
      </w:r>
    </w:p>
    <w:p w14:paraId="79B9E21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1）建议建设单位研究项目增加各居委会、村就业岗位安置的可能性（如尝试优先录用受项目影响较大的群众、有特殊困难的家庭成员从事该项目物业管理、保卫等职位的工作），真正做到居（村）民共建，共同参与，和谐相处；</w:t>
      </w:r>
    </w:p>
    <w:p w14:paraId="2B3B2159">
      <w:pPr>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br w:type="page"/>
      </w:r>
    </w:p>
    <w:p w14:paraId="04D4395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（2）建议建设单位考虑设置居（村）民共建专项经费，可在逢年过节为受项目影响较大的群众和有特殊困难的家庭发放米面油等福利品，改善与周边群众关系。</w:t>
      </w:r>
    </w:p>
    <w:p w14:paraId="0E53A5B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2、</w:t>
      </w:r>
      <w:r>
        <w:rPr>
          <w:rFonts w:hint="default" w:ascii="Times New Roman" w:hAnsi="Times New Roman" w:eastAsia="仿宋" w:cs="Times New Roman"/>
          <w:color w:val="auto"/>
          <w:kern w:val="0"/>
          <w:sz w:val="24"/>
          <w:szCs w:val="24"/>
          <w:highlight w:val="none"/>
          <w:lang w:val="zh-CN" w:eastAsia="zh-CN" w:bidi="ar-SA"/>
        </w:rPr>
        <w:t>重视村民参与美丽乡村建设的评价，强调“村民主体”，要求美丽乡村建设要围绕村民的需求展开，项目建成后建议采取召集村民座谈会和村民满意度问卷调查等评价方式进行评价，同时还规定了村民满意度问卷调查的参考格式和内容、村民满意度权重应不低于5%，将村民参与性作为美丽乡村建设评价指标的一个加强项。</w:t>
      </w:r>
    </w:p>
    <w:p w14:paraId="472F165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3、</w:t>
      </w:r>
      <w:r>
        <w:rPr>
          <w:rFonts w:hint="default" w:ascii="Times New Roman" w:hAnsi="Times New Roman" w:eastAsia="仿宋" w:cs="Times New Roman"/>
          <w:color w:val="auto"/>
          <w:kern w:val="0"/>
          <w:sz w:val="24"/>
          <w:szCs w:val="24"/>
          <w:highlight w:val="none"/>
          <w:lang w:val="zh-CN" w:eastAsia="zh-CN" w:bidi="ar-SA"/>
        </w:rPr>
        <w:t>坚持以人为本，让村民全过程参与编制，全方位听取村民意见和建议，充分尊重村民意愿，保障农民利益，调动农民发展的积极性，以提高村民的生活生产水平为出发点，通过公众参与逐步实现农村健康持续发展。</w:t>
      </w:r>
    </w:p>
    <w:p w14:paraId="38C4B9D2">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25" w:name="_Toc7720"/>
      <w:r>
        <w:rPr>
          <w:rFonts w:hint="eastAsia" w:ascii="Times New Roman" w:hAnsi="Times New Roman" w:eastAsia="仿宋" w:cs="Times New Roman"/>
          <w:b/>
          <w:color w:val="auto"/>
          <w:kern w:val="2"/>
          <w:sz w:val="28"/>
          <w:szCs w:val="28"/>
          <w:lang w:val="en-US" w:eastAsia="zh-CN" w:bidi="ar-SA"/>
        </w:rPr>
        <w:t xml:space="preserve">3.4 </w:t>
      </w:r>
      <w:r>
        <w:rPr>
          <w:rFonts w:hint="default" w:ascii="Times New Roman" w:hAnsi="Times New Roman" w:eastAsia="仿宋" w:cs="Times New Roman"/>
          <w:color w:val="auto"/>
          <w:sz w:val="28"/>
          <w:szCs w:val="28"/>
          <w:highlight w:val="none"/>
        </w:rPr>
        <w:t>技术和人才支撑方案</w:t>
      </w:r>
      <w:bookmarkEnd w:id="25"/>
    </w:p>
    <w:p w14:paraId="00F1AF3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组织科研单位、高校、企业开展农村人居环境整治关键技术、工艺和装备研发。制定技术标准（导则）等，开展典型设计。积极开展送图下乡和规划师、建筑师、工程师下乡活动，选派规划设计等专业技术人员驻村指导，为农村人居环境整治提供技术支撑。开展农村人居环境项目建设和运行管理人员技术培训。组织企业与县乡村对接农村环境治理实用技术和装备需求。</w:t>
      </w:r>
    </w:p>
    <w:p w14:paraId="40EC5AE2">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26" w:name="_Toc436324679"/>
      <w:bookmarkStart w:id="27" w:name="_Toc3268"/>
      <w:r>
        <w:rPr>
          <w:rFonts w:hint="eastAsia" w:ascii="Times New Roman" w:hAnsi="Times New Roman" w:eastAsia="仿宋" w:cs="Times New Roman"/>
          <w:b/>
          <w:color w:val="auto"/>
          <w:kern w:val="2"/>
          <w:sz w:val="28"/>
          <w:szCs w:val="28"/>
          <w:lang w:val="en-US" w:eastAsia="zh-CN" w:bidi="ar-SA"/>
        </w:rPr>
        <w:t xml:space="preserve">3.5 </w:t>
      </w:r>
      <w:r>
        <w:rPr>
          <w:rFonts w:hint="default" w:ascii="Times New Roman" w:hAnsi="Times New Roman" w:eastAsia="仿宋" w:cs="Times New Roman"/>
          <w:color w:val="auto"/>
          <w:sz w:val="28"/>
          <w:szCs w:val="28"/>
          <w:highlight w:val="none"/>
        </w:rPr>
        <w:t>宣传发动培训方案</w:t>
      </w:r>
      <w:bookmarkEnd w:id="26"/>
      <w:bookmarkEnd w:id="27"/>
    </w:p>
    <w:p w14:paraId="7DB54DC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全力做好县内宣传教育和对外宣传报道，其中县内媒体宣传教育以县广播电视台报道为主，可建立公众号，发表公众号文章或宣传海报开展宣传工作。</w:t>
      </w:r>
    </w:p>
    <w:p w14:paraId="0738560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按照农村人居环境整治工作的整体部署，在做好宣传的同时，采取例行培训及宣传培训，对基层人员进行经常性培训，用群众喜闻乐见的形式开展宣传教育。</w:t>
      </w:r>
    </w:p>
    <w:p w14:paraId="5EAD92D0">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28" w:name="_Toc14311"/>
      <w:bookmarkStart w:id="29" w:name="_Toc436324680"/>
      <w:r>
        <w:rPr>
          <w:rFonts w:hint="eastAsia" w:ascii="Times New Roman" w:hAnsi="Times New Roman" w:eastAsia="仿宋" w:cs="Times New Roman"/>
          <w:b/>
          <w:color w:val="auto"/>
          <w:kern w:val="2"/>
          <w:sz w:val="28"/>
          <w:szCs w:val="28"/>
          <w:lang w:val="en-US" w:eastAsia="zh-CN" w:bidi="ar-SA"/>
        </w:rPr>
        <w:t xml:space="preserve">3.6 </w:t>
      </w:r>
      <w:r>
        <w:rPr>
          <w:rFonts w:hint="default" w:ascii="Times New Roman" w:hAnsi="Times New Roman" w:eastAsia="仿宋" w:cs="Times New Roman"/>
          <w:color w:val="auto"/>
          <w:sz w:val="28"/>
          <w:szCs w:val="28"/>
          <w:highlight w:val="none"/>
        </w:rPr>
        <w:t>长效机制建设方案</w:t>
      </w:r>
      <w:bookmarkEnd w:id="28"/>
      <w:bookmarkEnd w:id="29"/>
    </w:p>
    <w:p w14:paraId="06A52FF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按照政府主导、分级负担，集体补充、群众参与，社会支持、多元筹集原则，合理确定政府、村集体和农户出资责任，并承担相应建设和管护职责。对污水垃圾集中处理、无害化卫生公厕等农村卫生公共服务设施的建设管护主要由政府出资；对户用厕所改造、户用小型污水处理等设施建设，由农户适当出资、政府给予奖补，日常管护以农户为主；村庄绿化、美化、亮化及道路硬化等建设，由村集体、农户适当出资，村民投工投劳，政府给予奖补，日常管护以村集体为主。配备村庄保洁员，建立村庄日常保洁制度，建立运行监督和激励机制。各县市区应将农村人居环境整治年度工作经费和设施建设运行费用纳入财政预算管理。鼓励专业化、市场化建设和运行管护，推行城乡垃圾污水处理统一规划、统一建设、统一运行、统一管理的模式。探索建立垃圾污水处理农户付费制度，保障运营单位获得合理收益，综合考虑污染防治形势、经济社会承受能力、农村居民意愿等因素，合理确定缴费水平和标准，完善财政补助、村集体补贴、农户付费相结合的管护经费保障机制。实施“农村建筑工匠培育工程”，开展建筑工匠培训，探索建立建房建筑工匠验收制度和公示制度。支持村级组织和农村工匠带头人等承接村内环境整治、村内道路、植树造林等小型涉农工程项目。组织开展培训，把当地村民培养成为村内公益性基础设施运行维护的重要力量。鼓励推广“四自两会三公开”（自选、自建、自管、自用，村委会、理事会，项目选择公开、理事会选举公开、工程建成后财务公开）建管机制。</w:t>
      </w:r>
    </w:p>
    <w:p w14:paraId="0AC4B1DD">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30" w:name="_Toc436324682"/>
      <w:bookmarkStart w:id="31" w:name="_Toc26699"/>
      <w:r>
        <w:rPr>
          <w:rFonts w:hint="eastAsia" w:ascii="Times New Roman" w:hAnsi="Times New Roman" w:eastAsia="仿宋" w:cs="Times New Roman"/>
          <w:b/>
          <w:color w:val="auto"/>
          <w:kern w:val="2"/>
          <w:sz w:val="28"/>
          <w:szCs w:val="28"/>
          <w:lang w:val="en-US" w:eastAsia="zh-CN" w:bidi="ar-SA"/>
        </w:rPr>
        <w:t xml:space="preserve">3.7 </w:t>
      </w:r>
      <w:r>
        <w:rPr>
          <w:rFonts w:hint="default" w:ascii="Times New Roman" w:hAnsi="Times New Roman" w:eastAsia="仿宋" w:cs="Times New Roman"/>
          <w:color w:val="auto"/>
          <w:sz w:val="28"/>
          <w:szCs w:val="28"/>
          <w:highlight w:val="none"/>
        </w:rPr>
        <w:t>监督管理能力建设方案</w:t>
      </w:r>
      <w:bookmarkEnd w:id="30"/>
      <w:bookmarkEnd w:id="31"/>
    </w:p>
    <w:p w14:paraId="08047A8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建立和完善管理台账，掌握县域农村人居环境整治建设项目分布和运行情况。制定并执行县域农村人居环境整治设施运行维护管理工作考核办法。建立运行维护管理评价结果与经费及乡镇考核挂钩的奖惩机制，逐步提高运行维护效率。</w:t>
      </w:r>
    </w:p>
    <w:p w14:paraId="497776E3">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32" w:name="_Toc7683"/>
      <w:r>
        <w:rPr>
          <w:rFonts w:hint="eastAsia" w:ascii="Times New Roman" w:hAnsi="Times New Roman" w:eastAsia="仿宋" w:cs="Times New Roman"/>
          <w:color w:val="auto"/>
          <w:sz w:val="28"/>
          <w:szCs w:val="28"/>
          <w:highlight w:val="none"/>
          <w:lang w:val="en-US" w:eastAsia="zh-CN"/>
        </w:rPr>
        <w:t xml:space="preserve">3.8 </w:t>
      </w:r>
      <w:r>
        <w:rPr>
          <w:rFonts w:hint="default" w:ascii="Times New Roman" w:hAnsi="Times New Roman" w:eastAsia="仿宋" w:cs="Times New Roman"/>
          <w:color w:val="auto"/>
          <w:sz w:val="28"/>
          <w:szCs w:val="28"/>
          <w:highlight w:val="none"/>
        </w:rPr>
        <w:t>估算依据</w:t>
      </w:r>
      <w:bookmarkEnd w:id="32"/>
    </w:p>
    <w:p w14:paraId="066F57B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bookmarkStart w:id="33" w:name="_Toc436324685"/>
      <w:bookmarkStart w:id="34" w:name="_Toc16300"/>
      <w:r>
        <w:rPr>
          <w:rFonts w:hint="default" w:ascii="Times New Roman" w:hAnsi="Times New Roman" w:eastAsia="仿宋" w:cs="Times New Roman"/>
          <w:color w:val="auto"/>
          <w:kern w:val="0"/>
          <w:sz w:val="24"/>
          <w:szCs w:val="24"/>
          <w:highlight w:val="none"/>
          <w:lang w:val="zh-CN" w:eastAsia="zh-CN" w:bidi="ar-SA"/>
        </w:rPr>
        <w:t>本报告投资估算编制范围包括各建设项目的工程费用、工程建设其他费用及预备费用。</w:t>
      </w:r>
    </w:p>
    <w:p w14:paraId="220C6C4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1、</w:t>
      </w:r>
      <w:r>
        <w:rPr>
          <w:rFonts w:hint="default" w:ascii="Times New Roman" w:hAnsi="Times New Roman" w:eastAsia="仿宋" w:cs="Times New Roman"/>
          <w:color w:val="auto"/>
          <w:kern w:val="0"/>
          <w:sz w:val="24"/>
          <w:szCs w:val="24"/>
          <w:highlight w:val="none"/>
          <w:lang w:val="zh-CN" w:eastAsia="zh-CN" w:bidi="ar-SA"/>
        </w:rPr>
        <w:t>《财政部税务总局海关总署公告2019年第39号》；</w:t>
      </w:r>
    </w:p>
    <w:p w14:paraId="3842E17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2、</w:t>
      </w:r>
      <w:r>
        <w:rPr>
          <w:rFonts w:hint="default" w:ascii="Times New Roman" w:hAnsi="Times New Roman" w:eastAsia="仿宋" w:cs="Times New Roman"/>
          <w:color w:val="auto"/>
          <w:kern w:val="0"/>
          <w:sz w:val="24"/>
          <w:szCs w:val="24"/>
          <w:highlight w:val="none"/>
          <w:lang w:val="zh-CN" w:eastAsia="zh-CN" w:bidi="ar-SA"/>
        </w:rPr>
        <w:t>国家计委、建设部关于发布《工程勘察设计收费管理规定》的通知（计价格〔2002〕10号）；</w:t>
      </w:r>
    </w:p>
    <w:p w14:paraId="59138E6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3、</w:t>
      </w:r>
      <w:r>
        <w:rPr>
          <w:rFonts w:hint="default" w:ascii="Times New Roman" w:hAnsi="Times New Roman" w:eastAsia="仿宋" w:cs="Times New Roman"/>
          <w:color w:val="auto"/>
          <w:kern w:val="0"/>
          <w:sz w:val="24"/>
          <w:szCs w:val="24"/>
          <w:highlight w:val="none"/>
          <w:lang w:val="zh-CN" w:eastAsia="zh-CN" w:bidi="ar-SA"/>
        </w:rPr>
        <w:t>国家发展改革委、建设部关于印发《建设工程监理与相关服务收费管理规定》的通知（发改价格〔2007〕670号）；</w:t>
      </w:r>
    </w:p>
    <w:p w14:paraId="6C31047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4、</w:t>
      </w:r>
      <w:r>
        <w:rPr>
          <w:rFonts w:hint="default" w:ascii="Times New Roman" w:hAnsi="Times New Roman" w:eastAsia="仿宋" w:cs="Times New Roman"/>
          <w:color w:val="auto"/>
          <w:kern w:val="0"/>
          <w:sz w:val="24"/>
          <w:szCs w:val="24"/>
          <w:highlight w:val="none"/>
          <w:lang w:val="zh-CN" w:eastAsia="zh-CN" w:bidi="ar-SA"/>
        </w:rPr>
        <w:t>广东省物价局关于调整我省建设工程造价咨询服务收费的复函、粤价函〔2011〕742号）；</w:t>
      </w:r>
    </w:p>
    <w:p w14:paraId="209F8BC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zh-CN" w:eastAsia="zh-CN" w:bidi="ar-SA"/>
        </w:rPr>
        <w:t>国家计委关于印发建设项目前期工作咨询收费暂行规定的通知（计价格〔1999〕1283号）；</w:t>
      </w:r>
    </w:p>
    <w:p w14:paraId="4718447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6、</w:t>
      </w:r>
      <w:r>
        <w:rPr>
          <w:rFonts w:hint="default" w:ascii="Times New Roman" w:hAnsi="Times New Roman" w:eastAsia="仿宋" w:cs="Times New Roman"/>
          <w:color w:val="auto"/>
          <w:kern w:val="0"/>
          <w:sz w:val="24"/>
          <w:szCs w:val="24"/>
          <w:highlight w:val="none"/>
          <w:lang w:val="zh-CN" w:eastAsia="zh-CN" w:bidi="ar-SA"/>
        </w:rPr>
        <w:t>《广东省水利水电建筑工程预算定额》（2017版）、《广东省水利水电建筑工程概算定额》（2017版）、《广东省水利水电设备安装工程概算定额》（2017版）、《广东省水利水电设备安装工程预算定额》（2017版）、《广东省水利水电施工机械台班费定额》（2017版）；</w:t>
      </w:r>
    </w:p>
    <w:p w14:paraId="1E24E33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7、</w:t>
      </w:r>
      <w:r>
        <w:rPr>
          <w:rFonts w:hint="default" w:ascii="Times New Roman" w:hAnsi="Times New Roman" w:eastAsia="仿宋" w:cs="Times New Roman"/>
          <w:color w:val="auto"/>
          <w:kern w:val="0"/>
          <w:sz w:val="24"/>
          <w:szCs w:val="24"/>
          <w:highlight w:val="none"/>
          <w:lang w:val="zh-CN" w:eastAsia="zh-CN" w:bidi="ar-SA"/>
        </w:rPr>
        <w:t>《关于发布我省水利水电工程设计概（估）算编制规定与系列定额的通知》粤水建管〔2017〕37号；</w:t>
      </w:r>
    </w:p>
    <w:p w14:paraId="1BE78DA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9、</w:t>
      </w:r>
      <w:r>
        <w:rPr>
          <w:rFonts w:hint="default" w:ascii="Times New Roman" w:hAnsi="Times New Roman" w:eastAsia="仿宋" w:cs="Times New Roman"/>
          <w:color w:val="auto"/>
          <w:kern w:val="0"/>
          <w:sz w:val="24"/>
          <w:szCs w:val="24"/>
          <w:highlight w:val="none"/>
          <w:lang w:val="zh-CN" w:eastAsia="zh-CN" w:bidi="ar-SA"/>
        </w:rPr>
        <w:t>广东省水利厅关于调整《广东省水利水电工程设计概（估）算编制规定》增值税销项税税率的通知（粤水建设〔2019〕9号）；</w:t>
      </w:r>
    </w:p>
    <w:p w14:paraId="249BC6D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10、《</w:t>
      </w:r>
      <w:r>
        <w:rPr>
          <w:rFonts w:hint="default" w:ascii="Times New Roman" w:hAnsi="Times New Roman" w:eastAsia="仿宋" w:cs="Times New Roman"/>
          <w:color w:val="auto"/>
          <w:kern w:val="0"/>
          <w:sz w:val="24"/>
          <w:szCs w:val="24"/>
          <w:highlight w:val="none"/>
          <w:lang w:val="zh-CN" w:eastAsia="zh-CN" w:bidi="ar-SA"/>
        </w:rPr>
        <w:t>广东省乡村公共基础设施工程建设投资估算指标（2021）</w:t>
      </w:r>
      <w:r>
        <w:rPr>
          <w:rFonts w:hint="default" w:ascii="Times New Roman" w:hAnsi="Times New Roman"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zh-CN" w:eastAsia="zh-CN" w:bidi="ar-SA"/>
        </w:rPr>
        <w:t>广东省住房和城乡建设厅，二○二二年四月</w:t>
      </w:r>
      <w:r>
        <w:rPr>
          <w:rFonts w:hint="default" w:ascii="Times New Roman" w:hAnsi="Times New Roman" w:eastAsia="仿宋" w:cs="Times New Roman"/>
          <w:color w:val="auto"/>
          <w:kern w:val="0"/>
          <w:sz w:val="24"/>
          <w:szCs w:val="24"/>
          <w:highlight w:val="none"/>
          <w:lang w:val="en-US" w:eastAsia="zh-CN" w:bidi="ar-SA"/>
        </w:rPr>
        <w:t>）；</w:t>
      </w:r>
    </w:p>
    <w:p w14:paraId="6A7590F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11、</w:t>
      </w:r>
      <w:r>
        <w:rPr>
          <w:rFonts w:hint="default" w:ascii="Times New Roman" w:hAnsi="Times New Roman" w:eastAsia="仿宋" w:cs="Times New Roman"/>
          <w:color w:val="auto"/>
          <w:kern w:val="0"/>
          <w:sz w:val="24"/>
          <w:szCs w:val="24"/>
          <w:highlight w:val="none"/>
          <w:lang w:val="zh-CN" w:eastAsia="zh-CN" w:bidi="ar-SA"/>
        </w:rPr>
        <w:t>项目设计图及其他与工程相关的资料等。</w:t>
      </w:r>
    </w:p>
    <w:bookmarkEnd w:id="33"/>
    <w:bookmarkEnd w:id="34"/>
    <w:p w14:paraId="2929E480">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420" w:lineRule="exact"/>
        <w:ind w:leftChars="200"/>
        <w:textAlignment w:val="bottom"/>
        <w:rPr>
          <w:rFonts w:hint="default" w:ascii="Times New Roman" w:hAnsi="Times New Roman" w:eastAsia="仿宋" w:cs="Times New Roman"/>
          <w:color w:val="auto"/>
          <w:sz w:val="28"/>
          <w:szCs w:val="28"/>
          <w:highlight w:val="none"/>
        </w:rPr>
      </w:pPr>
      <w:bookmarkStart w:id="35" w:name="_Toc27052"/>
      <w:r>
        <w:rPr>
          <w:rFonts w:hint="eastAsia" w:ascii="Times New Roman" w:hAnsi="Times New Roman" w:eastAsia="仿宋" w:cs="Times New Roman"/>
          <w:color w:val="auto"/>
          <w:sz w:val="28"/>
          <w:szCs w:val="28"/>
          <w:highlight w:val="none"/>
          <w:lang w:val="en-US" w:eastAsia="zh-CN"/>
        </w:rPr>
        <w:t xml:space="preserve">3.9 </w:t>
      </w:r>
      <w:r>
        <w:rPr>
          <w:rFonts w:hint="default" w:ascii="Times New Roman" w:hAnsi="Times New Roman" w:eastAsia="仿宋" w:cs="Times New Roman"/>
          <w:color w:val="auto"/>
          <w:sz w:val="28"/>
          <w:szCs w:val="28"/>
          <w:highlight w:val="none"/>
        </w:rPr>
        <w:t>工程估价</w:t>
      </w:r>
    </w:p>
    <w:p w14:paraId="4FB8AB95">
      <w:pPr>
        <w:keepNext w:val="0"/>
        <w:keepLines w:val="0"/>
        <w:pageBreakBefore w:val="0"/>
        <w:widowControl/>
        <w:kinsoku/>
        <w:wordWrap/>
        <w:overflowPunct/>
        <w:topLinePunct w:val="0"/>
        <w:autoSpaceDE/>
        <w:autoSpaceDN/>
        <w:bidi w:val="0"/>
        <w:adjustRightInd/>
        <w:snapToGrid/>
        <w:spacing w:line="240" w:lineRule="auto"/>
        <w:ind w:left="0" w:firstLine="482" w:firstLineChars="200"/>
        <w:jc w:val="left"/>
        <w:textAlignment w:val="bottom"/>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b/>
          <w:bCs/>
          <w:color w:val="auto"/>
          <w:kern w:val="0"/>
          <w:sz w:val="24"/>
          <w:szCs w:val="24"/>
          <w:highlight w:val="none"/>
          <w:lang w:val="en-US" w:eastAsia="zh-CN" w:bidi="ar-SA"/>
        </w:rPr>
        <w:t>1、独立费用</w:t>
      </w:r>
    </w:p>
    <w:p w14:paraId="0CA440B2">
      <w:pPr>
        <w:pStyle w:val="42"/>
        <w:keepNext w:val="0"/>
        <w:keepLines w:val="0"/>
        <w:pageBreakBefore w:val="0"/>
        <w:widowControl/>
        <w:kinsoku/>
        <w:wordWrap/>
        <w:overflowPunct/>
        <w:topLinePunct w:val="0"/>
        <w:autoSpaceDE/>
        <w:autoSpaceDN/>
        <w:bidi w:val="0"/>
        <w:adjustRightInd w:val="0"/>
        <w:snapToGrid/>
        <w:spacing w:after="0" w:line="240" w:lineRule="auto"/>
        <w:ind w:firstLine="482" w:firstLineChars="200"/>
        <w:jc w:val="left"/>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color w:val="auto"/>
          <w:sz w:val="24"/>
          <w:szCs w:val="24"/>
          <w:highlight w:val="none"/>
          <w:lang w:val="en-US" w:eastAsia="zh-CN" w:bidi="en-US"/>
        </w:rPr>
        <w:t>（1）工程勘测费</w:t>
      </w:r>
    </w:p>
    <w:p w14:paraId="4A3163A5">
      <w:pPr>
        <w:pStyle w:val="42"/>
        <w:keepNext w:val="0"/>
        <w:keepLines w:val="0"/>
        <w:pageBreakBefore w:val="0"/>
        <w:widowControl/>
        <w:kinsoku/>
        <w:wordWrap/>
        <w:overflowPunct/>
        <w:topLinePunct w:val="0"/>
        <w:autoSpaceDE/>
        <w:autoSpaceDN/>
        <w:bidi w:val="0"/>
        <w:adjustRightInd w:val="0"/>
        <w:snapToGrid/>
        <w:spacing w:after="0" w:line="240" w:lineRule="auto"/>
        <w:ind w:firstLine="432" w:firstLineChars="200"/>
        <w:jc w:val="left"/>
        <w:rPr>
          <w:rFonts w:hint="default" w:ascii="Times New Roman" w:hAnsi="Times New Roman" w:eastAsia="仿宋" w:cs="Times New Roman"/>
          <w:b w:val="0"/>
          <w:bCs w:val="0"/>
          <w:color w:val="auto"/>
          <w:w w:val="90"/>
          <w:sz w:val="24"/>
          <w:szCs w:val="24"/>
          <w:highlight w:val="none"/>
          <w:lang w:val="en-US" w:eastAsia="zh-CN" w:bidi="en-US"/>
        </w:rPr>
      </w:pPr>
      <w:r>
        <w:rPr>
          <w:rFonts w:hint="default" w:ascii="Times New Roman" w:hAnsi="Times New Roman" w:eastAsia="仿宋" w:cs="Times New Roman"/>
          <w:b w:val="0"/>
          <w:bCs w:val="0"/>
          <w:color w:val="auto"/>
          <w:w w:val="90"/>
          <w:sz w:val="24"/>
          <w:szCs w:val="24"/>
          <w:highlight w:val="none"/>
          <w:lang w:val="en-US" w:eastAsia="zh-CN" w:bidi="en-US"/>
        </w:rPr>
        <w:t>参照粤财农〔2012〕490号工程勘测费，按不高于项目工程建设投资额的1.5%计取”。</w:t>
      </w:r>
    </w:p>
    <w:p w14:paraId="7D91FE04">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计算公式为：项目勘测费=估算建安费×费率。</w:t>
      </w:r>
    </w:p>
    <w:p w14:paraId="369EC606">
      <w:pPr>
        <w:pStyle w:val="42"/>
        <w:keepNext w:val="0"/>
        <w:keepLines w:val="0"/>
        <w:pageBreakBefore w:val="0"/>
        <w:widowControl/>
        <w:kinsoku/>
        <w:wordWrap/>
        <w:overflowPunct/>
        <w:topLinePunct w:val="0"/>
        <w:autoSpaceDE/>
        <w:autoSpaceDN/>
        <w:bidi w:val="0"/>
        <w:adjustRightInd w:val="0"/>
        <w:snapToGrid/>
        <w:spacing w:after="0" w:line="240" w:lineRule="auto"/>
        <w:ind w:firstLine="482" w:firstLineChars="200"/>
        <w:jc w:val="left"/>
        <w:rPr>
          <w:rFonts w:hint="default" w:ascii="Times New Roman" w:hAnsi="Times New Roman" w:eastAsia="仿宋" w:cs="Times New Roman"/>
          <w:color w:val="auto"/>
          <w:sz w:val="24"/>
          <w:szCs w:val="24"/>
          <w:highlight w:val="none"/>
          <w:lang w:val="en-US" w:eastAsia="zh-CN" w:bidi="en-US"/>
        </w:rPr>
      </w:pPr>
      <w:bookmarkStart w:id="36" w:name="_Toc216257609"/>
      <w:r>
        <w:rPr>
          <w:rFonts w:hint="default" w:ascii="Times New Roman" w:hAnsi="Times New Roman" w:eastAsia="仿宋" w:cs="Times New Roman"/>
          <w:color w:val="auto"/>
          <w:sz w:val="24"/>
          <w:szCs w:val="24"/>
          <w:highlight w:val="none"/>
          <w:lang w:val="en-US" w:eastAsia="zh-CN" w:bidi="en-US"/>
        </w:rPr>
        <w:t>（2）工程设计费</w:t>
      </w:r>
    </w:p>
    <w:p w14:paraId="05A1C9C3">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a.项目设计费</w:t>
      </w:r>
    </w:p>
    <w:p w14:paraId="2B36CCCD">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计算基础采用估算建安费。</w:t>
      </w:r>
    </w:p>
    <w:p w14:paraId="6DAA4BE4">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工程设计收费=基本设计费+预算编制费</w:t>
      </w:r>
    </w:p>
    <w:p w14:paraId="11FE020E">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基本设计费=估算建安费×4.5%×（专业调整系数）×（复杂程度调整系数）</w:t>
      </w:r>
    </w:p>
    <w:p w14:paraId="2827EFA4">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b.预算编制费</w:t>
      </w:r>
    </w:p>
    <w:p w14:paraId="440ECFC0">
      <w:pPr>
        <w:pStyle w:val="42"/>
        <w:keepNext w:val="0"/>
        <w:keepLines w:val="0"/>
        <w:pageBreakBefore w:val="0"/>
        <w:widowControl/>
        <w:kinsoku/>
        <w:wordWrap/>
        <w:overflowPunct/>
        <w:topLinePunct w:val="0"/>
        <w:autoSpaceDE/>
        <w:autoSpaceDN/>
        <w:bidi w:val="0"/>
        <w:adjustRightInd w:val="0"/>
        <w:snapToGrid/>
        <w:spacing w:after="0" w:line="240" w:lineRule="auto"/>
        <w:ind w:firstLine="480" w:firstLineChars="200"/>
        <w:jc w:val="left"/>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按照该建设项目基本设计收费的10％收取施工图预算编制费。计算基础采用估算建安费。</w:t>
      </w:r>
    </w:p>
    <w:p w14:paraId="7338323C">
      <w:pPr>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br w:type="page"/>
      </w:r>
    </w:p>
    <w:p w14:paraId="2C0D01E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仿宋"/>
          <w:b/>
          <w:bCs/>
          <w:color w:val="auto"/>
          <w:sz w:val="24"/>
          <w:szCs w:val="24"/>
          <w:highlight w:val="none"/>
        </w:rPr>
      </w:pPr>
      <w:r>
        <w:rPr>
          <w:rFonts w:hint="eastAsia" w:ascii="Times New Roman" w:hAnsi="Times New Roman" w:eastAsia="仿宋" w:cs="仿宋"/>
          <w:b/>
          <w:bCs/>
          <w:color w:val="auto"/>
          <w:sz w:val="24"/>
          <w:szCs w:val="24"/>
          <w:highlight w:val="none"/>
        </w:rPr>
        <w:t>表</w:t>
      </w:r>
      <w:r>
        <w:rPr>
          <w:rFonts w:hint="eastAsia" w:ascii="Times New Roman" w:hAnsi="Times New Roman" w:eastAsia="仿宋" w:cs="仿宋"/>
          <w:b/>
          <w:bCs/>
          <w:color w:val="auto"/>
          <w:sz w:val="24"/>
          <w:szCs w:val="24"/>
          <w:highlight w:val="none"/>
          <w:lang w:val="en-US" w:eastAsia="zh-CN"/>
        </w:rPr>
        <w:t>3.9</w:t>
      </w:r>
      <w:r>
        <w:rPr>
          <w:rFonts w:hint="eastAsia" w:ascii="Times New Roman" w:hAnsi="Times New Roman" w:eastAsia="仿宋" w:cs="仿宋"/>
          <w:b/>
          <w:bCs/>
          <w:color w:val="auto"/>
          <w:sz w:val="24"/>
          <w:szCs w:val="24"/>
          <w:highlight w:val="none"/>
        </w:rPr>
        <w:t>-</w:t>
      </w:r>
      <w:r>
        <w:rPr>
          <w:rFonts w:hint="eastAsia" w:ascii="Times New Roman" w:hAnsi="Times New Roman" w:eastAsia="仿宋" w:cs="仿宋"/>
          <w:b/>
          <w:bCs/>
          <w:color w:val="auto"/>
          <w:sz w:val="24"/>
          <w:szCs w:val="24"/>
          <w:highlight w:val="none"/>
          <w:lang w:val="en-US" w:eastAsia="zh-CN"/>
        </w:rPr>
        <w:t>1</w:t>
      </w:r>
      <w:r>
        <w:rPr>
          <w:rFonts w:hint="eastAsia" w:ascii="Times New Roman" w:hAnsi="Times New Roman" w:eastAsia="仿宋" w:cs="仿宋"/>
          <w:b/>
          <w:bCs/>
          <w:color w:val="auto"/>
          <w:sz w:val="24"/>
          <w:szCs w:val="24"/>
          <w:highlight w:val="none"/>
        </w:rPr>
        <w:t>工程设计收费基价表</w:t>
      </w:r>
    </w:p>
    <w:p w14:paraId="294E67F2">
      <w:pPr>
        <w:pStyle w:val="42"/>
        <w:keepNext w:val="0"/>
        <w:keepLines w:val="0"/>
        <w:pageBreakBefore w:val="0"/>
        <w:widowControl/>
        <w:kinsoku/>
        <w:wordWrap/>
        <w:overflowPunct/>
        <w:topLinePunct w:val="0"/>
        <w:autoSpaceDE/>
        <w:autoSpaceDN/>
        <w:bidi w:val="0"/>
        <w:adjustRightInd/>
        <w:snapToGrid/>
        <w:spacing w:after="0" w:line="400" w:lineRule="exact"/>
        <w:ind w:firstLine="0"/>
        <w:jc w:val="center"/>
        <w:textAlignment w:val="auto"/>
        <w:rPr>
          <w:rFonts w:hint="default" w:ascii="Times New Roman" w:hAnsi="Times New Roman" w:eastAsia="仿宋" w:cs="Times New Roman"/>
          <w:b w:val="0"/>
          <w:bCs w:val="0"/>
          <w:color w:val="auto"/>
          <w:sz w:val="24"/>
          <w:szCs w:val="24"/>
          <w:highlight w:val="none"/>
          <w:lang w:val="en-US" w:eastAsia="zh-CN" w:bidi="en-US"/>
        </w:rPr>
      </w:pPr>
      <w:r>
        <w:rPr>
          <w:rFonts w:hint="eastAsia" w:ascii="Times New Roman" w:hAnsi="Times New Roman" w:eastAsia="仿宋" w:cs="仿宋"/>
          <w:b w:val="0"/>
          <w:bCs w:val="0"/>
          <w:color w:val="auto"/>
          <w:sz w:val="24"/>
          <w:szCs w:val="24"/>
          <w:highlight w:val="none"/>
          <w:lang w:val="en-US" w:eastAsia="zh-CN" w:bidi="en-US"/>
        </w:rPr>
        <w:t xml:space="preserve">                                                    单位：万元</w:t>
      </w:r>
    </w:p>
    <w:tbl>
      <w:tblPr>
        <w:tblStyle w:val="20"/>
        <w:tblW w:w="8197" w:type="dxa"/>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77"/>
        <w:gridCol w:w="2370"/>
        <w:gridCol w:w="4050"/>
      </w:tblGrid>
      <w:tr w14:paraId="2F459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7" w:type="dxa"/>
            <w:noWrap w:val="0"/>
            <w:vAlign w:val="center"/>
          </w:tcPr>
          <w:p w14:paraId="68B490EF">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序号</w:t>
            </w:r>
          </w:p>
        </w:tc>
        <w:tc>
          <w:tcPr>
            <w:tcW w:w="2370" w:type="dxa"/>
            <w:noWrap w:val="0"/>
            <w:vAlign w:val="center"/>
          </w:tcPr>
          <w:p w14:paraId="4EF11E40">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计费额</w:t>
            </w:r>
          </w:p>
        </w:tc>
        <w:tc>
          <w:tcPr>
            <w:tcW w:w="4050" w:type="dxa"/>
            <w:noWrap w:val="0"/>
            <w:vAlign w:val="center"/>
          </w:tcPr>
          <w:p w14:paraId="7E61F21A">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收费基价</w:t>
            </w:r>
          </w:p>
        </w:tc>
      </w:tr>
      <w:tr w14:paraId="7B84A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8" w:hRule="atLeast"/>
        </w:trPr>
        <w:tc>
          <w:tcPr>
            <w:tcW w:w="1777" w:type="dxa"/>
            <w:noWrap w:val="0"/>
            <w:vAlign w:val="center"/>
          </w:tcPr>
          <w:p w14:paraId="4999885A">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w:t>
            </w:r>
          </w:p>
        </w:tc>
        <w:tc>
          <w:tcPr>
            <w:tcW w:w="2370" w:type="dxa"/>
            <w:noWrap w:val="0"/>
            <w:vAlign w:val="center"/>
          </w:tcPr>
          <w:p w14:paraId="7A49E862">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200</w:t>
            </w:r>
          </w:p>
        </w:tc>
        <w:tc>
          <w:tcPr>
            <w:tcW w:w="4050" w:type="dxa"/>
            <w:noWrap w:val="0"/>
            <w:vAlign w:val="center"/>
          </w:tcPr>
          <w:p w14:paraId="778411EB">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9.0</w:t>
            </w:r>
          </w:p>
        </w:tc>
      </w:tr>
      <w:tr w14:paraId="5DD68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441063A0">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w:t>
            </w:r>
          </w:p>
        </w:tc>
        <w:tc>
          <w:tcPr>
            <w:tcW w:w="2370" w:type="dxa"/>
            <w:noWrap w:val="0"/>
            <w:vAlign w:val="center"/>
          </w:tcPr>
          <w:p w14:paraId="2D96693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500</w:t>
            </w:r>
          </w:p>
        </w:tc>
        <w:tc>
          <w:tcPr>
            <w:tcW w:w="4050" w:type="dxa"/>
            <w:noWrap w:val="0"/>
            <w:vAlign w:val="center"/>
          </w:tcPr>
          <w:p w14:paraId="60043EF9">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20.9</w:t>
            </w:r>
          </w:p>
        </w:tc>
      </w:tr>
      <w:tr w14:paraId="640CA9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7" w:type="dxa"/>
            <w:noWrap w:val="0"/>
            <w:vAlign w:val="center"/>
          </w:tcPr>
          <w:p w14:paraId="5008E123">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3</w:t>
            </w:r>
          </w:p>
        </w:tc>
        <w:tc>
          <w:tcPr>
            <w:tcW w:w="2370" w:type="dxa"/>
            <w:noWrap w:val="0"/>
            <w:vAlign w:val="center"/>
          </w:tcPr>
          <w:p w14:paraId="250D7F9E">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1000</w:t>
            </w:r>
          </w:p>
        </w:tc>
        <w:tc>
          <w:tcPr>
            <w:tcW w:w="4050" w:type="dxa"/>
            <w:noWrap w:val="0"/>
            <w:vAlign w:val="center"/>
          </w:tcPr>
          <w:p w14:paraId="2FA3C5A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38.8</w:t>
            </w:r>
          </w:p>
        </w:tc>
      </w:tr>
      <w:tr w14:paraId="4C3810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3E7C496F">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4</w:t>
            </w:r>
          </w:p>
        </w:tc>
        <w:tc>
          <w:tcPr>
            <w:tcW w:w="2370" w:type="dxa"/>
            <w:noWrap w:val="0"/>
            <w:vAlign w:val="center"/>
          </w:tcPr>
          <w:p w14:paraId="2982727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3000</w:t>
            </w:r>
          </w:p>
        </w:tc>
        <w:tc>
          <w:tcPr>
            <w:tcW w:w="4050" w:type="dxa"/>
            <w:noWrap w:val="0"/>
            <w:vAlign w:val="center"/>
          </w:tcPr>
          <w:p w14:paraId="38A00D4B">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103.8</w:t>
            </w:r>
          </w:p>
        </w:tc>
      </w:tr>
      <w:tr w14:paraId="56A40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777" w:type="dxa"/>
            <w:noWrap w:val="0"/>
            <w:vAlign w:val="center"/>
          </w:tcPr>
          <w:p w14:paraId="579AA4F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5</w:t>
            </w:r>
          </w:p>
        </w:tc>
        <w:tc>
          <w:tcPr>
            <w:tcW w:w="2370" w:type="dxa"/>
            <w:noWrap w:val="0"/>
            <w:vAlign w:val="center"/>
          </w:tcPr>
          <w:p w14:paraId="2A811EC0">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5000</w:t>
            </w:r>
          </w:p>
        </w:tc>
        <w:tc>
          <w:tcPr>
            <w:tcW w:w="4050" w:type="dxa"/>
            <w:noWrap w:val="0"/>
            <w:vAlign w:val="center"/>
          </w:tcPr>
          <w:p w14:paraId="443C63F8">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163.9</w:t>
            </w:r>
          </w:p>
        </w:tc>
      </w:tr>
      <w:tr w14:paraId="70887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0C9A23EE">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6</w:t>
            </w:r>
          </w:p>
        </w:tc>
        <w:tc>
          <w:tcPr>
            <w:tcW w:w="2370" w:type="dxa"/>
            <w:noWrap w:val="0"/>
            <w:vAlign w:val="center"/>
          </w:tcPr>
          <w:p w14:paraId="3A0325DC">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8000</w:t>
            </w:r>
          </w:p>
        </w:tc>
        <w:tc>
          <w:tcPr>
            <w:tcW w:w="4050" w:type="dxa"/>
            <w:noWrap w:val="0"/>
            <w:vAlign w:val="center"/>
          </w:tcPr>
          <w:p w14:paraId="776031FC">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249.6</w:t>
            </w:r>
          </w:p>
        </w:tc>
      </w:tr>
      <w:tr w14:paraId="7BF027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00BFE702">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7</w:t>
            </w:r>
          </w:p>
        </w:tc>
        <w:tc>
          <w:tcPr>
            <w:tcW w:w="2370" w:type="dxa"/>
            <w:noWrap w:val="0"/>
            <w:vAlign w:val="center"/>
          </w:tcPr>
          <w:p w14:paraId="1BF88EB6">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10000</w:t>
            </w:r>
          </w:p>
        </w:tc>
        <w:tc>
          <w:tcPr>
            <w:tcW w:w="4050" w:type="dxa"/>
            <w:noWrap w:val="0"/>
            <w:vAlign w:val="center"/>
          </w:tcPr>
          <w:p w14:paraId="6FAC3387">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304.8</w:t>
            </w:r>
          </w:p>
        </w:tc>
      </w:tr>
      <w:tr w14:paraId="7F52A0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777" w:type="dxa"/>
            <w:noWrap w:val="0"/>
            <w:vAlign w:val="center"/>
          </w:tcPr>
          <w:p w14:paraId="37723997">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8</w:t>
            </w:r>
          </w:p>
        </w:tc>
        <w:tc>
          <w:tcPr>
            <w:tcW w:w="2370" w:type="dxa"/>
            <w:noWrap w:val="0"/>
            <w:vAlign w:val="center"/>
          </w:tcPr>
          <w:p w14:paraId="55378EDD">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20000</w:t>
            </w:r>
          </w:p>
        </w:tc>
        <w:tc>
          <w:tcPr>
            <w:tcW w:w="4050" w:type="dxa"/>
            <w:noWrap w:val="0"/>
            <w:vAlign w:val="center"/>
          </w:tcPr>
          <w:p w14:paraId="26BEA91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566.8</w:t>
            </w:r>
          </w:p>
        </w:tc>
      </w:tr>
      <w:tr w14:paraId="5CAD71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6D373808">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9</w:t>
            </w:r>
          </w:p>
        </w:tc>
        <w:tc>
          <w:tcPr>
            <w:tcW w:w="2370" w:type="dxa"/>
            <w:noWrap w:val="0"/>
            <w:vAlign w:val="center"/>
          </w:tcPr>
          <w:p w14:paraId="4E69DD00">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40000</w:t>
            </w:r>
          </w:p>
        </w:tc>
        <w:tc>
          <w:tcPr>
            <w:tcW w:w="4050" w:type="dxa"/>
            <w:noWrap w:val="0"/>
            <w:vAlign w:val="center"/>
          </w:tcPr>
          <w:p w14:paraId="624EBAB1">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1054.0</w:t>
            </w:r>
          </w:p>
        </w:tc>
      </w:tr>
      <w:tr w14:paraId="7D3BB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23F78D5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w:t>
            </w:r>
          </w:p>
        </w:tc>
        <w:tc>
          <w:tcPr>
            <w:tcW w:w="2370" w:type="dxa"/>
            <w:noWrap w:val="0"/>
            <w:vAlign w:val="center"/>
          </w:tcPr>
          <w:p w14:paraId="3DCAFBB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6000</w:t>
            </w:r>
          </w:p>
        </w:tc>
        <w:tc>
          <w:tcPr>
            <w:tcW w:w="4050" w:type="dxa"/>
            <w:noWrap w:val="0"/>
            <w:vAlign w:val="center"/>
          </w:tcPr>
          <w:p w14:paraId="3527D0A3">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1515.2</w:t>
            </w:r>
          </w:p>
        </w:tc>
      </w:tr>
      <w:tr w14:paraId="7108C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777" w:type="dxa"/>
            <w:noWrap w:val="0"/>
            <w:vAlign w:val="center"/>
          </w:tcPr>
          <w:p w14:paraId="79FAD05C">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11</w:t>
            </w:r>
          </w:p>
        </w:tc>
        <w:tc>
          <w:tcPr>
            <w:tcW w:w="2370" w:type="dxa"/>
            <w:noWrap w:val="0"/>
            <w:vAlign w:val="center"/>
          </w:tcPr>
          <w:p w14:paraId="3B54CF54">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80000</w:t>
            </w:r>
          </w:p>
        </w:tc>
        <w:tc>
          <w:tcPr>
            <w:tcW w:w="4050" w:type="dxa"/>
            <w:noWrap w:val="0"/>
            <w:vAlign w:val="center"/>
          </w:tcPr>
          <w:p w14:paraId="7FE85F8D">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1960.1</w:t>
            </w:r>
          </w:p>
        </w:tc>
      </w:tr>
      <w:tr w14:paraId="7E1E8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6FF05E64">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12</w:t>
            </w:r>
          </w:p>
        </w:tc>
        <w:tc>
          <w:tcPr>
            <w:tcW w:w="2370" w:type="dxa"/>
            <w:noWrap w:val="0"/>
            <w:vAlign w:val="center"/>
          </w:tcPr>
          <w:p w14:paraId="6AAEDF2C">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100000</w:t>
            </w:r>
          </w:p>
        </w:tc>
        <w:tc>
          <w:tcPr>
            <w:tcW w:w="4050" w:type="dxa"/>
            <w:noWrap w:val="0"/>
            <w:vAlign w:val="center"/>
          </w:tcPr>
          <w:p w14:paraId="661DC83A">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2393.4</w:t>
            </w:r>
          </w:p>
        </w:tc>
      </w:tr>
      <w:tr w14:paraId="26A21B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034C8C27">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13</w:t>
            </w:r>
          </w:p>
        </w:tc>
        <w:tc>
          <w:tcPr>
            <w:tcW w:w="2370" w:type="dxa"/>
            <w:noWrap w:val="0"/>
            <w:vAlign w:val="center"/>
          </w:tcPr>
          <w:p w14:paraId="7A89C81B">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200000</w:t>
            </w:r>
          </w:p>
        </w:tc>
        <w:tc>
          <w:tcPr>
            <w:tcW w:w="4050" w:type="dxa"/>
            <w:noWrap w:val="0"/>
            <w:vAlign w:val="center"/>
          </w:tcPr>
          <w:p w14:paraId="5E8AD687">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4450.8</w:t>
            </w:r>
          </w:p>
        </w:tc>
      </w:tr>
      <w:tr w14:paraId="4AA558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777" w:type="dxa"/>
            <w:noWrap w:val="0"/>
            <w:vAlign w:val="center"/>
          </w:tcPr>
          <w:p w14:paraId="1881FE2E">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14</w:t>
            </w:r>
          </w:p>
        </w:tc>
        <w:tc>
          <w:tcPr>
            <w:tcW w:w="2370" w:type="dxa"/>
            <w:noWrap w:val="0"/>
            <w:vAlign w:val="center"/>
          </w:tcPr>
          <w:p w14:paraId="1586C9E6">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400000</w:t>
            </w:r>
          </w:p>
        </w:tc>
        <w:tc>
          <w:tcPr>
            <w:tcW w:w="4050" w:type="dxa"/>
            <w:noWrap w:val="0"/>
            <w:vAlign w:val="center"/>
          </w:tcPr>
          <w:p w14:paraId="4A3B9669">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8276.7</w:t>
            </w:r>
          </w:p>
        </w:tc>
      </w:tr>
      <w:tr w14:paraId="4CD342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659E41A5">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15</w:t>
            </w:r>
          </w:p>
        </w:tc>
        <w:tc>
          <w:tcPr>
            <w:tcW w:w="2370" w:type="dxa"/>
            <w:noWrap w:val="0"/>
            <w:vAlign w:val="center"/>
          </w:tcPr>
          <w:p w14:paraId="4E601A0B">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600000</w:t>
            </w:r>
          </w:p>
        </w:tc>
        <w:tc>
          <w:tcPr>
            <w:tcW w:w="4050" w:type="dxa"/>
            <w:noWrap w:val="0"/>
            <w:vAlign w:val="center"/>
          </w:tcPr>
          <w:p w14:paraId="56452D40">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11897.5</w:t>
            </w:r>
          </w:p>
        </w:tc>
      </w:tr>
      <w:tr w14:paraId="0BEC5E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63676EDE">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16</w:t>
            </w:r>
          </w:p>
        </w:tc>
        <w:tc>
          <w:tcPr>
            <w:tcW w:w="2370" w:type="dxa"/>
            <w:noWrap w:val="0"/>
            <w:vAlign w:val="center"/>
          </w:tcPr>
          <w:p w14:paraId="1DDE8F71">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800000</w:t>
            </w:r>
          </w:p>
        </w:tc>
        <w:tc>
          <w:tcPr>
            <w:tcW w:w="4050" w:type="dxa"/>
            <w:noWrap w:val="0"/>
            <w:vAlign w:val="center"/>
          </w:tcPr>
          <w:p w14:paraId="301E3371">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15391.4</w:t>
            </w:r>
          </w:p>
        </w:tc>
      </w:tr>
      <w:tr w14:paraId="4CA41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77" w:type="dxa"/>
            <w:noWrap w:val="0"/>
            <w:vAlign w:val="center"/>
          </w:tcPr>
          <w:p w14:paraId="3EFF16B6">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17</w:t>
            </w:r>
          </w:p>
        </w:tc>
        <w:tc>
          <w:tcPr>
            <w:tcW w:w="2370" w:type="dxa"/>
            <w:noWrap w:val="0"/>
            <w:vAlign w:val="center"/>
          </w:tcPr>
          <w:p w14:paraId="3D24B48E">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1000000</w:t>
            </w:r>
          </w:p>
        </w:tc>
        <w:tc>
          <w:tcPr>
            <w:tcW w:w="4050" w:type="dxa"/>
            <w:noWrap w:val="0"/>
            <w:vAlign w:val="center"/>
          </w:tcPr>
          <w:p w14:paraId="671680BD">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18793.8</w:t>
            </w:r>
          </w:p>
        </w:tc>
      </w:tr>
      <w:tr w14:paraId="0145A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777" w:type="dxa"/>
            <w:noWrap w:val="0"/>
            <w:vAlign w:val="center"/>
          </w:tcPr>
          <w:p w14:paraId="28F2C432">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18</w:t>
            </w:r>
          </w:p>
        </w:tc>
        <w:tc>
          <w:tcPr>
            <w:tcW w:w="2370" w:type="dxa"/>
            <w:noWrap w:val="0"/>
            <w:vAlign w:val="center"/>
          </w:tcPr>
          <w:p w14:paraId="57401347">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2000000</w:t>
            </w:r>
          </w:p>
        </w:tc>
        <w:tc>
          <w:tcPr>
            <w:tcW w:w="4050" w:type="dxa"/>
            <w:noWrap w:val="0"/>
            <w:vAlign w:val="center"/>
          </w:tcPr>
          <w:p w14:paraId="017F4D2A">
            <w:pPr>
              <w:widowControl/>
              <w:spacing w:line="240" w:lineRule="auto"/>
              <w:ind w:firstLine="0"/>
              <w:jc w:val="center"/>
              <w:textAlignment w:val="center"/>
              <w:rPr>
                <w:rFonts w:hint="default" w:ascii="Times New Roman" w:hAnsi="Times New Roman" w:eastAsia="仿宋" w:cs="Times New Roman"/>
                <w:color w:val="auto"/>
                <w:szCs w:val="21"/>
                <w:highlight w:val="none"/>
                <w:lang w:bidi="en-US"/>
              </w:rPr>
            </w:pPr>
            <w:r>
              <w:rPr>
                <w:rFonts w:hint="default" w:ascii="Times New Roman" w:hAnsi="Times New Roman" w:eastAsia="仿宋" w:cs="Times New Roman"/>
                <w:color w:val="auto"/>
                <w:szCs w:val="21"/>
                <w:highlight w:val="none"/>
                <w:lang w:bidi="en-US"/>
              </w:rPr>
              <w:t>34948.9</w:t>
            </w:r>
          </w:p>
        </w:tc>
      </w:tr>
    </w:tbl>
    <w:p w14:paraId="611CA01B">
      <w:pPr>
        <w:pStyle w:val="42"/>
        <w:keepNext w:val="0"/>
        <w:keepLines w:val="0"/>
        <w:pageBreakBefore w:val="0"/>
        <w:widowControl/>
        <w:kinsoku/>
        <w:wordWrap/>
        <w:overflowPunct/>
        <w:topLinePunct w:val="0"/>
        <w:autoSpaceDE/>
        <w:autoSpaceDN/>
        <w:bidi w:val="0"/>
        <w:adjustRightInd/>
        <w:snapToGrid/>
        <w:spacing w:after="0"/>
        <w:ind w:firstLine="420" w:firstLineChars="200"/>
        <w:textAlignment w:val="auto"/>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1"/>
          <w:szCs w:val="21"/>
          <w:highlight w:val="none"/>
          <w:lang w:val="en-US" w:eastAsia="zh-CN" w:bidi="en-US"/>
        </w:rPr>
        <w:t>注：计费额&gt;2000000万元的，以计费额乘以1.6%的收费率计算收费基价。</w:t>
      </w:r>
    </w:p>
    <w:p w14:paraId="0B1D8860">
      <w:pPr>
        <w:pStyle w:val="42"/>
        <w:keepNext w:val="0"/>
        <w:keepLines w:val="0"/>
        <w:pageBreakBefore w:val="0"/>
        <w:widowControl/>
        <w:kinsoku/>
        <w:wordWrap/>
        <w:overflowPunct/>
        <w:topLinePunct w:val="0"/>
        <w:autoSpaceDE/>
        <w:autoSpaceDN/>
        <w:bidi w:val="0"/>
        <w:adjustRightInd/>
        <w:snapToGrid/>
        <w:spacing w:after="0"/>
        <w:ind w:firstLine="0"/>
        <w:textAlignment w:val="auto"/>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color w:val="auto"/>
          <w:sz w:val="24"/>
          <w:szCs w:val="24"/>
          <w:highlight w:val="none"/>
          <w:lang w:val="en-US" w:eastAsia="zh-CN" w:bidi="en-US"/>
        </w:rPr>
        <w:t>（4）</w:t>
      </w:r>
      <w:bookmarkEnd w:id="36"/>
      <w:r>
        <w:rPr>
          <w:rFonts w:hint="default" w:ascii="Times New Roman" w:hAnsi="Times New Roman" w:eastAsia="仿宋" w:cs="Times New Roman"/>
          <w:color w:val="auto"/>
          <w:sz w:val="24"/>
          <w:szCs w:val="24"/>
          <w:highlight w:val="none"/>
          <w:lang w:val="en-US" w:eastAsia="zh-CN" w:bidi="en-US"/>
        </w:rPr>
        <w:t>工程监理费</w:t>
      </w:r>
    </w:p>
    <w:p w14:paraId="06E747CC">
      <w:pPr>
        <w:pStyle w:val="42"/>
        <w:keepNext w:val="0"/>
        <w:keepLines w:val="0"/>
        <w:pageBreakBefore w:val="0"/>
        <w:widowControl/>
        <w:kinsoku/>
        <w:wordWrap/>
        <w:overflowPunct/>
        <w:topLinePunct w:val="0"/>
        <w:autoSpaceDE/>
        <w:autoSpaceDN/>
        <w:bidi w:val="0"/>
        <w:adjustRightInd/>
        <w:snapToGrid/>
        <w:spacing w:after="0"/>
        <w:ind w:firstLine="480" w:firstLineChars="200"/>
        <w:textAlignment w:val="auto"/>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根据《国家发展改革委、建设部关于印发〈建设工程监理与相关服务收费管理规定〉》的通知（发改价格〔2007〕670号）1.0.5施工监理服务收费计算公式。</w:t>
      </w:r>
      <w:r>
        <w:rPr>
          <w:rFonts w:hint="default" w:ascii="Times New Roman" w:hAnsi="Times New Roman" w:eastAsia="仿宋" w:cs="Times New Roman"/>
          <w:b w:val="0"/>
          <w:bCs w:val="0"/>
          <w:color w:val="auto"/>
          <w:sz w:val="24"/>
          <w:szCs w:val="24"/>
          <w:highlight w:val="none"/>
          <w:lang w:val="en-US" w:eastAsia="zh-CN"/>
        </w:rPr>
        <w:t>计算基础采用估算建安费</w:t>
      </w:r>
      <w:r>
        <w:rPr>
          <w:rFonts w:hint="default" w:ascii="Times New Roman" w:hAnsi="Times New Roman" w:eastAsia="仿宋" w:cs="Times New Roman"/>
          <w:b w:val="0"/>
          <w:bCs w:val="0"/>
          <w:color w:val="auto"/>
          <w:sz w:val="24"/>
          <w:szCs w:val="24"/>
          <w:highlight w:val="none"/>
          <w:lang w:val="en-US" w:eastAsia="zh-CN" w:bidi="en-US"/>
        </w:rPr>
        <w:t>：</w:t>
      </w:r>
    </w:p>
    <w:p w14:paraId="2B829A63">
      <w:pPr>
        <w:pStyle w:val="42"/>
        <w:keepNext w:val="0"/>
        <w:keepLines w:val="0"/>
        <w:pageBreakBefore w:val="0"/>
        <w:widowControl/>
        <w:kinsoku/>
        <w:wordWrap/>
        <w:overflowPunct/>
        <w:topLinePunct w:val="0"/>
        <w:autoSpaceDE/>
        <w:autoSpaceDN/>
        <w:bidi w:val="0"/>
        <w:adjustRightInd/>
        <w:snapToGrid/>
        <w:spacing w:after="0"/>
        <w:ind w:firstLine="480" w:firstLineChars="200"/>
        <w:textAlignment w:val="auto"/>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施工监理服务收费=施工监理服务收费基准价×（1±浮动幅度值）；</w:t>
      </w:r>
    </w:p>
    <w:p w14:paraId="4064E3D2">
      <w:pPr>
        <w:pStyle w:val="42"/>
        <w:keepNext w:val="0"/>
        <w:keepLines w:val="0"/>
        <w:pageBreakBefore w:val="0"/>
        <w:widowControl/>
        <w:kinsoku/>
        <w:wordWrap/>
        <w:overflowPunct/>
        <w:topLinePunct w:val="0"/>
        <w:autoSpaceDE/>
        <w:autoSpaceDN/>
        <w:bidi w:val="0"/>
        <w:adjustRightInd/>
        <w:snapToGrid/>
        <w:spacing w:after="0"/>
        <w:ind w:firstLine="480" w:firstLineChars="200"/>
        <w:textAlignment w:val="auto"/>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施工监理服务收费基准价=施工监理服务收费基价×专业调整系数×工程复杂程度调整系数×高程调整系数。</w:t>
      </w:r>
    </w:p>
    <w:p w14:paraId="20127AF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4"/>
          <w:szCs w:val="24"/>
          <w:highlight w:val="none"/>
        </w:rPr>
      </w:pPr>
    </w:p>
    <w:p w14:paraId="34FA3327">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仿宋" w:cs="仿宋"/>
          <w:b/>
          <w:bCs/>
          <w:color w:val="auto"/>
          <w:sz w:val="24"/>
          <w:szCs w:val="24"/>
          <w:highlight w:val="none"/>
        </w:rPr>
      </w:pPr>
      <w:r>
        <w:rPr>
          <w:rFonts w:hint="eastAsia" w:ascii="Times New Roman" w:hAnsi="Times New Roman" w:eastAsia="仿宋" w:cs="仿宋"/>
          <w:b/>
          <w:bCs/>
          <w:color w:val="auto"/>
          <w:sz w:val="24"/>
          <w:szCs w:val="24"/>
          <w:highlight w:val="none"/>
        </w:rPr>
        <w:t>表</w:t>
      </w:r>
      <w:r>
        <w:rPr>
          <w:rFonts w:hint="eastAsia" w:ascii="Times New Roman" w:hAnsi="Times New Roman" w:eastAsia="仿宋" w:cs="仿宋"/>
          <w:b/>
          <w:bCs/>
          <w:color w:val="auto"/>
          <w:sz w:val="24"/>
          <w:szCs w:val="24"/>
          <w:highlight w:val="none"/>
          <w:lang w:val="en-US" w:eastAsia="zh-CN"/>
        </w:rPr>
        <w:t>3.9</w:t>
      </w:r>
      <w:r>
        <w:rPr>
          <w:rFonts w:hint="eastAsia" w:ascii="Times New Roman" w:hAnsi="Times New Roman" w:eastAsia="仿宋" w:cs="仿宋"/>
          <w:b/>
          <w:bCs/>
          <w:color w:val="auto"/>
          <w:sz w:val="24"/>
          <w:szCs w:val="24"/>
          <w:highlight w:val="none"/>
        </w:rPr>
        <w:t>-</w:t>
      </w:r>
      <w:r>
        <w:rPr>
          <w:rFonts w:hint="eastAsia" w:ascii="Times New Roman" w:hAnsi="Times New Roman" w:eastAsia="仿宋" w:cs="仿宋"/>
          <w:b/>
          <w:bCs/>
          <w:color w:val="auto"/>
          <w:sz w:val="24"/>
          <w:szCs w:val="24"/>
          <w:highlight w:val="none"/>
          <w:lang w:val="en-US" w:eastAsia="zh-CN"/>
        </w:rPr>
        <w:t>2</w:t>
      </w:r>
      <w:r>
        <w:rPr>
          <w:rFonts w:hint="eastAsia" w:ascii="Times New Roman" w:hAnsi="Times New Roman" w:eastAsia="仿宋" w:cs="仿宋"/>
          <w:b/>
          <w:bCs/>
          <w:color w:val="auto"/>
          <w:sz w:val="24"/>
          <w:szCs w:val="24"/>
          <w:highlight w:val="none"/>
        </w:rPr>
        <w:t>施工监理服务收费基价表</w:t>
      </w:r>
    </w:p>
    <w:p w14:paraId="27F5FBCE">
      <w:pPr>
        <w:pStyle w:val="7"/>
        <w:keepNext w:val="0"/>
        <w:keepLines w:val="0"/>
        <w:pageBreakBefore w:val="0"/>
        <w:widowControl/>
        <w:kinsoku/>
        <w:wordWrap/>
        <w:overflowPunct/>
        <w:topLinePunct w:val="0"/>
        <w:autoSpaceDE/>
        <w:autoSpaceDN/>
        <w:bidi w:val="0"/>
        <w:spacing w:line="400" w:lineRule="exact"/>
        <w:ind w:firstLine="480"/>
        <w:jc w:val="right"/>
        <w:textAlignment w:val="auto"/>
        <w:rPr>
          <w:rFonts w:hint="eastAsia" w:ascii="Times New Roman" w:hAnsi="Times New Roman" w:eastAsia="仿宋" w:cs="仿宋"/>
          <w:b/>
          <w:bCs/>
          <w:color w:val="auto"/>
          <w:sz w:val="24"/>
          <w:szCs w:val="24"/>
          <w:highlight w:val="none"/>
        </w:rPr>
      </w:pPr>
      <w:r>
        <w:rPr>
          <w:rFonts w:hint="eastAsia" w:ascii="Times New Roman" w:hAnsi="Times New Roman" w:eastAsia="仿宋" w:cs="仿宋"/>
          <w:color w:val="auto"/>
          <w:sz w:val="24"/>
          <w:szCs w:val="24"/>
          <w:highlight w:val="none"/>
        </w:rPr>
        <w:t>单位：万元</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42"/>
        <w:gridCol w:w="4205"/>
        <w:gridCol w:w="2909"/>
      </w:tblGrid>
      <w:tr w14:paraId="29CBD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072" w:type="pct"/>
            <w:vMerge w:val="restart"/>
            <w:noWrap w:val="0"/>
            <w:vAlign w:val="center"/>
          </w:tcPr>
          <w:p w14:paraId="7CA70482">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序号</w:t>
            </w:r>
          </w:p>
        </w:tc>
        <w:tc>
          <w:tcPr>
            <w:tcW w:w="2321" w:type="pct"/>
            <w:vMerge w:val="restart"/>
            <w:noWrap w:val="0"/>
            <w:vAlign w:val="center"/>
          </w:tcPr>
          <w:p w14:paraId="30CAF0C8">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计费额</w:t>
            </w:r>
          </w:p>
        </w:tc>
        <w:tc>
          <w:tcPr>
            <w:tcW w:w="1606" w:type="pct"/>
            <w:vMerge w:val="restart"/>
            <w:noWrap w:val="0"/>
            <w:vAlign w:val="center"/>
          </w:tcPr>
          <w:p w14:paraId="6B140432">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收费基价</w:t>
            </w:r>
          </w:p>
        </w:tc>
      </w:tr>
      <w:tr w14:paraId="631A50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072" w:type="pct"/>
            <w:vMerge w:val="continue"/>
            <w:noWrap w:val="0"/>
            <w:vAlign w:val="center"/>
          </w:tcPr>
          <w:p w14:paraId="3DF611AA">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p>
        </w:tc>
        <w:tc>
          <w:tcPr>
            <w:tcW w:w="2321" w:type="pct"/>
            <w:vMerge w:val="continue"/>
            <w:noWrap w:val="0"/>
            <w:vAlign w:val="center"/>
          </w:tcPr>
          <w:p w14:paraId="68CEC0A7">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p>
        </w:tc>
        <w:tc>
          <w:tcPr>
            <w:tcW w:w="1606" w:type="pct"/>
            <w:vMerge w:val="continue"/>
            <w:noWrap w:val="0"/>
            <w:vAlign w:val="center"/>
          </w:tcPr>
          <w:p w14:paraId="0D1417BA">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p>
        </w:tc>
      </w:tr>
      <w:tr w14:paraId="30812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072" w:type="pct"/>
            <w:noWrap w:val="0"/>
            <w:vAlign w:val="center"/>
          </w:tcPr>
          <w:p w14:paraId="595B4F85">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w:t>
            </w:r>
          </w:p>
        </w:tc>
        <w:tc>
          <w:tcPr>
            <w:tcW w:w="2321" w:type="pct"/>
            <w:noWrap w:val="0"/>
            <w:vAlign w:val="center"/>
          </w:tcPr>
          <w:p w14:paraId="38220CE4">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500</w:t>
            </w:r>
          </w:p>
        </w:tc>
        <w:tc>
          <w:tcPr>
            <w:tcW w:w="1606" w:type="pct"/>
            <w:noWrap w:val="0"/>
            <w:vAlign w:val="center"/>
          </w:tcPr>
          <w:p w14:paraId="6CA72580">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16.5</w:t>
            </w:r>
          </w:p>
        </w:tc>
      </w:tr>
      <w:tr w14:paraId="0326A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72" w:type="pct"/>
            <w:noWrap w:val="0"/>
            <w:vAlign w:val="center"/>
          </w:tcPr>
          <w:p w14:paraId="30B71249">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2</w:t>
            </w:r>
          </w:p>
        </w:tc>
        <w:tc>
          <w:tcPr>
            <w:tcW w:w="2321" w:type="pct"/>
            <w:noWrap w:val="0"/>
            <w:vAlign w:val="center"/>
          </w:tcPr>
          <w:p w14:paraId="6CBC5FB6">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1000</w:t>
            </w:r>
          </w:p>
        </w:tc>
        <w:tc>
          <w:tcPr>
            <w:tcW w:w="1606" w:type="pct"/>
            <w:noWrap w:val="0"/>
            <w:vAlign w:val="center"/>
          </w:tcPr>
          <w:p w14:paraId="28DBFD6D">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30.1</w:t>
            </w:r>
          </w:p>
        </w:tc>
      </w:tr>
      <w:tr w14:paraId="741CD4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72" w:type="pct"/>
            <w:noWrap w:val="0"/>
            <w:vAlign w:val="center"/>
          </w:tcPr>
          <w:p w14:paraId="3FC2E1D2">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3</w:t>
            </w:r>
          </w:p>
        </w:tc>
        <w:tc>
          <w:tcPr>
            <w:tcW w:w="2321" w:type="pct"/>
            <w:noWrap w:val="0"/>
            <w:vAlign w:val="center"/>
          </w:tcPr>
          <w:p w14:paraId="413A7A5D">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3000</w:t>
            </w:r>
          </w:p>
        </w:tc>
        <w:tc>
          <w:tcPr>
            <w:tcW w:w="1606" w:type="pct"/>
            <w:noWrap w:val="0"/>
            <w:vAlign w:val="center"/>
          </w:tcPr>
          <w:p w14:paraId="152181F0">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78.1</w:t>
            </w:r>
          </w:p>
        </w:tc>
      </w:tr>
      <w:tr w14:paraId="69A9F8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72" w:type="pct"/>
            <w:noWrap w:val="0"/>
            <w:vAlign w:val="center"/>
          </w:tcPr>
          <w:p w14:paraId="485CE4AA">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4</w:t>
            </w:r>
          </w:p>
        </w:tc>
        <w:tc>
          <w:tcPr>
            <w:tcW w:w="2321" w:type="pct"/>
            <w:noWrap w:val="0"/>
            <w:vAlign w:val="center"/>
          </w:tcPr>
          <w:p w14:paraId="1EC42F5C">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5000</w:t>
            </w:r>
          </w:p>
        </w:tc>
        <w:tc>
          <w:tcPr>
            <w:tcW w:w="1606" w:type="pct"/>
            <w:noWrap w:val="0"/>
            <w:vAlign w:val="center"/>
          </w:tcPr>
          <w:p w14:paraId="73A581F2">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120.8</w:t>
            </w:r>
          </w:p>
        </w:tc>
      </w:tr>
      <w:tr w14:paraId="477FC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72" w:type="pct"/>
            <w:noWrap w:val="0"/>
            <w:vAlign w:val="center"/>
          </w:tcPr>
          <w:p w14:paraId="5C6C35D1">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5</w:t>
            </w:r>
          </w:p>
        </w:tc>
        <w:tc>
          <w:tcPr>
            <w:tcW w:w="2321" w:type="pct"/>
            <w:noWrap w:val="0"/>
            <w:vAlign w:val="center"/>
          </w:tcPr>
          <w:p w14:paraId="15315C19">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8000</w:t>
            </w:r>
          </w:p>
        </w:tc>
        <w:tc>
          <w:tcPr>
            <w:tcW w:w="1606" w:type="pct"/>
            <w:noWrap w:val="0"/>
            <w:vAlign w:val="center"/>
          </w:tcPr>
          <w:p w14:paraId="3D22DF92">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181.0</w:t>
            </w:r>
          </w:p>
        </w:tc>
      </w:tr>
      <w:tr w14:paraId="00591E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6418BDBD">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6</w:t>
            </w:r>
          </w:p>
        </w:tc>
        <w:tc>
          <w:tcPr>
            <w:tcW w:w="2321" w:type="pct"/>
            <w:noWrap w:val="0"/>
            <w:vAlign w:val="center"/>
          </w:tcPr>
          <w:p w14:paraId="6B975F08">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10000</w:t>
            </w:r>
          </w:p>
        </w:tc>
        <w:tc>
          <w:tcPr>
            <w:tcW w:w="1606" w:type="pct"/>
            <w:noWrap w:val="0"/>
            <w:vAlign w:val="center"/>
          </w:tcPr>
          <w:p w14:paraId="1F8C1684">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218.6</w:t>
            </w:r>
          </w:p>
        </w:tc>
      </w:tr>
      <w:tr w14:paraId="023917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27D85991">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7</w:t>
            </w:r>
          </w:p>
        </w:tc>
        <w:tc>
          <w:tcPr>
            <w:tcW w:w="2321" w:type="pct"/>
            <w:noWrap w:val="0"/>
            <w:vAlign w:val="center"/>
          </w:tcPr>
          <w:p w14:paraId="10969FE1">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20000</w:t>
            </w:r>
          </w:p>
        </w:tc>
        <w:tc>
          <w:tcPr>
            <w:tcW w:w="1606" w:type="pct"/>
            <w:noWrap w:val="0"/>
            <w:vAlign w:val="center"/>
          </w:tcPr>
          <w:p w14:paraId="6D65462E">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393.4</w:t>
            </w:r>
          </w:p>
        </w:tc>
      </w:tr>
      <w:tr w14:paraId="638FC0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296F3AA3">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8</w:t>
            </w:r>
          </w:p>
        </w:tc>
        <w:tc>
          <w:tcPr>
            <w:tcW w:w="2321" w:type="pct"/>
            <w:noWrap w:val="0"/>
            <w:vAlign w:val="center"/>
          </w:tcPr>
          <w:p w14:paraId="11A5303A">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40000</w:t>
            </w:r>
          </w:p>
        </w:tc>
        <w:tc>
          <w:tcPr>
            <w:tcW w:w="1606" w:type="pct"/>
            <w:noWrap w:val="0"/>
            <w:vAlign w:val="center"/>
          </w:tcPr>
          <w:p w14:paraId="3A4B0DDA">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708.2</w:t>
            </w:r>
          </w:p>
        </w:tc>
      </w:tr>
      <w:tr w14:paraId="1D7BB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7515AEB0">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9</w:t>
            </w:r>
          </w:p>
        </w:tc>
        <w:tc>
          <w:tcPr>
            <w:tcW w:w="2321" w:type="pct"/>
            <w:noWrap w:val="0"/>
            <w:vAlign w:val="center"/>
          </w:tcPr>
          <w:p w14:paraId="459030A4">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60000</w:t>
            </w:r>
          </w:p>
        </w:tc>
        <w:tc>
          <w:tcPr>
            <w:tcW w:w="1606" w:type="pct"/>
            <w:noWrap w:val="0"/>
            <w:vAlign w:val="center"/>
          </w:tcPr>
          <w:p w14:paraId="025AF088">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991.4</w:t>
            </w:r>
          </w:p>
        </w:tc>
      </w:tr>
      <w:tr w14:paraId="09766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0DE89F49">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10</w:t>
            </w:r>
          </w:p>
        </w:tc>
        <w:tc>
          <w:tcPr>
            <w:tcW w:w="2321" w:type="pct"/>
            <w:noWrap w:val="0"/>
            <w:vAlign w:val="center"/>
          </w:tcPr>
          <w:p w14:paraId="7BCA32A7">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80000</w:t>
            </w:r>
          </w:p>
        </w:tc>
        <w:tc>
          <w:tcPr>
            <w:tcW w:w="1606" w:type="pct"/>
            <w:noWrap w:val="0"/>
            <w:vAlign w:val="center"/>
          </w:tcPr>
          <w:p w14:paraId="77EE0538">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1255.8</w:t>
            </w:r>
          </w:p>
        </w:tc>
      </w:tr>
      <w:tr w14:paraId="7EB50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1FF35C28">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11</w:t>
            </w:r>
          </w:p>
        </w:tc>
        <w:tc>
          <w:tcPr>
            <w:tcW w:w="2321" w:type="pct"/>
            <w:noWrap w:val="0"/>
            <w:vAlign w:val="center"/>
          </w:tcPr>
          <w:p w14:paraId="139F8AD0">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100000</w:t>
            </w:r>
          </w:p>
        </w:tc>
        <w:tc>
          <w:tcPr>
            <w:tcW w:w="1606" w:type="pct"/>
            <w:noWrap w:val="0"/>
            <w:vAlign w:val="center"/>
          </w:tcPr>
          <w:p w14:paraId="69315215">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1507.0</w:t>
            </w:r>
          </w:p>
        </w:tc>
      </w:tr>
      <w:tr w14:paraId="2698B4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436F9FDB">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12</w:t>
            </w:r>
          </w:p>
        </w:tc>
        <w:tc>
          <w:tcPr>
            <w:tcW w:w="2321" w:type="pct"/>
            <w:noWrap w:val="0"/>
            <w:vAlign w:val="center"/>
          </w:tcPr>
          <w:p w14:paraId="5E461C39">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200000</w:t>
            </w:r>
          </w:p>
        </w:tc>
        <w:tc>
          <w:tcPr>
            <w:tcW w:w="1606" w:type="pct"/>
            <w:noWrap w:val="0"/>
            <w:vAlign w:val="center"/>
          </w:tcPr>
          <w:p w14:paraId="18223184">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2712.5</w:t>
            </w:r>
          </w:p>
        </w:tc>
      </w:tr>
      <w:tr w14:paraId="0ED52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1692B75E">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13</w:t>
            </w:r>
          </w:p>
        </w:tc>
        <w:tc>
          <w:tcPr>
            <w:tcW w:w="2321" w:type="pct"/>
            <w:noWrap w:val="0"/>
            <w:vAlign w:val="center"/>
          </w:tcPr>
          <w:p w14:paraId="256D415E">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400000</w:t>
            </w:r>
          </w:p>
        </w:tc>
        <w:tc>
          <w:tcPr>
            <w:tcW w:w="1606" w:type="pct"/>
            <w:noWrap w:val="0"/>
            <w:vAlign w:val="center"/>
          </w:tcPr>
          <w:p w14:paraId="0F0618C5">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4882.6</w:t>
            </w:r>
          </w:p>
        </w:tc>
      </w:tr>
      <w:tr w14:paraId="22027A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2A7F62E6">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14</w:t>
            </w:r>
          </w:p>
        </w:tc>
        <w:tc>
          <w:tcPr>
            <w:tcW w:w="2321" w:type="pct"/>
            <w:noWrap w:val="0"/>
            <w:vAlign w:val="center"/>
          </w:tcPr>
          <w:p w14:paraId="22F9072D">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600000</w:t>
            </w:r>
          </w:p>
        </w:tc>
        <w:tc>
          <w:tcPr>
            <w:tcW w:w="1606" w:type="pct"/>
            <w:noWrap w:val="0"/>
            <w:vAlign w:val="center"/>
          </w:tcPr>
          <w:p w14:paraId="38960FFE">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6835.6</w:t>
            </w:r>
          </w:p>
        </w:tc>
      </w:tr>
      <w:tr w14:paraId="77350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2A6130C8">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15</w:t>
            </w:r>
          </w:p>
        </w:tc>
        <w:tc>
          <w:tcPr>
            <w:tcW w:w="2321" w:type="pct"/>
            <w:noWrap w:val="0"/>
            <w:vAlign w:val="center"/>
          </w:tcPr>
          <w:p w14:paraId="11A298BC">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800000</w:t>
            </w:r>
          </w:p>
        </w:tc>
        <w:tc>
          <w:tcPr>
            <w:tcW w:w="1606" w:type="pct"/>
            <w:noWrap w:val="0"/>
            <w:vAlign w:val="center"/>
          </w:tcPr>
          <w:p w14:paraId="58B83246">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8658.4</w:t>
            </w:r>
          </w:p>
        </w:tc>
      </w:tr>
      <w:tr w14:paraId="4F48B2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72" w:type="pct"/>
            <w:noWrap w:val="0"/>
            <w:vAlign w:val="center"/>
          </w:tcPr>
          <w:p w14:paraId="0B4199D2">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16</w:t>
            </w:r>
          </w:p>
        </w:tc>
        <w:tc>
          <w:tcPr>
            <w:tcW w:w="2321" w:type="pct"/>
            <w:noWrap w:val="0"/>
            <w:vAlign w:val="center"/>
          </w:tcPr>
          <w:p w14:paraId="6F8481C3">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1000000</w:t>
            </w:r>
          </w:p>
        </w:tc>
        <w:tc>
          <w:tcPr>
            <w:tcW w:w="1606" w:type="pct"/>
            <w:noWrap w:val="0"/>
            <w:vAlign w:val="center"/>
          </w:tcPr>
          <w:p w14:paraId="46EB2A01">
            <w:pPr>
              <w:pStyle w:val="18"/>
              <w:wordWrap w:val="0"/>
              <w:spacing w:beforeAutospacing="0" w:afterAutospacing="0" w:line="240" w:lineRule="auto"/>
              <w:jc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bidi="en-US"/>
              </w:rPr>
              <w:t>10390.1</w:t>
            </w:r>
          </w:p>
        </w:tc>
      </w:tr>
    </w:tbl>
    <w:p w14:paraId="341C476C">
      <w:pPr>
        <w:pStyle w:val="42"/>
        <w:keepNext w:val="0"/>
        <w:keepLines w:val="0"/>
        <w:pageBreakBefore w:val="0"/>
        <w:widowControl/>
        <w:kinsoku/>
        <w:wordWrap/>
        <w:overflowPunct/>
        <w:topLinePunct w:val="0"/>
        <w:autoSpaceDE/>
        <w:autoSpaceDN/>
        <w:bidi w:val="0"/>
        <w:adjustRightInd/>
        <w:snapToGrid/>
        <w:spacing w:after="0"/>
        <w:ind w:firstLine="0"/>
        <w:textAlignment w:val="auto"/>
        <w:rPr>
          <w:rFonts w:hint="default" w:ascii="Times New Roman" w:hAnsi="Times New Roman" w:eastAsia="仿宋" w:cs="Times New Roman"/>
          <w:b w:val="0"/>
          <w:bCs w:val="0"/>
          <w:color w:val="auto"/>
          <w:sz w:val="21"/>
          <w:szCs w:val="21"/>
          <w:highlight w:val="none"/>
          <w:lang w:val="en-US" w:eastAsia="zh-CN" w:bidi="en-US"/>
        </w:rPr>
      </w:pPr>
      <w:r>
        <w:rPr>
          <w:rFonts w:hint="default" w:ascii="Times New Roman" w:hAnsi="Times New Roman" w:eastAsia="仿宋" w:cs="Times New Roman"/>
          <w:b w:val="0"/>
          <w:bCs w:val="0"/>
          <w:color w:val="auto"/>
          <w:sz w:val="21"/>
          <w:szCs w:val="21"/>
          <w:highlight w:val="none"/>
          <w:lang w:val="en-US" w:eastAsia="zh-CN" w:bidi="en-US"/>
        </w:rPr>
        <w:t>注：计费额大于1000000万元的，以计费额乘以1.039%的收费率计算收费基价。</w:t>
      </w:r>
    </w:p>
    <w:p w14:paraId="35CBD760">
      <w:pPr>
        <w:pStyle w:val="42"/>
        <w:keepNext w:val="0"/>
        <w:keepLines w:val="0"/>
        <w:pageBreakBefore w:val="0"/>
        <w:widowControl/>
        <w:kinsoku/>
        <w:wordWrap/>
        <w:overflowPunct/>
        <w:topLinePunct w:val="0"/>
        <w:autoSpaceDE/>
        <w:autoSpaceDN/>
        <w:bidi w:val="0"/>
        <w:adjustRightInd/>
        <w:snapToGrid/>
        <w:spacing w:after="0"/>
        <w:ind w:firstLine="482" w:firstLineChars="200"/>
        <w:textAlignment w:val="auto"/>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color w:val="auto"/>
          <w:sz w:val="24"/>
          <w:szCs w:val="24"/>
          <w:highlight w:val="none"/>
          <w:lang w:val="en-US" w:eastAsia="zh-CN" w:bidi="en-US"/>
        </w:rPr>
        <w:t>（4）全过程造价咨询费</w:t>
      </w:r>
    </w:p>
    <w:p w14:paraId="1FA4AAE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color w:val="auto"/>
          <w:sz w:val="24"/>
          <w:szCs w:val="24"/>
          <w:highlight w:val="none"/>
          <w:lang w:val="en-US" w:eastAsia="zh-CN" w:bidi="en-US"/>
        </w:rPr>
        <w:t>a</w:t>
      </w:r>
      <w:r>
        <w:rPr>
          <w:rFonts w:hint="eastAsia" w:eastAsia="仿宋" w:cs="Times New Roman"/>
          <w:color w:val="auto"/>
          <w:sz w:val="24"/>
          <w:szCs w:val="24"/>
          <w:highlight w:val="none"/>
          <w:lang w:val="en-US" w:eastAsia="zh-CN" w:bidi="en-US"/>
        </w:rPr>
        <w:t>.</w:t>
      </w:r>
      <w:r>
        <w:rPr>
          <w:rFonts w:hint="default" w:ascii="Times New Roman" w:hAnsi="Times New Roman" w:eastAsia="仿宋" w:cs="Times New Roman"/>
          <w:color w:val="auto"/>
          <w:sz w:val="24"/>
          <w:szCs w:val="24"/>
          <w:highlight w:val="none"/>
          <w:lang w:val="en-US" w:eastAsia="zh-CN" w:bidi="en-US"/>
        </w:rPr>
        <w:t>工程预算审核费：根据《关于调整我省建设工程造价咨询服务收费的复函》（粤价函〔2011〕742号）规定的“工程预算的编制和审核”收费标准计算，造价咨询费按预算造价为计费基数，采用差额定率累进计费。计算基础采用估算建安费。</w:t>
      </w:r>
    </w:p>
    <w:p w14:paraId="513A3E2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bidi="en-US"/>
        </w:rPr>
        <w:t>b</w:t>
      </w:r>
      <w:r>
        <w:rPr>
          <w:rFonts w:hint="eastAsia" w:eastAsia="仿宋" w:cs="Times New Roman"/>
          <w:color w:val="auto"/>
          <w:sz w:val="24"/>
          <w:szCs w:val="24"/>
          <w:highlight w:val="none"/>
          <w:lang w:val="en-US" w:eastAsia="zh-CN" w:bidi="en-US"/>
        </w:rPr>
        <w:t>.</w:t>
      </w:r>
      <w:r>
        <w:rPr>
          <w:rFonts w:hint="default" w:ascii="Times New Roman" w:hAnsi="Times New Roman" w:eastAsia="仿宋" w:cs="Times New Roman"/>
          <w:color w:val="auto"/>
          <w:sz w:val="24"/>
          <w:szCs w:val="24"/>
          <w:highlight w:val="none"/>
          <w:lang w:val="en-US" w:eastAsia="zh-CN" w:bidi="en-US"/>
        </w:rPr>
        <w:t>工程结算审核费：根据《关于调整我省建设工程造价咨询服务收费的复函》（粤价函〔2011〕742号）规定的“工程结算审核”收费标准计算，基本收费为差额定率累进计费</w:t>
      </w:r>
      <w:r>
        <w:rPr>
          <w:rFonts w:hint="eastAsia" w:eastAsia="仿宋" w:cs="Times New Roman"/>
          <w:color w:val="auto"/>
          <w:sz w:val="24"/>
          <w:szCs w:val="24"/>
          <w:highlight w:val="none"/>
          <w:lang w:val="en-US" w:eastAsia="zh-CN" w:bidi="en-US"/>
        </w:rPr>
        <w:t>：</w:t>
      </w:r>
      <w:r>
        <w:rPr>
          <w:rFonts w:hint="default" w:ascii="Times New Roman" w:hAnsi="Times New Roman" w:eastAsia="仿宋" w:cs="Times New Roman"/>
          <w:color w:val="auto"/>
          <w:sz w:val="24"/>
          <w:szCs w:val="24"/>
          <w:highlight w:val="none"/>
          <w:lang w:val="en-US" w:eastAsia="zh-CN" w:bidi="en-US"/>
        </w:rPr>
        <w:t>总收费=基本收费+效益收费。计算基础采用估算建安费。</w:t>
      </w:r>
    </w:p>
    <w:p w14:paraId="2640AACD">
      <w:pPr>
        <w:pStyle w:val="42"/>
        <w:keepNext w:val="0"/>
        <w:keepLines w:val="0"/>
        <w:pageBreakBefore w:val="0"/>
        <w:widowControl/>
        <w:kinsoku/>
        <w:wordWrap/>
        <w:overflowPunct/>
        <w:topLinePunct w:val="0"/>
        <w:autoSpaceDE/>
        <w:autoSpaceDN/>
        <w:bidi w:val="0"/>
        <w:adjustRightInd/>
        <w:snapToGrid/>
        <w:spacing w:after="0"/>
        <w:ind w:firstLine="482" w:firstLineChars="200"/>
        <w:textAlignment w:val="auto"/>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color w:val="auto"/>
          <w:sz w:val="24"/>
          <w:szCs w:val="24"/>
          <w:highlight w:val="none"/>
          <w:lang w:val="en-US" w:eastAsia="zh-CN" w:bidi="en-US"/>
        </w:rPr>
        <w:t>（5）工程检验监测费</w:t>
      </w:r>
    </w:p>
    <w:p w14:paraId="0170B78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eastAsia="仿宋" w:cs="Times New Roman"/>
          <w:color w:val="auto"/>
          <w:sz w:val="24"/>
          <w:szCs w:val="24"/>
          <w:highlight w:val="none"/>
          <w:lang w:val="en-US" w:eastAsia="zh-CN" w:bidi="en-US"/>
        </w:rPr>
      </w:pPr>
      <w:r>
        <w:rPr>
          <w:rFonts w:hint="default" w:ascii="Times New Roman" w:hAnsi="Times New Roman" w:eastAsia="仿宋" w:cs="Times New Roman"/>
          <w:color w:val="auto"/>
          <w:sz w:val="24"/>
          <w:szCs w:val="24"/>
          <w:highlight w:val="none"/>
          <w:lang w:val="en-US" w:eastAsia="zh-CN" w:bidi="en-US"/>
        </w:rPr>
        <w:t>根据粤水建管〔2017〕37号文，按工程的建安工程费的0.6%～1.0%计算”，本项目取估算建安费的0.6%。</w:t>
      </w:r>
    </w:p>
    <w:p w14:paraId="69CE48BE">
      <w:pPr>
        <w:keepNext w:val="0"/>
        <w:keepLines w:val="0"/>
        <w:pageBreakBefore w:val="0"/>
        <w:widowControl/>
        <w:kinsoku/>
        <w:wordWrap/>
        <w:overflowPunct/>
        <w:topLinePunct w:val="0"/>
        <w:autoSpaceDE/>
        <w:autoSpaceDN/>
        <w:bidi w:val="0"/>
        <w:adjustRightInd/>
        <w:snapToGrid/>
        <w:ind w:firstLine="482" w:firstLineChars="200"/>
        <w:textAlignment w:val="auto"/>
        <w:rPr>
          <w:rFonts w:hint="default" w:ascii="Times New Roman" w:hAnsi="Times New Roman" w:eastAsia="仿宋" w:cs="Times New Roman"/>
          <w:b/>
          <w:bCs/>
          <w:color w:val="auto"/>
          <w:sz w:val="24"/>
          <w:szCs w:val="24"/>
          <w:highlight w:val="none"/>
          <w:lang w:val="en-US" w:eastAsia="zh-CN" w:bidi="en-US"/>
        </w:rPr>
      </w:pPr>
      <w:r>
        <w:rPr>
          <w:rFonts w:hint="default" w:ascii="Times New Roman" w:hAnsi="Times New Roman" w:eastAsia="仿宋" w:cs="Times New Roman"/>
          <w:b/>
          <w:bCs/>
          <w:color w:val="auto"/>
          <w:sz w:val="24"/>
          <w:szCs w:val="24"/>
          <w:highlight w:val="none"/>
          <w:lang w:val="en-US" w:eastAsia="zh-CN" w:bidi="en-US"/>
        </w:rPr>
        <w:t>（6）工程保险费</w:t>
      </w:r>
    </w:p>
    <w:p w14:paraId="28638BF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bidi="en-US"/>
        </w:rPr>
        <w:t>根据粤水建管〔2017〕37号文，按工程的建安工程费的0.3%～0.6%计算”，本项目取估算建安费的0.45%。</w:t>
      </w:r>
    </w:p>
    <w:p w14:paraId="250F6CD3">
      <w:pPr>
        <w:keepNext w:val="0"/>
        <w:keepLines w:val="0"/>
        <w:pageBreakBefore w:val="0"/>
        <w:widowControl/>
        <w:kinsoku/>
        <w:wordWrap/>
        <w:overflowPunct/>
        <w:topLinePunct w:val="0"/>
        <w:autoSpaceDE/>
        <w:autoSpaceDN/>
        <w:bidi w:val="0"/>
        <w:adjustRightInd/>
        <w:snapToGrid/>
        <w:ind w:firstLine="482" w:firstLineChars="200"/>
        <w:textAlignment w:val="auto"/>
        <w:rPr>
          <w:rFonts w:hint="default" w:ascii="Times New Roman" w:hAnsi="Times New Roman" w:eastAsia="仿宋" w:cs="Times New Roman"/>
          <w:b/>
          <w:bCs/>
          <w:color w:val="auto"/>
          <w:sz w:val="24"/>
          <w:szCs w:val="24"/>
          <w:highlight w:val="none"/>
          <w:lang w:val="en-US" w:eastAsia="zh-CN" w:bidi="en-US"/>
        </w:rPr>
      </w:pPr>
      <w:r>
        <w:rPr>
          <w:rFonts w:hint="default" w:ascii="Times New Roman" w:hAnsi="Times New Roman" w:eastAsia="仿宋" w:cs="Times New Roman"/>
          <w:b/>
          <w:bCs/>
          <w:color w:val="auto"/>
          <w:sz w:val="24"/>
          <w:szCs w:val="24"/>
          <w:highlight w:val="none"/>
          <w:lang w:val="en-US" w:eastAsia="zh-CN" w:bidi="en-US"/>
        </w:rPr>
        <w:t>（7）项目建设管理费</w:t>
      </w:r>
    </w:p>
    <w:p w14:paraId="729042E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eastAsia="仿宋" w:cs="Times New Roman"/>
          <w:b w:val="0"/>
          <w:bCs w:val="0"/>
          <w:color w:val="auto"/>
          <w:sz w:val="24"/>
          <w:szCs w:val="24"/>
          <w:highlight w:val="none"/>
          <w:lang w:val="en-US" w:eastAsia="zh-CN" w:bidi="en-US"/>
        </w:rPr>
      </w:pPr>
      <w:r>
        <w:rPr>
          <w:rFonts w:hint="default" w:ascii="Times New Roman" w:hAnsi="Times New Roman" w:eastAsia="仿宋" w:cs="Times New Roman"/>
          <w:b w:val="0"/>
          <w:bCs w:val="0"/>
          <w:color w:val="auto"/>
          <w:sz w:val="24"/>
          <w:szCs w:val="24"/>
          <w:highlight w:val="none"/>
          <w:lang w:val="en-US" w:eastAsia="zh-CN" w:bidi="en-US"/>
        </w:rPr>
        <w:t>根据粤水建管〔2017〕37号文，按工程的建安工程费的2.7%～3.2%计算”，本项目取估算建安费的2.7%。</w:t>
      </w:r>
    </w:p>
    <w:p w14:paraId="02EF6A2E">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仿宋" w:cs="Times New Roman"/>
          <w:b/>
          <w:bCs/>
          <w:color w:val="auto"/>
          <w:sz w:val="24"/>
          <w:szCs w:val="24"/>
          <w:highlight w:val="none"/>
          <w:lang w:val="en-US" w:eastAsia="zh-CN" w:bidi="en-US"/>
        </w:rPr>
      </w:pPr>
      <w:r>
        <w:rPr>
          <w:rFonts w:hint="default" w:ascii="Times New Roman" w:hAnsi="Times New Roman" w:eastAsia="仿宋" w:cs="Times New Roman"/>
          <w:b/>
          <w:bCs/>
          <w:color w:val="auto"/>
          <w:sz w:val="24"/>
          <w:szCs w:val="24"/>
          <w:highlight w:val="none"/>
          <w:lang w:val="en-US" w:eastAsia="zh-CN" w:bidi="en-US"/>
        </w:rPr>
        <w:t>2、预备费</w:t>
      </w:r>
    </w:p>
    <w:p w14:paraId="2179FE0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4"/>
          <w:szCs w:val="24"/>
          <w:highlight w:val="none"/>
          <w:lang w:eastAsia="zh-CN"/>
        </w:rPr>
      </w:pPr>
      <w:r>
        <w:rPr>
          <w:rFonts w:hint="default" w:ascii="Times New Roman" w:hAnsi="Times New Roman" w:eastAsia="仿宋" w:cs="Times New Roman"/>
          <w:b w:val="0"/>
          <w:bCs w:val="0"/>
          <w:color w:val="auto"/>
          <w:sz w:val="24"/>
          <w:szCs w:val="24"/>
          <w:highlight w:val="none"/>
          <w:lang w:val="en-US" w:eastAsia="zh-CN" w:bidi="en-US"/>
        </w:rPr>
        <w:t>涨价预备费取0，基本预备费取工程费用与工程建设其它费之和的</w:t>
      </w:r>
      <w:r>
        <w:rPr>
          <w:rFonts w:hint="eastAsia" w:ascii="Times New Roman" w:hAnsi="Times New Roman" w:eastAsia="仿宋" w:cs="Times New Roman"/>
          <w:b w:val="0"/>
          <w:bCs w:val="0"/>
          <w:color w:val="auto"/>
          <w:sz w:val="24"/>
          <w:szCs w:val="24"/>
          <w:highlight w:val="none"/>
          <w:lang w:val="en-US" w:eastAsia="zh-CN" w:bidi="en-US"/>
        </w:rPr>
        <w:t>5</w:t>
      </w:r>
      <w:r>
        <w:rPr>
          <w:rFonts w:hint="default" w:ascii="Times New Roman" w:hAnsi="Times New Roman" w:eastAsia="仿宋" w:cs="Times New Roman"/>
          <w:b w:val="0"/>
          <w:bCs w:val="0"/>
          <w:color w:val="auto"/>
          <w:sz w:val="24"/>
          <w:szCs w:val="24"/>
          <w:highlight w:val="none"/>
          <w:lang w:val="en-US" w:eastAsia="zh-CN" w:bidi="en-US"/>
        </w:rPr>
        <w:t>%。</w:t>
      </w:r>
    </w:p>
    <w:p w14:paraId="2942ABC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表</w:t>
      </w:r>
      <w:r>
        <w:rPr>
          <w:rFonts w:hint="eastAsia" w:ascii="Times New Roman" w:hAnsi="Times New Roman" w:eastAsia="仿宋" w:cs="Times New Roman"/>
          <w:b/>
          <w:bCs/>
          <w:color w:val="auto"/>
          <w:sz w:val="24"/>
          <w:szCs w:val="24"/>
          <w:highlight w:val="none"/>
          <w:lang w:val="en-US" w:eastAsia="zh-CN"/>
        </w:rPr>
        <w:t>3.9-3</w:t>
      </w:r>
      <w:r>
        <w:rPr>
          <w:rFonts w:hint="default" w:ascii="Times New Roman" w:hAnsi="Times New Roman" w:eastAsia="仿宋" w:cs="Times New Roman"/>
          <w:b/>
          <w:bCs/>
          <w:color w:val="auto"/>
          <w:sz w:val="24"/>
          <w:szCs w:val="24"/>
          <w:highlight w:val="none"/>
          <w:lang w:val="en-US" w:eastAsia="zh-CN"/>
        </w:rPr>
        <w:t>其他费计算表单位：元</w:t>
      </w:r>
    </w:p>
    <w:tbl>
      <w:tblPr>
        <w:tblStyle w:val="20"/>
        <w:tblW w:w="0" w:type="auto"/>
        <w:tblInd w:w="-499"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285"/>
        <w:gridCol w:w="4329"/>
        <w:gridCol w:w="1634"/>
        <w:gridCol w:w="1733"/>
      </w:tblGrid>
      <w:tr w14:paraId="3C8DAA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3F697F8C">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序号</w:t>
            </w:r>
          </w:p>
        </w:tc>
        <w:tc>
          <w:tcPr>
            <w:tcW w:w="1285" w:type="dxa"/>
            <w:noWrap/>
            <w:vAlign w:val="center"/>
          </w:tcPr>
          <w:p w14:paraId="4B1F8269">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各称</w:t>
            </w:r>
          </w:p>
        </w:tc>
        <w:tc>
          <w:tcPr>
            <w:tcW w:w="4329" w:type="dxa"/>
            <w:noWrap w:val="0"/>
            <w:vAlign w:val="center"/>
          </w:tcPr>
          <w:p w14:paraId="1FED6650">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计算方法</w:t>
            </w:r>
          </w:p>
        </w:tc>
        <w:tc>
          <w:tcPr>
            <w:tcW w:w="1634" w:type="dxa"/>
            <w:noWrap/>
            <w:vAlign w:val="center"/>
          </w:tcPr>
          <w:p w14:paraId="7DD5B5FA">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费用</w:t>
            </w:r>
          </w:p>
        </w:tc>
        <w:tc>
          <w:tcPr>
            <w:tcW w:w="1733" w:type="dxa"/>
            <w:noWrap/>
            <w:vAlign w:val="center"/>
          </w:tcPr>
          <w:p w14:paraId="467A1726">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备注</w:t>
            </w:r>
          </w:p>
        </w:tc>
      </w:tr>
      <w:tr w14:paraId="2F7340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03D4B299">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一</w:t>
            </w:r>
          </w:p>
        </w:tc>
        <w:tc>
          <w:tcPr>
            <w:tcW w:w="8981" w:type="dxa"/>
            <w:gridSpan w:val="4"/>
            <w:noWrap/>
            <w:vAlign w:val="center"/>
          </w:tcPr>
          <w:p w14:paraId="18F7FB34">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bidi="ar"/>
              </w:rPr>
            </w:pPr>
            <w:r>
              <w:rPr>
                <w:rFonts w:hint="default" w:ascii="Times New Roman" w:hAnsi="Times New Roman" w:eastAsia="仿宋" w:cs="Times New Roman"/>
                <w:b/>
                <w:bCs/>
                <w:color w:val="auto"/>
                <w:kern w:val="0"/>
                <w:sz w:val="18"/>
                <w:szCs w:val="18"/>
                <w:highlight w:val="none"/>
                <w:lang w:bidi="ar"/>
              </w:rPr>
              <w:t>独立费用</w:t>
            </w:r>
          </w:p>
        </w:tc>
      </w:tr>
      <w:tr w14:paraId="7DE8BC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578" w:type="dxa"/>
            <w:noWrap/>
            <w:vAlign w:val="center"/>
          </w:tcPr>
          <w:p w14:paraId="54421D77">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1</w:t>
            </w:r>
          </w:p>
        </w:tc>
        <w:tc>
          <w:tcPr>
            <w:tcW w:w="1285" w:type="dxa"/>
            <w:noWrap w:val="0"/>
            <w:vAlign w:val="center"/>
          </w:tcPr>
          <w:p w14:paraId="7AD7F306">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建设单位管理费</w:t>
            </w:r>
          </w:p>
        </w:tc>
        <w:tc>
          <w:tcPr>
            <w:tcW w:w="4329" w:type="dxa"/>
            <w:noWrap w:val="0"/>
            <w:vAlign w:val="center"/>
          </w:tcPr>
          <w:p w14:paraId="5DDE3116">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估算建安费×2.7%×0.6</w:t>
            </w:r>
          </w:p>
        </w:tc>
        <w:tc>
          <w:tcPr>
            <w:tcW w:w="1634" w:type="dxa"/>
            <w:noWrap w:val="0"/>
            <w:vAlign w:val="center"/>
          </w:tcPr>
          <w:p w14:paraId="248A643E">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8,126.33 </w:t>
            </w:r>
          </w:p>
        </w:tc>
        <w:tc>
          <w:tcPr>
            <w:tcW w:w="1733" w:type="dxa"/>
            <w:noWrap w:val="0"/>
            <w:vAlign w:val="center"/>
          </w:tcPr>
          <w:p w14:paraId="666AF63C">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粤水建管〔2017〕37号</w:t>
            </w:r>
          </w:p>
        </w:tc>
      </w:tr>
      <w:tr w14:paraId="05E3DB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426AA674">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w:t>
            </w:r>
          </w:p>
        </w:tc>
        <w:tc>
          <w:tcPr>
            <w:tcW w:w="1285" w:type="dxa"/>
            <w:noWrap w:val="0"/>
            <w:vAlign w:val="center"/>
          </w:tcPr>
          <w:p w14:paraId="5E550BF1">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eastAsia" w:eastAsia="仿宋" w:cs="Times New Roman"/>
                <w:color w:val="auto"/>
                <w:kern w:val="0"/>
                <w:sz w:val="18"/>
                <w:szCs w:val="18"/>
                <w:highlight w:val="none"/>
                <w:lang w:val="en-US" w:eastAsia="zh-CN" w:bidi="ar"/>
              </w:rPr>
              <w:t>勘测</w:t>
            </w:r>
            <w:r>
              <w:rPr>
                <w:rFonts w:hint="default" w:ascii="Times New Roman" w:hAnsi="Times New Roman" w:eastAsia="仿宋" w:cs="Times New Roman"/>
                <w:color w:val="auto"/>
                <w:kern w:val="0"/>
                <w:sz w:val="18"/>
                <w:szCs w:val="18"/>
                <w:highlight w:val="none"/>
                <w:lang w:val="en-US" w:eastAsia="zh-CN" w:bidi="ar"/>
              </w:rPr>
              <w:t>设计费</w:t>
            </w:r>
          </w:p>
        </w:tc>
        <w:tc>
          <w:tcPr>
            <w:tcW w:w="4329" w:type="dxa"/>
            <w:noWrap w:val="0"/>
            <w:vAlign w:val="center"/>
          </w:tcPr>
          <w:p w14:paraId="4CACF58F">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2.1+2.2</w:t>
            </w:r>
          </w:p>
        </w:tc>
        <w:tc>
          <w:tcPr>
            <w:tcW w:w="1634" w:type="dxa"/>
            <w:noWrap w:val="0"/>
            <w:vAlign w:val="center"/>
          </w:tcPr>
          <w:p w14:paraId="4C17DC9B">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28,630.26 </w:t>
            </w:r>
          </w:p>
        </w:tc>
        <w:tc>
          <w:tcPr>
            <w:tcW w:w="1733" w:type="dxa"/>
            <w:noWrap w:val="0"/>
            <w:vAlign w:val="center"/>
          </w:tcPr>
          <w:p w14:paraId="3F22851D">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p>
        </w:tc>
      </w:tr>
      <w:tr w14:paraId="13C8E5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628DB6EE">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2.1</w:t>
            </w:r>
          </w:p>
        </w:tc>
        <w:tc>
          <w:tcPr>
            <w:tcW w:w="1285" w:type="dxa"/>
            <w:noWrap w:val="0"/>
            <w:vAlign w:val="center"/>
          </w:tcPr>
          <w:p w14:paraId="1E9263E7">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工程勘测费</w:t>
            </w:r>
          </w:p>
        </w:tc>
        <w:tc>
          <w:tcPr>
            <w:tcW w:w="4329" w:type="dxa"/>
            <w:noWrap w:val="0"/>
            <w:vAlign w:val="center"/>
          </w:tcPr>
          <w:p w14:paraId="10CBD8F2">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估算建安费×1.5%</w:t>
            </w:r>
          </w:p>
        </w:tc>
        <w:tc>
          <w:tcPr>
            <w:tcW w:w="1634" w:type="dxa"/>
            <w:noWrap w:val="0"/>
            <w:vAlign w:val="center"/>
          </w:tcPr>
          <w:p w14:paraId="34E7C2B6">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7,524.38 </w:t>
            </w:r>
          </w:p>
        </w:tc>
        <w:tc>
          <w:tcPr>
            <w:tcW w:w="1733" w:type="dxa"/>
            <w:noWrap w:val="0"/>
            <w:vAlign w:val="center"/>
          </w:tcPr>
          <w:p w14:paraId="13B52346">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粤财农〔2012〕490号</w:t>
            </w:r>
          </w:p>
        </w:tc>
      </w:tr>
      <w:tr w14:paraId="0B8D41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27900D0B">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2.2</w:t>
            </w:r>
          </w:p>
        </w:tc>
        <w:tc>
          <w:tcPr>
            <w:tcW w:w="1285" w:type="dxa"/>
            <w:noWrap w:val="0"/>
            <w:vAlign w:val="center"/>
          </w:tcPr>
          <w:p w14:paraId="379117B7">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工程设计费</w:t>
            </w:r>
          </w:p>
        </w:tc>
        <w:tc>
          <w:tcPr>
            <w:tcW w:w="4329" w:type="dxa"/>
            <w:noWrap w:val="0"/>
            <w:vAlign w:val="center"/>
          </w:tcPr>
          <w:p w14:paraId="32DA125D">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2.2.1+2.2.2</w:t>
            </w:r>
          </w:p>
        </w:tc>
        <w:tc>
          <w:tcPr>
            <w:tcW w:w="1634" w:type="dxa"/>
            <w:noWrap w:val="0"/>
            <w:vAlign w:val="center"/>
          </w:tcPr>
          <w:p w14:paraId="6DC5E418">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21,105.88 </w:t>
            </w:r>
          </w:p>
        </w:tc>
        <w:tc>
          <w:tcPr>
            <w:tcW w:w="1733" w:type="dxa"/>
            <w:noWrap w:val="0"/>
            <w:vAlign w:val="center"/>
          </w:tcPr>
          <w:p w14:paraId="29F51D26">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p>
        </w:tc>
      </w:tr>
      <w:tr w14:paraId="61AD22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578" w:type="dxa"/>
            <w:noWrap/>
            <w:vAlign w:val="center"/>
          </w:tcPr>
          <w:p w14:paraId="679E2D5F">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2.2.1</w:t>
            </w:r>
          </w:p>
        </w:tc>
        <w:tc>
          <w:tcPr>
            <w:tcW w:w="1285" w:type="dxa"/>
            <w:noWrap w:val="0"/>
            <w:vAlign w:val="center"/>
          </w:tcPr>
          <w:p w14:paraId="22405AF0">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基本设计费</w:t>
            </w:r>
          </w:p>
        </w:tc>
        <w:tc>
          <w:tcPr>
            <w:tcW w:w="4329" w:type="dxa"/>
            <w:noWrap w:val="0"/>
            <w:vAlign w:val="center"/>
          </w:tcPr>
          <w:p w14:paraId="14408E18">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估算建安费×4.5%×1.0（专业调整系数）×0.85（复杂程度调整系数）</w:t>
            </w:r>
          </w:p>
        </w:tc>
        <w:tc>
          <w:tcPr>
            <w:tcW w:w="1634" w:type="dxa"/>
            <w:noWrap w:val="0"/>
            <w:vAlign w:val="center"/>
          </w:tcPr>
          <w:p w14:paraId="1C72FA4A">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19,187.16 </w:t>
            </w:r>
          </w:p>
        </w:tc>
        <w:tc>
          <w:tcPr>
            <w:tcW w:w="1733" w:type="dxa"/>
            <w:noWrap w:val="0"/>
            <w:vAlign w:val="center"/>
          </w:tcPr>
          <w:p w14:paraId="3870E936">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计价格〔2002〕10号</w:t>
            </w:r>
          </w:p>
        </w:tc>
      </w:tr>
      <w:tr w14:paraId="22D3C2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513F5339">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2.2.2</w:t>
            </w:r>
          </w:p>
        </w:tc>
        <w:tc>
          <w:tcPr>
            <w:tcW w:w="1285" w:type="dxa"/>
            <w:noWrap w:val="0"/>
            <w:vAlign w:val="center"/>
          </w:tcPr>
          <w:p w14:paraId="161A522B">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预算编制费</w:t>
            </w:r>
          </w:p>
        </w:tc>
        <w:tc>
          <w:tcPr>
            <w:tcW w:w="4329" w:type="dxa"/>
            <w:noWrap w:val="0"/>
            <w:vAlign w:val="center"/>
          </w:tcPr>
          <w:p w14:paraId="4D3D0385">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基本设计费×10%</w:t>
            </w:r>
          </w:p>
        </w:tc>
        <w:tc>
          <w:tcPr>
            <w:tcW w:w="1634" w:type="dxa"/>
            <w:noWrap w:val="0"/>
            <w:vAlign w:val="center"/>
          </w:tcPr>
          <w:p w14:paraId="09352A45">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1,918.72 </w:t>
            </w:r>
          </w:p>
        </w:tc>
        <w:tc>
          <w:tcPr>
            <w:tcW w:w="1733" w:type="dxa"/>
            <w:noWrap w:val="0"/>
            <w:vAlign w:val="center"/>
          </w:tcPr>
          <w:p w14:paraId="20C99D8B">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计价格〔2002〕10号</w:t>
            </w:r>
          </w:p>
        </w:tc>
      </w:tr>
      <w:tr w14:paraId="7BB402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2E7EAD07">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3</w:t>
            </w:r>
          </w:p>
        </w:tc>
        <w:tc>
          <w:tcPr>
            <w:tcW w:w="1285" w:type="dxa"/>
            <w:noWrap w:val="0"/>
            <w:vAlign w:val="center"/>
          </w:tcPr>
          <w:p w14:paraId="4986BFD2">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工程监理费</w:t>
            </w:r>
          </w:p>
        </w:tc>
        <w:tc>
          <w:tcPr>
            <w:tcW w:w="4329" w:type="dxa"/>
            <w:noWrap w:val="0"/>
            <w:vAlign w:val="center"/>
          </w:tcPr>
          <w:p w14:paraId="09707898">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估算建安费×3.3%×1.0（专业调整系数）×0.85（工程复杂程度系数）×1（高程系数）</w:t>
            </w:r>
          </w:p>
        </w:tc>
        <w:tc>
          <w:tcPr>
            <w:tcW w:w="1634" w:type="dxa"/>
            <w:noWrap w:val="0"/>
            <w:vAlign w:val="center"/>
          </w:tcPr>
          <w:p w14:paraId="5AA87C6B">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14,070.58 </w:t>
            </w:r>
          </w:p>
        </w:tc>
        <w:tc>
          <w:tcPr>
            <w:tcW w:w="1733" w:type="dxa"/>
            <w:noWrap w:val="0"/>
            <w:vAlign w:val="center"/>
          </w:tcPr>
          <w:p w14:paraId="63C39CA0">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bidi="ar"/>
              </w:rPr>
            </w:pPr>
            <w:r>
              <w:rPr>
                <w:rFonts w:hint="default" w:ascii="Times New Roman" w:hAnsi="Times New Roman" w:eastAsia="仿宋" w:cs="Times New Roman"/>
                <w:color w:val="auto"/>
                <w:kern w:val="0"/>
                <w:sz w:val="18"/>
                <w:szCs w:val="18"/>
                <w:highlight w:val="none"/>
                <w:lang w:val="en-US" w:eastAsia="zh-CN" w:bidi="ar"/>
              </w:rPr>
              <w:t>发改价格〔2007〕670号</w:t>
            </w:r>
          </w:p>
        </w:tc>
      </w:tr>
      <w:tr w14:paraId="446451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3805C97D">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4</w:t>
            </w:r>
          </w:p>
        </w:tc>
        <w:tc>
          <w:tcPr>
            <w:tcW w:w="1285" w:type="dxa"/>
            <w:noWrap w:val="0"/>
            <w:vAlign w:val="center"/>
          </w:tcPr>
          <w:p w14:paraId="326A84AD">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工程保险费</w:t>
            </w:r>
          </w:p>
        </w:tc>
        <w:tc>
          <w:tcPr>
            <w:tcW w:w="4329" w:type="dxa"/>
            <w:noWrap w:val="0"/>
            <w:vAlign w:val="center"/>
          </w:tcPr>
          <w:p w14:paraId="255C6EFA">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估算建安费×0.45%</w:t>
            </w:r>
          </w:p>
        </w:tc>
        <w:tc>
          <w:tcPr>
            <w:tcW w:w="1634" w:type="dxa"/>
            <w:noWrap w:val="0"/>
            <w:vAlign w:val="center"/>
          </w:tcPr>
          <w:p w14:paraId="49B9ECA2">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2,257.31 </w:t>
            </w:r>
          </w:p>
        </w:tc>
        <w:tc>
          <w:tcPr>
            <w:tcW w:w="1733" w:type="dxa"/>
            <w:noWrap w:val="0"/>
            <w:vAlign w:val="center"/>
          </w:tcPr>
          <w:p w14:paraId="7CACAD37">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粤水建管〔2017〕37号</w:t>
            </w:r>
          </w:p>
        </w:tc>
      </w:tr>
      <w:tr w14:paraId="52934F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43D54BEC">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5</w:t>
            </w:r>
          </w:p>
        </w:tc>
        <w:tc>
          <w:tcPr>
            <w:tcW w:w="1285" w:type="dxa"/>
            <w:noWrap w:val="0"/>
            <w:vAlign w:val="center"/>
          </w:tcPr>
          <w:p w14:paraId="2C154526">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全过程造价咨询费</w:t>
            </w:r>
          </w:p>
        </w:tc>
        <w:tc>
          <w:tcPr>
            <w:tcW w:w="4329" w:type="dxa"/>
            <w:noWrap w:val="0"/>
            <w:vAlign w:val="center"/>
          </w:tcPr>
          <w:p w14:paraId="0557C6FF">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5.1+5.2</w:t>
            </w:r>
          </w:p>
        </w:tc>
        <w:tc>
          <w:tcPr>
            <w:tcW w:w="1634" w:type="dxa"/>
            <w:noWrap w:val="0"/>
            <w:vAlign w:val="center"/>
          </w:tcPr>
          <w:p w14:paraId="1E319BFB">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4,815.61 </w:t>
            </w:r>
          </w:p>
        </w:tc>
        <w:tc>
          <w:tcPr>
            <w:tcW w:w="1733" w:type="dxa"/>
            <w:noWrap w:val="0"/>
            <w:vAlign w:val="center"/>
          </w:tcPr>
          <w:p w14:paraId="7E18FDA7">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粤价函【2011】742号</w:t>
            </w:r>
          </w:p>
        </w:tc>
      </w:tr>
      <w:tr w14:paraId="71FA5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noWrap/>
            <w:vAlign w:val="center"/>
          </w:tcPr>
          <w:p w14:paraId="6AD2DD63">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5.1</w:t>
            </w:r>
          </w:p>
        </w:tc>
        <w:tc>
          <w:tcPr>
            <w:tcW w:w="1285" w:type="dxa"/>
            <w:noWrap w:val="0"/>
            <w:vAlign w:val="center"/>
          </w:tcPr>
          <w:p w14:paraId="712826FB">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工程预算审核费</w:t>
            </w:r>
          </w:p>
        </w:tc>
        <w:tc>
          <w:tcPr>
            <w:tcW w:w="4329" w:type="dxa"/>
            <w:noWrap w:val="0"/>
            <w:vAlign w:val="center"/>
          </w:tcPr>
          <w:p w14:paraId="45D9682B">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估算建安费×0.18%</w:t>
            </w:r>
          </w:p>
        </w:tc>
        <w:tc>
          <w:tcPr>
            <w:tcW w:w="1634" w:type="dxa"/>
            <w:noWrap w:val="0"/>
            <w:vAlign w:val="center"/>
          </w:tcPr>
          <w:p w14:paraId="536CFE33">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902.93 </w:t>
            </w:r>
          </w:p>
        </w:tc>
        <w:tc>
          <w:tcPr>
            <w:tcW w:w="1733" w:type="dxa"/>
            <w:noWrap w:val="0"/>
            <w:vAlign w:val="center"/>
          </w:tcPr>
          <w:p w14:paraId="4717C645">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仿宋" w:cs="Times New Roman"/>
                <w:color w:val="auto"/>
                <w:kern w:val="0"/>
                <w:sz w:val="18"/>
                <w:szCs w:val="18"/>
                <w:highlight w:val="none"/>
                <w:lang w:val="en-US" w:eastAsia="zh-CN" w:bidi="ar"/>
              </w:rPr>
              <w:t>粤价函【2011】742号</w:t>
            </w:r>
          </w:p>
        </w:tc>
      </w:tr>
      <w:tr w14:paraId="0416B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shd w:val="clear" w:color="auto" w:fill="auto"/>
            <w:noWrap/>
            <w:vAlign w:val="center"/>
          </w:tcPr>
          <w:p w14:paraId="6AA2AA60">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5.2</w:t>
            </w:r>
          </w:p>
        </w:tc>
        <w:tc>
          <w:tcPr>
            <w:tcW w:w="1285" w:type="dxa"/>
            <w:shd w:val="clear" w:color="auto" w:fill="auto"/>
            <w:noWrap w:val="0"/>
            <w:vAlign w:val="center"/>
          </w:tcPr>
          <w:p w14:paraId="5D0BB802">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工程结算审核费</w:t>
            </w:r>
          </w:p>
        </w:tc>
        <w:tc>
          <w:tcPr>
            <w:tcW w:w="4329" w:type="dxa"/>
            <w:shd w:val="clear" w:color="auto" w:fill="auto"/>
            <w:noWrap w:val="0"/>
            <w:vAlign w:val="center"/>
          </w:tcPr>
          <w:p w14:paraId="38CA352E">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估算建安费×（0.28%（基本收费费率）+0.5%（效益收费费率））</w:t>
            </w:r>
          </w:p>
        </w:tc>
        <w:tc>
          <w:tcPr>
            <w:tcW w:w="1634" w:type="dxa"/>
            <w:shd w:val="clear" w:color="auto" w:fill="auto"/>
            <w:noWrap w:val="0"/>
            <w:vAlign w:val="center"/>
          </w:tcPr>
          <w:p w14:paraId="09F1F389">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3,912.68 </w:t>
            </w:r>
          </w:p>
        </w:tc>
        <w:tc>
          <w:tcPr>
            <w:tcW w:w="1733" w:type="dxa"/>
            <w:shd w:val="clear" w:color="auto" w:fill="auto"/>
            <w:noWrap w:val="0"/>
            <w:vAlign w:val="center"/>
          </w:tcPr>
          <w:p w14:paraId="606A79A2">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粤价函【2011】742号</w:t>
            </w:r>
          </w:p>
        </w:tc>
      </w:tr>
      <w:tr w14:paraId="3EA7D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shd w:val="clear" w:color="auto" w:fill="auto"/>
            <w:noWrap/>
            <w:vAlign w:val="center"/>
          </w:tcPr>
          <w:p w14:paraId="720DF74F">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6</w:t>
            </w:r>
          </w:p>
        </w:tc>
        <w:tc>
          <w:tcPr>
            <w:tcW w:w="1285" w:type="dxa"/>
            <w:shd w:val="clear" w:color="auto" w:fill="auto"/>
            <w:noWrap w:val="0"/>
            <w:vAlign w:val="center"/>
          </w:tcPr>
          <w:p w14:paraId="331787FA">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工程检验监测费</w:t>
            </w:r>
          </w:p>
        </w:tc>
        <w:tc>
          <w:tcPr>
            <w:tcW w:w="4329" w:type="dxa"/>
            <w:shd w:val="clear" w:color="auto" w:fill="auto"/>
            <w:noWrap w:val="0"/>
            <w:vAlign w:val="center"/>
          </w:tcPr>
          <w:p w14:paraId="7F119B2B">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估算建安费×0.6%</w:t>
            </w:r>
          </w:p>
        </w:tc>
        <w:tc>
          <w:tcPr>
            <w:tcW w:w="1634" w:type="dxa"/>
            <w:shd w:val="clear" w:color="auto" w:fill="auto"/>
            <w:noWrap w:val="0"/>
            <w:vAlign w:val="center"/>
          </w:tcPr>
          <w:p w14:paraId="2167F6C0">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3,009.75 </w:t>
            </w:r>
          </w:p>
        </w:tc>
        <w:tc>
          <w:tcPr>
            <w:tcW w:w="1733" w:type="dxa"/>
            <w:shd w:val="clear" w:color="auto" w:fill="auto"/>
            <w:noWrap w:val="0"/>
            <w:vAlign w:val="center"/>
          </w:tcPr>
          <w:p w14:paraId="387EF148">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粤水建管〔2017〕37号</w:t>
            </w:r>
          </w:p>
        </w:tc>
      </w:tr>
      <w:tr w14:paraId="0B1857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863" w:type="dxa"/>
            <w:gridSpan w:val="2"/>
            <w:shd w:val="clear" w:color="auto" w:fill="auto"/>
            <w:noWrap/>
            <w:vAlign w:val="center"/>
          </w:tcPr>
          <w:p w14:paraId="35B13DF0">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val="en-US" w:eastAsia="zh-CN" w:bidi="ar"/>
              </w:rPr>
            </w:pPr>
            <w:r>
              <w:rPr>
                <w:rFonts w:hint="eastAsia" w:ascii="Times New Roman" w:hAnsi="Times New Roman" w:eastAsia="仿宋" w:cs="Times New Roman"/>
                <w:b/>
                <w:bCs/>
                <w:color w:val="auto"/>
                <w:kern w:val="0"/>
                <w:sz w:val="18"/>
                <w:szCs w:val="18"/>
                <w:highlight w:val="none"/>
                <w:lang w:val="en-US" w:eastAsia="zh-CN" w:bidi="ar"/>
              </w:rPr>
              <w:t>第二部分费用合计</w:t>
            </w:r>
          </w:p>
        </w:tc>
        <w:tc>
          <w:tcPr>
            <w:tcW w:w="4329" w:type="dxa"/>
            <w:shd w:val="clear" w:color="auto" w:fill="auto"/>
            <w:noWrap w:val="0"/>
            <w:vAlign w:val="center"/>
          </w:tcPr>
          <w:p w14:paraId="6F9E9F08">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val="en-US" w:eastAsia="zh-CN" w:bidi="ar"/>
              </w:rPr>
            </w:pPr>
            <w:r>
              <w:rPr>
                <w:rFonts w:hint="eastAsia" w:ascii="Times New Roman" w:hAnsi="Times New Roman" w:eastAsia="仿宋" w:cs="Times New Roman"/>
                <w:b/>
                <w:bCs/>
                <w:color w:val="auto"/>
                <w:kern w:val="0"/>
                <w:sz w:val="18"/>
                <w:szCs w:val="18"/>
                <w:highlight w:val="none"/>
                <w:lang w:val="en-US" w:eastAsia="zh-CN" w:bidi="ar"/>
              </w:rPr>
              <w:t>1+2+…+6</w:t>
            </w:r>
          </w:p>
        </w:tc>
        <w:tc>
          <w:tcPr>
            <w:tcW w:w="1634" w:type="dxa"/>
            <w:shd w:val="clear" w:color="auto" w:fill="auto"/>
            <w:noWrap w:val="0"/>
            <w:vAlign w:val="center"/>
          </w:tcPr>
          <w:p w14:paraId="5CB8C1FA">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 xml:space="preserve">60,909.84 </w:t>
            </w:r>
          </w:p>
        </w:tc>
        <w:tc>
          <w:tcPr>
            <w:tcW w:w="1733" w:type="dxa"/>
            <w:noWrap w:val="0"/>
            <w:vAlign w:val="center"/>
          </w:tcPr>
          <w:p w14:paraId="78887E84">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p>
        </w:tc>
      </w:tr>
      <w:tr w14:paraId="5A47D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shd w:val="clear" w:color="auto" w:fill="auto"/>
            <w:noWrap/>
            <w:vAlign w:val="center"/>
          </w:tcPr>
          <w:p w14:paraId="7F28ADAE">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val="en-US" w:eastAsia="zh-CN" w:bidi="ar"/>
              </w:rPr>
            </w:pPr>
            <w:r>
              <w:rPr>
                <w:rFonts w:hint="eastAsia" w:ascii="Times New Roman" w:hAnsi="Times New Roman" w:eastAsia="仿宋" w:cs="Times New Roman"/>
                <w:b/>
                <w:bCs/>
                <w:color w:val="auto"/>
                <w:kern w:val="0"/>
                <w:sz w:val="18"/>
                <w:szCs w:val="18"/>
                <w:highlight w:val="none"/>
                <w:lang w:val="en-US" w:eastAsia="zh-CN" w:bidi="ar"/>
              </w:rPr>
              <w:t>三</w:t>
            </w:r>
          </w:p>
        </w:tc>
        <w:tc>
          <w:tcPr>
            <w:tcW w:w="8981" w:type="dxa"/>
            <w:gridSpan w:val="4"/>
            <w:shd w:val="clear" w:color="auto" w:fill="auto"/>
            <w:noWrap w:val="0"/>
            <w:vAlign w:val="center"/>
          </w:tcPr>
          <w:p w14:paraId="5154A150">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val="en-US" w:eastAsia="zh-CN" w:bidi="ar"/>
              </w:rPr>
            </w:pPr>
            <w:r>
              <w:rPr>
                <w:rFonts w:hint="default" w:ascii="Times New Roman" w:hAnsi="Times New Roman" w:eastAsia="仿宋" w:cs="Times New Roman"/>
                <w:b/>
                <w:bCs/>
                <w:color w:val="auto"/>
                <w:kern w:val="0"/>
                <w:sz w:val="18"/>
                <w:szCs w:val="18"/>
                <w:highlight w:val="none"/>
                <w:lang w:val="en-US" w:eastAsia="zh-CN" w:bidi="ar"/>
              </w:rPr>
              <w:t>预备费</w:t>
            </w:r>
          </w:p>
        </w:tc>
      </w:tr>
      <w:tr w14:paraId="487063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78" w:type="dxa"/>
            <w:shd w:val="clear" w:color="auto" w:fill="auto"/>
            <w:noWrap/>
            <w:vAlign w:val="center"/>
          </w:tcPr>
          <w:p w14:paraId="4D1EB414">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1</w:t>
            </w:r>
          </w:p>
        </w:tc>
        <w:tc>
          <w:tcPr>
            <w:tcW w:w="1285" w:type="dxa"/>
            <w:shd w:val="clear" w:color="auto" w:fill="auto"/>
            <w:noWrap w:val="0"/>
            <w:vAlign w:val="center"/>
          </w:tcPr>
          <w:p w14:paraId="6FA7D2CC">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基本预备费</w:t>
            </w:r>
          </w:p>
        </w:tc>
        <w:tc>
          <w:tcPr>
            <w:tcW w:w="4329" w:type="dxa"/>
            <w:shd w:val="clear" w:color="auto" w:fill="auto"/>
            <w:noWrap w:val="0"/>
            <w:vAlign w:val="center"/>
          </w:tcPr>
          <w:p w14:paraId="33CFF58A">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eastAsia" w:ascii="Times New Roman" w:hAnsi="Times New Roman" w:eastAsia="仿宋" w:cs="Times New Roman"/>
                <w:color w:val="auto"/>
                <w:kern w:val="0"/>
                <w:sz w:val="18"/>
                <w:szCs w:val="18"/>
                <w:highlight w:val="none"/>
                <w:lang w:val="en-US" w:eastAsia="zh-CN" w:bidi="ar"/>
              </w:rPr>
              <w:t>（估算建安费+独立费用）×5%</w:t>
            </w:r>
          </w:p>
        </w:tc>
        <w:tc>
          <w:tcPr>
            <w:tcW w:w="1634" w:type="dxa"/>
            <w:shd w:val="clear" w:color="auto" w:fill="auto"/>
            <w:noWrap w:val="0"/>
            <w:vAlign w:val="center"/>
          </w:tcPr>
          <w:p w14:paraId="6906E7BA">
            <w:pPr>
              <w:keepNext w:val="0"/>
              <w:keepLines w:val="0"/>
              <w:widowControl/>
              <w:suppressLineNumbers w:val="0"/>
              <w:jc w:val="center"/>
              <w:textAlignment w:val="center"/>
              <w:rPr>
                <w:rFonts w:hint="default" w:ascii="Times New Roman" w:hAnsi="Times New Roman" w:eastAsia="仿宋" w:cs="Times New Roman"/>
                <w:color w:val="auto"/>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28,126.74 </w:t>
            </w:r>
          </w:p>
        </w:tc>
        <w:tc>
          <w:tcPr>
            <w:tcW w:w="1733" w:type="dxa"/>
            <w:shd w:val="clear" w:color="auto" w:fill="auto"/>
            <w:noWrap w:val="0"/>
            <w:vAlign w:val="center"/>
          </w:tcPr>
          <w:p w14:paraId="1EB133DE">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p>
        </w:tc>
      </w:tr>
      <w:tr w14:paraId="25F14F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6192" w:type="dxa"/>
            <w:gridSpan w:val="3"/>
            <w:shd w:val="clear" w:color="auto" w:fill="auto"/>
            <w:noWrap/>
            <w:vAlign w:val="center"/>
          </w:tcPr>
          <w:p w14:paraId="3A3F24AE">
            <w:pPr>
              <w:widowControl/>
              <w:spacing w:line="240" w:lineRule="auto"/>
              <w:ind w:firstLine="0" w:firstLineChars="0"/>
              <w:jc w:val="center"/>
              <w:textAlignment w:val="center"/>
              <w:rPr>
                <w:rFonts w:hint="default" w:ascii="Times New Roman" w:hAnsi="Times New Roman" w:eastAsia="仿宋" w:cs="Times New Roman"/>
                <w:b/>
                <w:bCs/>
                <w:color w:val="auto"/>
                <w:kern w:val="0"/>
                <w:sz w:val="18"/>
                <w:szCs w:val="18"/>
                <w:highlight w:val="none"/>
                <w:lang w:val="en-US" w:eastAsia="zh-CN" w:bidi="ar"/>
              </w:rPr>
            </w:pPr>
            <w:r>
              <w:rPr>
                <w:rFonts w:hint="default" w:ascii="Times New Roman" w:hAnsi="Times New Roman" w:eastAsia="仿宋" w:cs="Times New Roman"/>
                <w:b/>
                <w:bCs/>
                <w:color w:val="auto"/>
                <w:kern w:val="0"/>
                <w:sz w:val="18"/>
                <w:szCs w:val="18"/>
                <w:highlight w:val="none"/>
                <w:lang w:val="en-US" w:eastAsia="zh-CN" w:bidi="ar"/>
              </w:rPr>
              <w:t>其他费</w:t>
            </w:r>
            <w:r>
              <w:rPr>
                <w:rFonts w:hint="eastAsia" w:ascii="Times New Roman" w:hAnsi="Times New Roman" w:eastAsia="仿宋" w:cs="Times New Roman"/>
                <w:b/>
                <w:bCs/>
                <w:color w:val="auto"/>
                <w:kern w:val="0"/>
                <w:sz w:val="18"/>
                <w:szCs w:val="18"/>
                <w:highlight w:val="none"/>
                <w:lang w:val="en-US" w:eastAsia="zh-CN" w:bidi="ar"/>
              </w:rPr>
              <w:t>合计</w:t>
            </w:r>
          </w:p>
        </w:tc>
        <w:tc>
          <w:tcPr>
            <w:tcW w:w="1634" w:type="dxa"/>
            <w:noWrap w:val="0"/>
            <w:vAlign w:val="center"/>
          </w:tcPr>
          <w:p w14:paraId="271B725B">
            <w:pPr>
              <w:keepNext w:val="0"/>
              <w:keepLines w:val="0"/>
              <w:widowControl/>
              <w:suppressLineNumbers w:val="0"/>
              <w:jc w:val="center"/>
              <w:textAlignment w:val="center"/>
              <w:rPr>
                <w:rFonts w:hint="default" w:ascii="Times New Roman" w:hAnsi="Times New Roman" w:eastAsia="仿宋" w:cs="Times New Roman"/>
                <w:b/>
                <w:bCs/>
                <w:color w:val="auto"/>
                <w:kern w:val="0"/>
                <w:sz w:val="18"/>
                <w:szCs w:val="18"/>
                <w:highlight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 xml:space="preserve">89,036.58 </w:t>
            </w:r>
          </w:p>
        </w:tc>
        <w:tc>
          <w:tcPr>
            <w:tcW w:w="1733" w:type="dxa"/>
            <w:noWrap w:val="0"/>
            <w:vAlign w:val="center"/>
          </w:tcPr>
          <w:p w14:paraId="4716F3F8">
            <w:pPr>
              <w:widowControl/>
              <w:spacing w:line="240" w:lineRule="auto"/>
              <w:ind w:firstLine="0" w:firstLineChars="0"/>
              <w:jc w:val="center"/>
              <w:textAlignment w:val="center"/>
              <w:rPr>
                <w:rFonts w:hint="default" w:ascii="Times New Roman" w:hAnsi="Times New Roman" w:eastAsia="仿宋" w:cs="Times New Roman"/>
                <w:color w:val="auto"/>
                <w:kern w:val="0"/>
                <w:sz w:val="18"/>
                <w:szCs w:val="18"/>
                <w:highlight w:val="none"/>
                <w:lang w:val="en-US" w:eastAsia="zh-CN" w:bidi="ar"/>
              </w:rPr>
            </w:pPr>
          </w:p>
        </w:tc>
      </w:tr>
    </w:tbl>
    <w:p w14:paraId="2A8D6E14">
      <w:pPr>
        <w:widowControl/>
        <w:spacing w:line="240" w:lineRule="auto"/>
        <w:ind w:firstLine="0" w:firstLineChars="0"/>
        <w:jc w:val="both"/>
        <w:textAlignment w:val="center"/>
        <w:rPr>
          <w:rFonts w:hint="default" w:ascii="Times New Roman" w:hAnsi="Times New Roman" w:eastAsia="仿宋" w:cs="Times New Roman"/>
          <w:color w:val="auto"/>
          <w:kern w:val="0"/>
          <w:sz w:val="18"/>
          <w:szCs w:val="18"/>
          <w:highlight w:val="none"/>
          <w:lang w:bidi="ar"/>
        </w:rPr>
      </w:pPr>
    </w:p>
    <w:p w14:paraId="55A4EC6A">
      <w:pPr>
        <w:pStyle w:val="34"/>
        <w:keepNext w:val="0"/>
        <w:keepLines w:val="0"/>
        <w:pageBreakBefore w:val="0"/>
        <w:widowControl/>
        <w:numPr>
          <w:ilvl w:val="1"/>
          <w:numId w:val="0"/>
        </w:numPr>
        <w:tabs>
          <w:tab w:val="clear" w:pos="420"/>
          <w:tab w:val="clear" w:pos="567"/>
        </w:tabs>
        <w:kinsoku/>
        <w:wordWrap/>
        <w:overflowPunct/>
        <w:topLinePunct w:val="0"/>
        <w:autoSpaceDE/>
        <w:autoSpaceDN/>
        <w:bidi w:val="0"/>
        <w:adjustRightInd/>
        <w:snapToGrid/>
        <w:spacing w:line="240" w:lineRule="auto"/>
        <w:ind w:left="567" w:leftChars="0" w:hanging="567" w:firstLineChars="0"/>
        <w:textAlignment w:val="auto"/>
        <w:rPr>
          <w:rFonts w:hint="default" w:ascii="Times New Roman" w:hAnsi="Times New Roman" w:eastAsia="仿宋" w:cs="Times New Roman"/>
          <w:color w:val="auto"/>
          <w:highlight w:val="none"/>
        </w:rPr>
      </w:pPr>
      <w:bookmarkStart w:id="37" w:name="_Toc9886"/>
      <w:r>
        <w:rPr>
          <w:rFonts w:hint="eastAsia" w:ascii="Times New Roman" w:hAnsi="Times New Roman" w:eastAsia="仿宋" w:cs="Times New Roman"/>
          <w:b/>
          <w:color w:val="auto"/>
          <w:kern w:val="2"/>
          <w:sz w:val="30"/>
          <w:szCs w:val="24"/>
          <w:lang w:val="en-US" w:eastAsia="zh-CN" w:bidi="ar-SA"/>
        </w:rPr>
        <w:t xml:space="preserve">3.10 </w:t>
      </w:r>
      <w:r>
        <w:rPr>
          <w:rFonts w:hint="default" w:ascii="Times New Roman" w:hAnsi="Times New Roman" w:eastAsia="仿宋" w:cs="Times New Roman"/>
          <w:color w:val="auto"/>
          <w:highlight w:val="none"/>
        </w:rPr>
        <w:t>投资估算</w:t>
      </w:r>
      <w:bookmarkEnd w:id="37"/>
    </w:p>
    <w:p w14:paraId="2728A52D">
      <w:pPr>
        <w:pStyle w:val="42"/>
        <w:keepNext w:val="0"/>
        <w:keepLines w:val="0"/>
        <w:pageBreakBefore w:val="0"/>
        <w:widowControl/>
        <w:kinsoku/>
        <w:wordWrap/>
        <w:overflowPunct/>
        <w:topLinePunct w:val="0"/>
        <w:autoSpaceDE/>
        <w:autoSpaceDN/>
        <w:bidi w:val="0"/>
        <w:adjustRightInd/>
        <w:snapToGrid/>
        <w:spacing w:after="0"/>
        <w:ind w:firstLine="480" w:firstLineChars="20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val="0"/>
          <w:bCs w:val="0"/>
          <w:color w:val="auto"/>
          <w:sz w:val="24"/>
          <w:szCs w:val="24"/>
          <w:highlight w:val="none"/>
          <w:lang w:val="en-US" w:eastAsia="zh-CN" w:bidi="en-US"/>
        </w:rPr>
        <w:t>本项目估算总投资59.07万元，其中建筑工程50.16万元，占投资规模的84.92%；独立费用6.09万元（其中建设单位管理费，0.81万元；</w:t>
      </w:r>
      <w:r>
        <w:rPr>
          <w:rFonts w:hint="eastAsia" w:eastAsia="仿宋" w:cs="Times New Roman"/>
          <w:b w:val="0"/>
          <w:bCs w:val="0"/>
          <w:color w:val="auto"/>
          <w:sz w:val="24"/>
          <w:szCs w:val="24"/>
          <w:highlight w:val="none"/>
          <w:lang w:val="en-US" w:eastAsia="zh-CN" w:bidi="en-US"/>
        </w:rPr>
        <w:t>勘测</w:t>
      </w:r>
      <w:r>
        <w:rPr>
          <w:rFonts w:hint="default" w:ascii="Times New Roman" w:hAnsi="Times New Roman" w:eastAsia="仿宋" w:cs="Times New Roman"/>
          <w:b w:val="0"/>
          <w:bCs w:val="0"/>
          <w:color w:val="auto"/>
          <w:sz w:val="24"/>
          <w:szCs w:val="24"/>
          <w:highlight w:val="none"/>
          <w:lang w:val="en-US" w:eastAsia="zh-CN" w:bidi="en-US"/>
        </w:rPr>
        <w:t>设计费，2.86万元；工程监理费，1.41万元；工程保险费，0.23万元；全过程造价咨询费，0.48万元；工程检验监测费，0.30万元），占项目总投资的10.31%；基本预备费2.82万元，占总投资的4.77%。</w:t>
      </w:r>
    </w:p>
    <w:p w14:paraId="10EE8139">
      <w:pPr>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br w:type="page"/>
      </w:r>
    </w:p>
    <w:p w14:paraId="3331A7D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表</w:t>
      </w:r>
      <w:r>
        <w:rPr>
          <w:rFonts w:hint="eastAsia" w:ascii="Times New Roman" w:hAnsi="Times New Roman" w:eastAsia="仿宋" w:cs="Times New Roman"/>
          <w:b/>
          <w:bCs/>
          <w:color w:val="auto"/>
          <w:sz w:val="24"/>
          <w:szCs w:val="24"/>
          <w:highlight w:val="none"/>
          <w:lang w:val="en-US" w:eastAsia="zh-CN"/>
        </w:rPr>
        <w:t>3.10</w:t>
      </w:r>
      <w:r>
        <w:rPr>
          <w:rFonts w:hint="default" w:ascii="Times New Roman" w:hAnsi="Times New Roman" w:eastAsia="仿宋" w:cs="Times New Roman"/>
          <w:b/>
          <w:bCs/>
          <w:color w:val="auto"/>
          <w:sz w:val="24"/>
          <w:szCs w:val="24"/>
          <w:highlight w:val="none"/>
        </w:rPr>
        <w:t>-1投资估算表</w:t>
      </w:r>
    </w:p>
    <w:tbl>
      <w:tblPr>
        <w:tblStyle w:val="20"/>
        <w:tblW w:w="0" w:type="auto"/>
        <w:tblInd w:w="0" w:type="dxa"/>
        <w:tblLayout w:type="autofit"/>
        <w:tblCellMar>
          <w:top w:w="0" w:type="dxa"/>
          <w:left w:w="108" w:type="dxa"/>
          <w:bottom w:w="0" w:type="dxa"/>
          <w:right w:w="108" w:type="dxa"/>
        </w:tblCellMar>
      </w:tblPr>
      <w:tblGrid>
        <w:gridCol w:w="584"/>
        <w:gridCol w:w="2392"/>
        <w:gridCol w:w="1050"/>
        <w:gridCol w:w="1329"/>
        <w:gridCol w:w="1328"/>
        <w:gridCol w:w="943"/>
        <w:gridCol w:w="1434"/>
      </w:tblGrid>
      <w:tr w14:paraId="0718436D">
        <w:tblPrEx>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79E7E7D">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序号</w:t>
            </w:r>
          </w:p>
        </w:tc>
        <w:tc>
          <w:tcPr>
            <w:tcW w:w="2392" w:type="dxa"/>
            <w:tcBorders>
              <w:top w:val="single" w:color="000000" w:sz="4" w:space="0"/>
              <w:left w:val="single" w:color="000000" w:sz="4" w:space="0"/>
              <w:bottom w:val="single" w:color="000000" w:sz="4" w:space="0"/>
              <w:right w:val="single" w:color="000000" w:sz="4" w:space="0"/>
            </w:tcBorders>
            <w:noWrap w:val="0"/>
            <w:vAlign w:val="center"/>
          </w:tcPr>
          <w:p w14:paraId="1D30079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工程或费用名称</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8A33159">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建安工程费</w:t>
            </w:r>
            <w:r>
              <w:rPr>
                <w:rFonts w:hint="eastAsia" w:eastAsia="仿宋" w:cs="Times New Roman"/>
                <w:b w:val="0"/>
                <w:bCs w:val="0"/>
                <w:color w:val="auto"/>
                <w:kern w:val="2"/>
                <w:sz w:val="24"/>
                <w:szCs w:val="24"/>
                <w:highlight w:val="none"/>
                <w:lang w:val="en-US" w:eastAsia="zh-CN" w:bidi="en-US"/>
              </w:rPr>
              <w:t>（</w:t>
            </w:r>
            <w:r>
              <w:rPr>
                <w:rFonts w:hint="default" w:ascii="Times New Roman" w:hAnsi="Times New Roman" w:eastAsia="仿宋" w:cs="Times New Roman"/>
                <w:b w:val="0"/>
                <w:bCs w:val="0"/>
                <w:color w:val="auto"/>
                <w:kern w:val="2"/>
                <w:sz w:val="24"/>
                <w:szCs w:val="24"/>
                <w:highlight w:val="none"/>
                <w:lang w:val="en-US" w:eastAsia="zh-CN" w:bidi="en-US"/>
              </w:rPr>
              <w:t>万元</w:t>
            </w:r>
            <w:r>
              <w:rPr>
                <w:rFonts w:hint="eastAsia" w:eastAsia="仿宋" w:cs="Times New Roman"/>
                <w:b w:val="0"/>
                <w:bCs w:val="0"/>
                <w:color w:val="auto"/>
                <w:kern w:val="2"/>
                <w:sz w:val="24"/>
                <w:szCs w:val="24"/>
                <w:highlight w:val="none"/>
                <w:lang w:val="en-US" w:eastAsia="zh-CN" w:bidi="en-US"/>
              </w:rPr>
              <w:t>）</w:t>
            </w:r>
          </w:p>
        </w:tc>
        <w:tc>
          <w:tcPr>
            <w:tcW w:w="1329" w:type="dxa"/>
            <w:tcBorders>
              <w:top w:val="single" w:color="000000" w:sz="4" w:space="0"/>
              <w:left w:val="single" w:color="000000" w:sz="4" w:space="0"/>
              <w:bottom w:val="single" w:color="000000" w:sz="4" w:space="0"/>
              <w:right w:val="single" w:color="000000" w:sz="4" w:space="0"/>
            </w:tcBorders>
            <w:noWrap w:val="0"/>
            <w:vAlign w:val="center"/>
          </w:tcPr>
          <w:p w14:paraId="05F526C9">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设备购置费</w:t>
            </w:r>
            <w:r>
              <w:rPr>
                <w:rFonts w:hint="eastAsia" w:eastAsia="仿宋" w:cs="Times New Roman"/>
                <w:b w:val="0"/>
                <w:bCs w:val="0"/>
                <w:color w:val="auto"/>
                <w:kern w:val="2"/>
                <w:sz w:val="24"/>
                <w:szCs w:val="24"/>
                <w:highlight w:val="none"/>
                <w:lang w:val="en-US" w:eastAsia="zh-CN" w:bidi="en-US"/>
              </w:rPr>
              <w:t>（</w:t>
            </w:r>
            <w:r>
              <w:rPr>
                <w:rFonts w:hint="default" w:ascii="Times New Roman" w:hAnsi="Times New Roman" w:eastAsia="仿宋" w:cs="Times New Roman"/>
                <w:b w:val="0"/>
                <w:bCs w:val="0"/>
                <w:color w:val="auto"/>
                <w:kern w:val="2"/>
                <w:sz w:val="24"/>
                <w:szCs w:val="24"/>
                <w:highlight w:val="none"/>
                <w:lang w:val="en-US" w:eastAsia="zh-CN" w:bidi="en-US"/>
              </w:rPr>
              <w:t>万元</w:t>
            </w:r>
            <w:r>
              <w:rPr>
                <w:rFonts w:hint="eastAsia" w:eastAsia="仿宋" w:cs="Times New Roman"/>
                <w:b w:val="0"/>
                <w:bCs w:val="0"/>
                <w:color w:val="auto"/>
                <w:kern w:val="2"/>
                <w:sz w:val="24"/>
                <w:szCs w:val="24"/>
                <w:highlight w:val="none"/>
                <w:lang w:val="en-US" w:eastAsia="zh-CN" w:bidi="en-US"/>
              </w:rPr>
              <w:t>）</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14:paraId="008ABA22">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独立费用</w:t>
            </w:r>
            <w:r>
              <w:rPr>
                <w:rFonts w:hint="eastAsia" w:eastAsia="仿宋" w:cs="Times New Roman"/>
                <w:b w:val="0"/>
                <w:bCs w:val="0"/>
                <w:color w:val="auto"/>
                <w:kern w:val="2"/>
                <w:sz w:val="24"/>
                <w:szCs w:val="24"/>
                <w:highlight w:val="none"/>
                <w:lang w:val="en-US" w:eastAsia="zh-CN" w:bidi="en-US"/>
              </w:rPr>
              <w:t>（</w:t>
            </w:r>
            <w:r>
              <w:rPr>
                <w:rFonts w:hint="default" w:ascii="Times New Roman" w:hAnsi="Times New Roman" w:eastAsia="仿宋" w:cs="Times New Roman"/>
                <w:b w:val="0"/>
                <w:bCs w:val="0"/>
                <w:color w:val="auto"/>
                <w:kern w:val="2"/>
                <w:sz w:val="24"/>
                <w:szCs w:val="24"/>
                <w:highlight w:val="none"/>
                <w:lang w:val="en-US" w:eastAsia="zh-CN" w:bidi="en-US"/>
              </w:rPr>
              <w:t>万元</w:t>
            </w:r>
            <w:r>
              <w:rPr>
                <w:rFonts w:hint="eastAsia" w:eastAsia="仿宋" w:cs="Times New Roman"/>
                <w:b w:val="0"/>
                <w:bCs w:val="0"/>
                <w:color w:val="auto"/>
                <w:kern w:val="2"/>
                <w:sz w:val="24"/>
                <w:szCs w:val="24"/>
                <w:highlight w:val="none"/>
                <w:lang w:val="en-US" w:eastAsia="zh-CN" w:bidi="en-US"/>
              </w:rPr>
              <w:t>）</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3DDA721E">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合计</w:t>
            </w:r>
            <w:r>
              <w:rPr>
                <w:rFonts w:hint="eastAsia" w:eastAsia="仿宋" w:cs="Times New Roman"/>
                <w:b w:val="0"/>
                <w:bCs w:val="0"/>
                <w:color w:val="auto"/>
                <w:kern w:val="2"/>
                <w:sz w:val="24"/>
                <w:szCs w:val="24"/>
                <w:highlight w:val="none"/>
                <w:lang w:val="en-US" w:eastAsia="zh-CN" w:bidi="en-US"/>
              </w:rPr>
              <w:t>（</w:t>
            </w:r>
            <w:r>
              <w:rPr>
                <w:rFonts w:hint="default" w:ascii="Times New Roman" w:hAnsi="Times New Roman" w:eastAsia="仿宋" w:cs="Times New Roman"/>
                <w:b w:val="0"/>
                <w:bCs w:val="0"/>
                <w:color w:val="auto"/>
                <w:kern w:val="2"/>
                <w:sz w:val="24"/>
                <w:szCs w:val="24"/>
                <w:highlight w:val="none"/>
                <w:lang w:val="en-US" w:eastAsia="zh-CN" w:bidi="en-US"/>
              </w:rPr>
              <w:t>万元</w:t>
            </w:r>
            <w:r>
              <w:rPr>
                <w:rFonts w:hint="eastAsia" w:eastAsia="仿宋" w:cs="Times New Roman"/>
                <w:b w:val="0"/>
                <w:bCs w:val="0"/>
                <w:color w:val="auto"/>
                <w:kern w:val="2"/>
                <w:sz w:val="24"/>
                <w:szCs w:val="24"/>
                <w:highlight w:val="none"/>
                <w:lang w:val="en-US" w:eastAsia="zh-CN" w:bidi="en-US"/>
              </w:rPr>
              <w:t>）</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8019012">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占静态投资比例</w:t>
            </w:r>
            <w:r>
              <w:rPr>
                <w:rFonts w:hint="eastAsia" w:eastAsia="仿宋" w:cs="Times New Roman"/>
                <w:b w:val="0"/>
                <w:bCs w:val="0"/>
                <w:color w:val="auto"/>
                <w:kern w:val="2"/>
                <w:sz w:val="24"/>
                <w:szCs w:val="24"/>
                <w:highlight w:val="none"/>
                <w:lang w:val="en-US" w:eastAsia="zh-CN" w:bidi="en-US"/>
              </w:rPr>
              <w:t>（</w:t>
            </w:r>
            <w:r>
              <w:rPr>
                <w:rFonts w:hint="default" w:ascii="Times New Roman" w:hAnsi="Times New Roman" w:eastAsia="仿宋" w:cs="Times New Roman"/>
                <w:b w:val="0"/>
                <w:bCs w:val="0"/>
                <w:color w:val="auto"/>
                <w:kern w:val="2"/>
                <w:sz w:val="24"/>
                <w:szCs w:val="24"/>
                <w:highlight w:val="none"/>
                <w:lang w:val="en-US" w:eastAsia="zh-CN" w:bidi="en-US"/>
              </w:rPr>
              <w:t>%</w:t>
            </w:r>
            <w:r>
              <w:rPr>
                <w:rFonts w:hint="eastAsia" w:eastAsia="仿宋" w:cs="Times New Roman"/>
                <w:b w:val="0"/>
                <w:bCs w:val="0"/>
                <w:color w:val="auto"/>
                <w:kern w:val="2"/>
                <w:sz w:val="24"/>
                <w:szCs w:val="24"/>
                <w:highlight w:val="none"/>
                <w:lang w:val="en-US" w:eastAsia="zh-CN" w:bidi="en-US"/>
              </w:rPr>
              <w:t>）</w:t>
            </w:r>
          </w:p>
        </w:tc>
      </w:tr>
      <w:tr w14:paraId="6EFC8F9F">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2C21A5C7">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一</w:t>
            </w:r>
          </w:p>
        </w:tc>
        <w:tc>
          <w:tcPr>
            <w:tcW w:w="2392" w:type="dxa"/>
            <w:tcBorders>
              <w:top w:val="nil"/>
              <w:left w:val="single" w:color="000000" w:sz="4" w:space="0"/>
              <w:bottom w:val="single" w:color="000000" w:sz="4" w:space="0"/>
              <w:right w:val="single" w:color="000000" w:sz="4" w:space="0"/>
            </w:tcBorders>
            <w:noWrap w:val="0"/>
            <w:vAlign w:val="center"/>
          </w:tcPr>
          <w:p w14:paraId="770077AB">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第一部分建筑工程</w:t>
            </w:r>
          </w:p>
        </w:tc>
        <w:tc>
          <w:tcPr>
            <w:tcW w:w="1050" w:type="dxa"/>
            <w:tcBorders>
              <w:top w:val="nil"/>
              <w:left w:val="single" w:color="000000" w:sz="4" w:space="0"/>
              <w:bottom w:val="single" w:color="000000" w:sz="4" w:space="0"/>
              <w:right w:val="single" w:color="000000" w:sz="4" w:space="0"/>
            </w:tcBorders>
            <w:shd w:val="clear" w:color="auto" w:fill="auto"/>
            <w:noWrap w:val="0"/>
            <w:vAlign w:val="center"/>
          </w:tcPr>
          <w:p w14:paraId="62243312">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50.16</w:t>
            </w:r>
          </w:p>
        </w:tc>
        <w:tc>
          <w:tcPr>
            <w:tcW w:w="1329" w:type="dxa"/>
            <w:tcBorders>
              <w:top w:val="nil"/>
              <w:left w:val="single" w:color="000000" w:sz="4" w:space="0"/>
              <w:bottom w:val="single" w:color="000000" w:sz="4" w:space="0"/>
              <w:right w:val="single" w:color="000000" w:sz="4" w:space="0"/>
            </w:tcBorders>
            <w:noWrap w:val="0"/>
            <w:vAlign w:val="center"/>
          </w:tcPr>
          <w:p w14:paraId="32662C92">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noWrap w:val="0"/>
            <w:vAlign w:val="center"/>
          </w:tcPr>
          <w:p w14:paraId="26DA282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943" w:type="dxa"/>
            <w:tcBorders>
              <w:top w:val="nil"/>
              <w:left w:val="single" w:color="000000" w:sz="4" w:space="0"/>
              <w:bottom w:val="single" w:color="000000" w:sz="4" w:space="0"/>
              <w:right w:val="single" w:color="000000" w:sz="4" w:space="0"/>
            </w:tcBorders>
            <w:noWrap w:val="0"/>
            <w:vAlign w:val="center"/>
          </w:tcPr>
          <w:p w14:paraId="5BC64C40">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50.16</w:t>
            </w:r>
          </w:p>
        </w:tc>
        <w:tc>
          <w:tcPr>
            <w:tcW w:w="1434" w:type="dxa"/>
            <w:tcBorders>
              <w:top w:val="nil"/>
              <w:left w:val="single" w:color="000000" w:sz="4" w:space="0"/>
              <w:bottom w:val="single" w:color="000000" w:sz="4" w:space="0"/>
              <w:right w:val="single" w:color="000000" w:sz="4" w:space="0"/>
            </w:tcBorders>
            <w:noWrap w:val="0"/>
            <w:vAlign w:val="center"/>
          </w:tcPr>
          <w:p w14:paraId="1C078798">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84.9</w:t>
            </w:r>
            <w:r>
              <w:rPr>
                <w:rFonts w:hint="eastAsia" w:eastAsia="仿宋" w:cs="Times New Roman"/>
                <w:b w:val="0"/>
                <w:bCs w:val="0"/>
                <w:color w:val="auto"/>
                <w:kern w:val="2"/>
                <w:sz w:val="24"/>
                <w:szCs w:val="24"/>
                <w:highlight w:val="none"/>
                <w:lang w:val="en-US" w:eastAsia="zh-CN" w:bidi="en-US"/>
              </w:rPr>
              <w:t>2</w:t>
            </w:r>
            <w:r>
              <w:rPr>
                <w:rFonts w:hint="default" w:ascii="Times New Roman" w:hAnsi="Times New Roman" w:eastAsia="仿宋" w:cs="Times New Roman"/>
                <w:b w:val="0"/>
                <w:bCs w:val="0"/>
                <w:color w:val="auto"/>
                <w:kern w:val="2"/>
                <w:sz w:val="24"/>
                <w:szCs w:val="24"/>
                <w:highlight w:val="none"/>
                <w:lang w:val="en-US" w:eastAsia="zh-CN" w:bidi="en-US"/>
              </w:rPr>
              <w:t>%</w:t>
            </w:r>
          </w:p>
        </w:tc>
      </w:tr>
      <w:tr w14:paraId="289081C4">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3EE385C8">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1</w:t>
            </w:r>
          </w:p>
        </w:tc>
        <w:tc>
          <w:tcPr>
            <w:tcW w:w="2392" w:type="dxa"/>
            <w:tcBorders>
              <w:top w:val="nil"/>
              <w:left w:val="single" w:color="000000" w:sz="4" w:space="0"/>
              <w:bottom w:val="single" w:color="000000" w:sz="4" w:space="0"/>
              <w:right w:val="single" w:color="000000" w:sz="4" w:space="0"/>
            </w:tcBorders>
            <w:noWrap w:val="0"/>
            <w:vAlign w:val="center"/>
          </w:tcPr>
          <w:p w14:paraId="075CFC87">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一、新沙村筷子基硬底化</w:t>
            </w:r>
          </w:p>
        </w:tc>
        <w:tc>
          <w:tcPr>
            <w:tcW w:w="1050" w:type="dxa"/>
            <w:tcBorders>
              <w:top w:val="nil"/>
              <w:left w:val="single" w:color="000000" w:sz="4" w:space="0"/>
              <w:bottom w:val="single" w:color="000000" w:sz="4" w:space="0"/>
              <w:right w:val="single" w:color="000000" w:sz="4" w:space="0"/>
            </w:tcBorders>
            <w:shd w:val="clear" w:color="auto" w:fill="auto"/>
            <w:noWrap w:val="0"/>
            <w:vAlign w:val="center"/>
          </w:tcPr>
          <w:p w14:paraId="2217A02E">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50.16</w:t>
            </w:r>
          </w:p>
        </w:tc>
        <w:tc>
          <w:tcPr>
            <w:tcW w:w="1329" w:type="dxa"/>
            <w:tcBorders>
              <w:top w:val="nil"/>
              <w:left w:val="single" w:color="000000" w:sz="4" w:space="0"/>
              <w:bottom w:val="single" w:color="000000" w:sz="4" w:space="0"/>
              <w:right w:val="single" w:color="000000" w:sz="4" w:space="0"/>
            </w:tcBorders>
            <w:noWrap w:val="0"/>
            <w:vAlign w:val="center"/>
          </w:tcPr>
          <w:p w14:paraId="5D759EB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noWrap w:val="0"/>
            <w:vAlign w:val="center"/>
          </w:tcPr>
          <w:p w14:paraId="5F0F341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943" w:type="dxa"/>
            <w:tcBorders>
              <w:top w:val="nil"/>
              <w:left w:val="single" w:color="000000" w:sz="4" w:space="0"/>
              <w:bottom w:val="single" w:color="000000" w:sz="4" w:space="0"/>
              <w:right w:val="single" w:color="000000" w:sz="4" w:space="0"/>
            </w:tcBorders>
            <w:noWrap w:val="0"/>
            <w:vAlign w:val="center"/>
          </w:tcPr>
          <w:p w14:paraId="7D56F812">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50.16</w:t>
            </w:r>
          </w:p>
        </w:tc>
        <w:tc>
          <w:tcPr>
            <w:tcW w:w="1434" w:type="dxa"/>
            <w:tcBorders>
              <w:top w:val="nil"/>
              <w:left w:val="single" w:color="000000" w:sz="4" w:space="0"/>
              <w:bottom w:val="single" w:color="000000" w:sz="4" w:space="0"/>
              <w:right w:val="single" w:color="000000" w:sz="4" w:space="0"/>
            </w:tcBorders>
            <w:noWrap w:val="0"/>
            <w:vAlign w:val="center"/>
          </w:tcPr>
          <w:p w14:paraId="0ACC37F2">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84.9</w:t>
            </w:r>
            <w:r>
              <w:rPr>
                <w:rFonts w:hint="eastAsia" w:eastAsia="仿宋" w:cs="Times New Roman"/>
                <w:b w:val="0"/>
                <w:bCs w:val="0"/>
                <w:color w:val="auto"/>
                <w:kern w:val="2"/>
                <w:sz w:val="24"/>
                <w:szCs w:val="24"/>
                <w:highlight w:val="none"/>
                <w:lang w:val="en-US" w:eastAsia="zh-CN" w:bidi="en-US"/>
              </w:rPr>
              <w:t>2</w:t>
            </w:r>
            <w:r>
              <w:rPr>
                <w:rFonts w:hint="default" w:ascii="Times New Roman" w:hAnsi="Times New Roman" w:eastAsia="仿宋" w:cs="Times New Roman"/>
                <w:b w:val="0"/>
                <w:bCs w:val="0"/>
                <w:color w:val="auto"/>
                <w:kern w:val="2"/>
                <w:sz w:val="24"/>
                <w:szCs w:val="24"/>
                <w:highlight w:val="none"/>
                <w:lang w:val="en-US" w:eastAsia="zh-CN" w:bidi="en-US"/>
              </w:rPr>
              <w:t>%</w:t>
            </w:r>
          </w:p>
        </w:tc>
      </w:tr>
      <w:tr w14:paraId="3D01F121">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5557C7A3">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五</w:t>
            </w:r>
          </w:p>
        </w:tc>
        <w:tc>
          <w:tcPr>
            <w:tcW w:w="2392" w:type="dxa"/>
            <w:tcBorders>
              <w:top w:val="nil"/>
              <w:left w:val="single" w:color="000000" w:sz="4" w:space="0"/>
              <w:bottom w:val="single" w:color="000000" w:sz="4" w:space="0"/>
              <w:right w:val="single" w:color="000000" w:sz="4" w:space="0"/>
            </w:tcBorders>
            <w:noWrap w:val="0"/>
            <w:vAlign w:val="center"/>
          </w:tcPr>
          <w:p w14:paraId="4474EB48">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第五部分独立费用</w:t>
            </w:r>
          </w:p>
        </w:tc>
        <w:tc>
          <w:tcPr>
            <w:tcW w:w="1050" w:type="dxa"/>
            <w:tcBorders>
              <w:top w:val="nil"/>
              <w:left w:val="single" w:color="000000" w:sz="4" w:space="0"/>
              <w:bottom w:val="single" w:color="000000" w:sz="4" w:space="0"/>
              <w:right w:val="single" w:color="000000" w:sz="4" w:space="0"/>
            </w:tcBorders>
            <w:noWrap w:val="0"/>
            <w:vAlign w:val="center"/>
          </w:tcPr>
          <w:p w14:paraId="2AE61D6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590D1CD5">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6EC6C027">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Times New Roman" w:hAnsi="Times New Roman" w:cs="Times New Roman"/>
                <w:i w:val="0"/>
                <w:iCs w:val="0"/>
                <w:color w:val="000000"/>
                <w:kern w:val="0"/>
                <w:sz w:val="24"/>
                <w:szCs w:val="24"/>
                <w:u w:val="none"/>
                <w:lang w:val="en-US" w:eastAsia="zh-CN" w:bidi="ar"/>
              </w:rPr>
              <w:t>09</w:t>
            </w:r>
          </w:p>
        </w:tc>
        <w:tc>
          <w:tcPr>
            <w:tcW w:w="943" w:type="dxa"/>
            <w:tcBorders>
              <w:top w:val="nil"/>
              <w:left w:val="single" w:color="000000" w:sz="4" w:space="0"/>
              <w:bottom w:val="single" w:color="000000" w:sz="4" w:space="0"/>
              <w:right w:val="single" w:color="000000" w:sz="4" w:space="0"/>
            </w:tcBorders>
            <w:noWrap w:val="0"/>
            <w:vAlign w:val="center"/>
          </w:tcPr>
          <w:p w14:paraId="2C926AAA">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Times New Roman" w:hAnsi="Times New Roman" w:cs="Times New Roman"/>
                <w:i w:val="0"/>
                <w:iCs w:val="0"/>
                <w:color w:val="000000"/>
                <w:kern w:val="0"/>
                <w:sz w:val="24"/>
                <w:szCs w:val="24"/>
                <w:u w:val="none"/>
                <w:lang w:val="en-US" w:eastAsia="zh-CN" w:bidi="ar"/>
              </w:rPr>
              <w:t>09</w:t>
            </w:r>
          </w:p>
        </w:tc>
        <w:tc>
          <w:tcPr>
            <w:tcW w:w="1434" w:type="dxa"/>
            <w:tcBorders>
              <w:top w:val="nil"/>
              <w:left w:val="single" w:color="000000" w:sz="4" w:space="0"/>
              <w:bottom w:val="single" w:color="000000" w:sz="4" w:space="0"/>
              <w:right w:val="single" w:color="000000" w:sz="4" w:space="0"/>
            </w:tcBorders>
            <w:noWrap w:val="0"/>
            <w:vAlign w:val="center"/>
          </w:tcPr>
          <w:p w14:paraId="52FD311C">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10.3</w:t>
            </w:r>
            <w:r>
              <w:rPr>
                <w:rFonts w:hint="eastAsia" w:eastAsia="仿宋" w:cs="Times New Roman"/>
                <w:b w:val="0"/>
                <w:bCs w:val="0"/>
                <w:color w:val="auto"/>
                <w:kern w:val="2"/>
                <w:sz w:val="24"/>
                <w:szCs w:val="24"/>
                <w:highlight w:val="none"/>
                <w:lang w:val="en-US" w:eastAsia="zh-CN" w:bidi="en-US"/>
              </w:rPr>
              <w:t>1</w:t>
            </w:r>
            <w:r>
              <w:rPr>
                <w:rFonts w:hint="default" w:ascii="Times New Roman" w:hAnsi="Times New Roman" w:eastAsia="仿宋" w:cs="Times New Roman"/>
                <w:b w:val="0"/>
                <w:bCs w:val="0"/>
                <w:color w:val="auto"/>
                <w:kern w:val="2"/>
                <w:sz w:val="24"/>
                <w:szCs w:val="24"/>
                <w:highlight w:val="none"/>
                <w:lang w:val="en-US" w:eastAsia="zh-CN" w:bidi="en-US"/>
              </w:rPr>
              <w:t>%</w:t>
            </w:r>
          </w:p>
        </w:tc>
      </w:tr>
      <w:tr w14:paraId="698AF25B">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1F64223F">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1</w:t>
            </w:r>
          </w:p>
        </w:tc>
        <w:tc>
          <w:tcPr>
            <w:tcW w:w="2392" w:type="dxa"/>
            <w:tcBorders>
              <w:top w:val="nil"/>
              <w:left w:val="single" w:color="000000" w:sz="4" w:space="0"/>
              <w:bottom w:val="single" w:color="000000" w:sz="4" w:space="0"/>
              <w:right w:val="single" w:color="000000" w:sz="4" w:space="0"/>
            </w:tcBorders>
            <w:noWrap w:val="0"/>
            <w:vAlign w:val="center"/>
          </w:tcPr>
          <w:p w14:paraId="5DA7CBCF">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建设单位管理费</w:t>
            </w:r>
          </w:p>
        </w:tc>
        <w:tc>
          <w:tcPr>
            <w:tcW w:w="1050" w:type="dxa"/>
            <w:tcBorders>
              <w:top w:val="nil"/>
              <w:left w:val="single" w:color="000000" w:sz="4" w:space="0"/>
              <w:bottom w:val="single" w:color="000000" w:sz="4" w:space="0"/>
              <w:right w:val="single" w:color="000000" w:sz="4" w:space="0"/>
            </w:tcBorders>
            <w:noWrap w:val="0"/>
            <w:vAlign w:val="center"/>
          </w:tcPr>
          <w:p w14:paraId="7973A909">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3974958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4136BF54">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0.81</w:t>
            </w:r>
          </w:p>
        </w:tc>
        <w:tc>
          <w:tcPr>
            <w:tcW w:w="943" w:type="dxa"/>
            <w:tcBorders>
              <w:top w:val="nil"/>
              <w:left w:val="single" w:color="000000" w:sz="4" w:space="0"/>
              <w:bottom w:val="single" w:color="000000" w:sz="4" w:space="0"/>
              <w:right w:val="single" w:color="000000" w:sz="4" w:space="0"/>
            </w:tcBorders>
            <w:noWrap w:val="0"/>
            <w:vAlign w:val="center"/>
          </w:tcPr>
          <w:p w14:paraId="130501F3">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0.81</w:t>
            </w:r>
          </w:p>
        </w:tc>
        <w:tc>
          <w:tcPr>
            <w:tcW w:w="1434" w:type="dxa"/>
            <w:tcBorders>
              <w:top w:val="nil"/>
              <w:left w:val="single" w:color="000000" w:sz="4" w:space="0"/>
              <w:bottom w:val="single" w:color="000000" w:sz="4" w:space="0"/>
              <w:right w:val="single" w:color="000000" w:sz="4" w:space="0"/>
            </w:tcBorders>
            <w:noWrap w:val="0"/>
            <w:vAlign w:val="center"/>
          </w:tcPr>
          <w:p w14:paraId="21E66563">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1.38%</w:t>
            </w:r>
          </w:p>
        </w:tc>
      </w:tr>
      <w:tr w14:paraId="2420EAF2">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35D414A4">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2</w:t>
            </w:r>
          </w:p>
        </w:tc>
        <w:tc>
          <w:tcPr>
            <w:tcW w:w="2392" w:type="dxa"/>
            <w:tcBorders>
              <w:top w:val="nil"/>
              <w:left w:val="single" w:color="000000" w:sz="4" w:space="0"/>
              <w:bottom w:val="single" w:color="000000" w:sz="4" w:space="0"/>
              <w:right w:val="single" w:color="000000" w:sz="4" w:space="0"/>
            </w:tcBorders>
            <w:noWrap w:val="0"/>
            <w:vAlign w:val="center"/>
          </w:tcPr>
          <w:p w14:paraId="26184E68">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eastAsia="仿宋" w:cs="Times New Roman"/>
                <w:b w:val="0"/>
                <w:bCs w:val="0"/>
                <w:color w:val="auto"/>
                <w:kern w:val="2"/>
                <w:sz w:val="24"/>
                <w:szCs w:val="24"/>
                <w:highlight w:val="none"/>
                <w:lang w:val="en-US" w:eastAsia="zh-CN" w:bidi="en-US"/>
              </w:rPr>
              <w:t>勘测</w:t>
            </w:r>
            <w:r>
              <w:rPr>
                <w:rFonts w:hint="default" w:ascii="Times New Roman" w:hAnsi="Times New Roman" w:eastAsia="仿宋" w:cs="Times New Roman"/>
                <w:b w:val="0"/>
                <w:bCs w:val="0"/>
                <w:color w:val="auto"/>
                <w:kern w:val="2"/>
                <w:sz w:val="24"/>
                <w:szCs w:val="24"/>
                <w:highlight w:val="none"/>
                <w:lang w:val="en-US" w:eastAsia="zh-CN" w:bidi="en-US"/>
              </w:rPr>
              <w:t>设计费</w:t>
            </w:r>
          </w:p>
        </w:tc>
        <w:tc>
          <w:tcPr>
            <w:tcW w:w="1050" w:type="dxa"/>
            <w:tcBorders>
              <w:top w:val="nil"/>
              <w:left w:val="single" w:color="000000" w:sz="4" w:space="0"/>
              <w:bottom w:val="single" w:color="000000" w:sz="4" w:space="0"/>
              <w:right w:val="single" w:color="000000" w:sz="4" w:space="0"/>
            </w:tcBorders>
            <w:noWrap w:val="0"/>
            <w:vAlign w:val="center"/>
          </w:tcPr>
          <w:p w14:paraId="09A474F1">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64414C53">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5115D272">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943" w:type="dxa"/>
            <w:tcBorders>
              <w:top w:val="nil"/>
              <w:left w:val="single" w:color="000000" w:sz="4" w:space="0"/>
              <w:bottom w:val="single" w:color="000000" w:sz="4" w:space="0"/>
              <w:right w:val="single" w:color="000000" w:sz="4" w:space="0"/>
            </w:tcBorders>
            <w:noWrap w:val="0"/>
            <w:vAlign w:val="center"/>
          </w:tcPr>
          <w:p w14:paraId="36D0984B">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1434" w:type="dxa"/>
            <w:tcBorders>
              <w:top w:val="nil"/>
              <w:left w:val="single" w:color="000000" w:sz="4" w:space="0"/>
              <w:bottom w:val="single" w:color="000000" w:sz="4" w:space="0"/>
              <w:right w:val="single" w:color="000000" w:sz="4" w:space="0"/>
            </w:tcBorders>
            <w:noWrap w:val="0"/>
            <w:vAlign w:val="center"/>
          </w:tcPr>
          <w:p w14:paraId="44C568E4">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4.85%</w:t>
            </w:r>
          </w:p>
        </w:tc>
      </w:tr>
      <w:tr w14:paraId="63322F6D">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3955E505">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3</w:t>
            </w:r>
          </w:p>
        </w:tc>
        <w:tc>
          <w:tcPr>
            <w:tcW w:w="2392" w:type="dxa"/>
            <w:tcBorders>
              <w:top w:val="nil"/>
              <w:left w:val="single" w:color="000000" w:sz="4" w:space="0"/>
              <w:bottom w:val="single" w:color="000000" w:sz="4" w:space="0"/>
              <w:right w:val="single" w:color="000000" w:sz="4" w:space="0"/>
            </w:tcBorders>
            <w:noWrap w:val="0"/>
            <w:vAlign w:val="center"/>
          </w:tcPr>
          <w:p w14:paraId="2BB1FEF7">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工程监理费</w:t>
            </w:r>
          </w:p>
        </w:tc>
        <w:tc>
          <w:tcPr>
            <w:tcW w:w="1050" w:type="dxa"/>
            <w:tcBorders>
              <w:top w:val="nil"/>
              <w:left w:val="single" w:color="000000" w:sz="4" w:space="0"/>
              <w:bottom w:val="single" w:color="000000" w:sz="4" w:space="0"/>
              <w:right w:val="single" w:color="000000" w:sz="4" w:space="0"/>
            </w:tcBorders>
            <w:noWrap w:val="0"/>
            <w:vAlign w:val="center"/>
          </w:tcPr>
          <w:p w14:paraId="7FECEC4F">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1E5387F8">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37C601BE">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1.41</w:t>
            </w:r>
          </w:p>
        </w:tc>
        <w:tc>
          <w:tcPr>
            <w:tcW w:w="943" w:type="dxa"/>
            <w:tcBorders>
              <w:top w:val="nil"/>
              <w:left w:val="single" w:color="000000" w:sz="4" w:space="0"/>
              <w:bottom w:val="single" w:color="000000" w:sz="4" w:space="0"/>
              <w:right w:val="single" w:color="000000" w:sz="4" w:space="0"/>
            </w:tcBorders>
            <w:noWrap w:val="0"/>
            <w:vAlign w:val="center"/>
          </w:tcPr>
          <w:p w14:paraId="3364B2DA">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1.41</w:t>
            </w:r>
          </w:p>
        </w:tc>
        <w:tc>
          <w:tcPr>
            <w:tcW w:w="1434" w:type="dxa"/>
            <w:tcBorders>
              <w:top w:val="nil"/>
              <w:left w:val="single" w:color="000000" w:sz="4" w:space="0"/>
              <w:bottom w:val="single" w:color="000000" w:sz="4" w:space="0"/>
              <w:right w:val="single" w:color="000000" w:sz="4" w:space="0"/>
            </w:tcBorders>
            <w:noWrap w:val="0"/>
            <w:vAlign w:val="center"/>
          </w:tcPr>
          <w:p w14:paraId="1A9FA262">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2.38%</w:t>
            </w:r>
          </w:p>
        </w:tc>
      </w:tr>
      <w:tr w14:paraId="1212E671">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4B85CCBE">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4</w:t>
            </w:r>
          </w:p>
        </w:tc>
        <w:tc>
          <w:tcPr>
            <w:tcW w:w="2392" w:type="dxa"/>
            <w:tcBorders>
              <w:top w:val="nil"/>
              <w:left w:val="single" w:color="000000" w:sz="4" w:space="0"/>
              <w:bottom w:val="single" w:color="000000" w:sz="4" w:space="0"/>
              <w:right w:val="single" w:color="000000" w:sz="4" w:space="0"/>
            </w:tcBorders>
            <w:noWrap w:val="0"/>
            <w:vAlign w:val="center"/>
          </w:tcPr>
          <w:p w14:paraId="1DF8693D">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工程保险费</w:t>
            </w:r>
          </w:p>
        </w:tc>
        <w:tc>
          <w:tcPr>
            <w:tcW w:w="1050" w:type="dxa"/>
            <w:tcBorders>
              <w:top w:val="nil"/>
              <w:left w:val="single" w:color="000000" w:sz="4" w:space="0"/>
              <w:bottom w:val="single" w:color="000000" w:sz="4" w:space="0"/>
              <w:right w:val="single" w:color="000000" w:sz="4" w:space="0"/>
            </w:tcBorders>
            <w:noWrap w:val="0"/>
            <w:vAlign w:val="center"/>
          </w:tcPr>
          <w:p w14:paraId="7640B97E">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0F5EE965">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271E4300">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0.23</w:t>
            </w:r>
          </w:p>
        </w:tc>
        <w:tc>
          <w:tcPr>
            <w:tcW w:w="943" w:type="dxa"/>
            <w:tcBorders>
              <w:top w:val="nil"/>
              <w:left w:val="single" w:color="000000" w:sz="4" w:space="0"/>
              <w:bottom w:val="single" w:color="000000" w:sz="4" w:space="0"/>
              <w:right w:val="single" w:color="000000" w:sz="4" w:space="0"/>
            </w:tcBorders>
            <w:noWrap w:val="0"/>
            <w:vAlign w:val="center"/>
          </w:tcPr>
          <w:p w14:paraId="79426F9B">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0.23</w:t>
            </w:r>
          </w:p>
        </w:tc>
        <w:tc>
          <w:tcPr>
            <w:tcW w:w="1434" w:type="dxa"/>
            <w:tcBorders>
              <w:top w:val="nil"/>
              <w:left w:val="single" w:color="000000" w:sz="4" w:space="0"/>
              <w:bottom w:val="single" w:color="000000" w:sz="4" w:space="0"/>
              <w:right w:val="single" w:color="000000" w:sz="4" w:space="0"/>
            </w:tcBorders>
            <w:noWrap w:val="0"/>
            <w:vAlign w:val="center"/>
          </w:tcPr>
          <w:p w14:paraId="1D5BF134">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0.38%</w:t>
            </w:r>
          </w:p>
        </w:tc>
      </w:tr>
      <w:tr w14:paraId="1A96E80D">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24CD9E47">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5</w:t>
            </w:r>
          </w:p>
        </w:tc>
        <w:tc>
          <w:tcPr>
            <w:tcW w:w="2392" w:type="dxa"/>
            <w:tcBorders>
              <w:top w:val="nil"/>
              <w:left w:val="single" w:color="000000" w:sz="4" w:space="0"/>
              <w:bottom w:val="single" w:color="000000" w:sz="4" w:space="0"/>
              <w:right w:val="single" w:color="000000" w:sz="4" w:space="0"/>
            </w:tcBorders>
            <w:noWrap w:val="0"/>
            <w:vAlign w:val="center"/>
          </w:tcPr>
          <w:p w14:paraId="48D498D5">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全过程造价咨询费</w:t>
            </w:r>
          </w:p>
        </w:tc>
        <w:tc>
          <w:tcPr>
            <w:tcW w:w="1050" w:type="dxa"/>
            <w:tcBorders>
              <w:top w:val="nil"/>
              <w:left w:val="single" w:color="000000" w:sz="4" w:space="0"/>
              <w:bottom w:val="single" w:color="000000" w:sz="4" w:space="0"/>
              <w:right w:val="single" w:color="000000" w:sz="4" w:space="0"/>
            </w:tcBorders>
            <w:noWrap w:val="0"/>
            <w:vAlign w:val="center"/>
          </w:tcPr>
          <w:p w14:paraId="4E8D4484">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719B5BCD">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3BDC9D70">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0.48</w:t>
            </w:r>
          </w:p>
        </w:tc>
        <w:tc>
          <w:tcPr>
            <w:tcW w:w="943" w:type="dxa"/>
            <w:tcBorders>
              <w:top w:val="nil"/>
              <w:left w:val="single" w:color="000000" w:sz="4" w:space="0"/>
              <w:bottom w:val="single" w:color="000000" w:sz="4" w:space="0"/>
              <w:right w:val="single" w:color="000000" w:sz="4" w:space="0"/>
            </w:tcBorders>
            <w:noWrap w:val="0"/>
            <w:vAlign w:val="center"/>
          </w:tcPr>
          <w:p w14:paraId="3264FED6">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0.48</w:t>
            </w:r>
          </w:p>
        </w:tc>
        <w:tc>
          <w:tcPr>
            <w:tcW w:w="1434" w:type="dxa"/>
            <w:tcBorders>
              <w:top w:val="nil"/>
              <w:left w:val="single" w:color="000000" w:sz="4" w:space="0"/>
              <w:bottom w:val="single" w:color="000000" w:sz="4" w:space="0"/>
              <w:right w:val="single" w:color="000000" w:sz="4" w:space="0"/>
            </w:tcBorders>
            <w:noWrap w:val="0"/>
            <w:vAlign w:val="center"/>
          </w:tcPr>
          <w:p w14:paraId="6A3CE490">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0.82%</w:t>
            </w:r>
          </w:p>
        </w:tc>
      </w:tr>
      <w:tr w14:paraId="0DBDDE7E">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5E7088AD">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6</w:t>
            </w:r>
          </w:p>
        </w:tc>
        <w:tc>
          <w:tcPr>
            <w:tcW w:w="2392" w:type="dxa"/>
            <w:tcBorders>
              <w:top w:val="nil"/>
              <w:left w:val="single" w:color="000000" w:sz="4" w:space="0"/>
              <w:bottom w:val="single" w:color="000000" w:sz="4" w:space="0"/>
              <w:right w:val="single" w:color="000000" w:sz="4" w:space="0"/>
            </w:tcBorders>
            <w:noWrap w:val="0"/>
            <w:vAlign w:val="center"/>
          </w:tcPr>
          <w:p w14:paraId="6FAA1DCA">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工程检验监测费</w:t>
            </w:r>
          </w:p>
        </w:tc>
        <w:tc>
          <w:tcPr>
            <w:tcW w:w="1050" w:type="dxa"/>
            <w:tcBorders>
              <w:top w:val="nil"/>
              <w:left w:val="single" w:color="000000" w:sz="4" w:space="0"/>
              <w:bottom w:val="single" w:color="000000" w:sz="4" w:space="0"/>
              <w:right w:val="single" w:color="000000" w:sz="4" w:space="0"/>
            </w:tcBorders>
            <w:noWrap w:val="0"/>
            <w:vAlign w:val="center"/>
          </w:tcPr>
          <w:p w14:paraId="09BD4219">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727CD47C">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1646872A">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0.3</w:t>
            </w:r>
            <w:r>
              <w:rPr>
                <w:rFonts w:hint="eastAsia" w:ascii="Times New Roman" w:hAnsi="Times New Roman" w:cs="Times New Roman"/>
                <w:i w:val="0"/>
                <w:iCs w:val="0"/>
                <w:color w:val="000000"/>
                <w:kern w:val="0"/>
                <w:sz w:val="24"/>
                <w:szCs w:val="24"/>
                <w:u w:val="none"/>
                <w:lang w:val="en-US" w:eastAsia="zh-CN" w:bidi="ar"/>
              </w:rPr>
              <w:t>0</w:t>
            </w:r>
          </w:p>
        </w:tc>
        <w:tc>
          <w:tcPr>
            <w:tcW w:w="943" w:type="dxa"/>
            <w:tcBorders>
              <w:top w:val="nil"/>
              <w:left w:val="single" w:color="000000" w:sz="4" w:space="0"/>
              <w:bottom w:val="single" w:color="000000" w:sz="4" w:space="0"/>
              <w:right w:val="single" w:color="000000" w:sz="4" w:space="0"/>
            </w:tcBorders>
            <w:noWrap w:val="0"/>
            <w:vAlign w:val="center"/>
          </w:tcPr>
          <w:p w14:paraId="65B214AB">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0.3</w:t>
            </w:r>
            <w:r>
              <w:rPr>
                <w:rFonts w:hint="eastAsia" w:ascii="Times New Roman" w:hAnsi="Times New Roman" w:cs="Times New Roman"/>
                <w:i w:val="0"/>
                <w:iCs w:val="0"/>
                <w:color w:val="000000"/>
                <w:kern w:val="0"/>
                <w:sz w:val="24"/>
                <w:szCs w:val="24"/>
                <w:u w:val="none"/>
                <w:lang w:val="en-US" w:eastAsia="zh-CN" w:bidi="ar"/>
              </w:rPr>
              <w:t>0</w:t>
            </w:r>
          </w:p>
        </w:tc>
        <w:tc>
          <w:tcPr>
            <w:tcW w:w="1434" w:type="dxa"/>
            <w:tcBorders>
              <w:top w:val="nil"/>
              <w:left w:val="single" w:color="000000" w:sz="4" w:space="0"/>
              <w:bottom w:val="single" w:color="000000" w:sz="4" w:space="0"/>
              <w:right w:val="single" w:color="000000" w:sz="4" w:space="0"/>
            </w:tcBorders>
            <w:noWrap w:val="0"/>
            <w:vAlign w:val="center"/>
          </w:tcPr>
          <w:p w14:paraId="3314570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0.5</w:t>
            </w:r>
            <w:r>
              <w:rPr>
                <w:rFonts w:hint="eastAsia" w:eastAsia="仿宋" w:cs="Times New Roman"/>
                <w:b w:val="0"/>
                <w:bCs w:val="0"/>
                <w:color w:val="auto"/>
                <w:kern w:val="2"/>
                <w:sz w:val="24"/>
                <w:szCs w:val="24"/>
                <w:highlight w:val="none"/>
                <w:lang w:val="en-US" w:eastAsia="zh-CN" w:bidi="en-US"/>
              </w:rPr>
              <w:t>0</w:t>
            </w:r>
            <w:r>
              <w:rPr>
                <w:rFonts w:hint="eastAsia" w:ascii="Times New Roman" w:hAnsi="Times New Roman" w:eastAsia="仿宋" w:cs="Times New Roman"/>
                <w:b w:val="0"/>
                <w:bCs w:val="0"/>
                <w:color w:val="auto"/>
                <w:kern w:val="2"/>
                <w:sz w:val="24"/>
                <w:szCs w:val="24"/>
                <w:highlight w:val="none"/>
                <w:lang w:val="en-US" w:eastAsia="zh-CN" w:bidi="en-US"/>
              </w:rPr>
              <w:t>%</w:t>
            </w:r>
          </w:p>
        </w:tc>
      </w:tr>
      <w:tr w14:paraId="4D8CF892">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0D3FB6FF">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2392" w:type="dxa"/>
            <w:tcBorders>
              <w:top w:val="nil"/>
              <w:left w:val="single" w:color="000000" w:sz="4" w:space="0"/>
              <w:bottom w:val="single" w:color="000000" w:sz="4" w:space="0"/>
              <w:right w:val="single" w:color="000000" w:sz="4" w:space="0"/>
            </w:tcBorders>
            <w:noWrap w:val="0"/>
            <w:vAlign w:val="center"/>
          </w:tcPr>
          <w:p w14:paraId="03E8A383">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一至五部分投资合计</w:t>
            </w:r>
          </w:p>
        </w:tc>
        <w:tc>
          <w:tcPr>
            <w:tcW w:w="1050" w:type="dxa"/>
            <w:tcBorders>
              <w:top w:val="nil"/>
              <w:left w:val="single" w:color="000000" w:sz="4" w:space="0"/>
              <w:bottom w:val="single" w:color="000000" w:sz="4" w:space="0"/>
              <w:right w:val="single" w:color="000000" w:sz="4" w:space="0"/>
            </w:tcBorders>
            <w:noWrap w:val="0"/>
            <w:vAlign w:val="center"/>
          </w:tcPr>
          <w:p w14:paraId="1263DAD1">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50.16</w:t>
            </w:r>
          </w:p>
        </w:tc>
        <w:tc>
          <w:tcPr>
            <w:tcW w:w="1329" w:type="dxa"/>
            <w:tcBorders>
              <w:top w:val="nil"/>
              <w:left w:val="single" w:color="000000" w:sz="4" w:space="0"/>
              <w:bottom w:val="single" w:color="000000" w:sz="4" w:space="0"/>
              <w:right w:val="single" w:color="000000" w:sz="4" w:space="0"/>
            </w:tcBorders>
            <w:noWrap w:val="0"/>
            <w:vAlign w:val="center"/>
          </w:tcPr>
          <w:p w14:paraId="4F838C9C">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shd w:val="clear" w:color="auto" w:fill="auto"/>
            <w:noWrap w:val="0"/>
            <w:vAlign w:val="center"/>
          </w:tcPr>
          <w:p w14:paraId="1356C622">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6.</w:t>
            </w:r>
            <w:r>
              <w:rPr>
                <w:rFonts w:hint="eastAsia" w:ascii="Times New Roman" w:hAnsi="Times New Roman" w:eastAsia="仿宋" w:cs="Times New Roman"/>
                <w:b w:val="0"/>
                <w:bCs w:val="0"/>
                <w:color w:val="auto"/>
                <w:kern w:val="2"/>
                <w:sz w:val="24"/>
                <w:szCs w:val="24"/>
                <w:highlight w:val="none"/>
                <w:lang w:val="en-US" w:eastAsia="zh-CN" w:bidi="en-US"/>
              </w:rPr>
              <w:t>09</w:t>
            </w:r>
          </w:p>
        </w:tc>
        <w:tc>
          <w:tcPr>
            <w:tcW w:w="943" w:type="dxa"/>
            <w:tcBorders>
              <w:top w:val="nil"/>
              <w:left w:val="single" w:color="000000" w:sz="4" w:space="0"/>
              <w:bottom w:val="single" w:color="000000" w:sz="4" w:space="0"/>
              <w:right w:val="single" w:color="000000" w:sz="4" w:space="0"/>
            </w:tcBorders>
            <w:shd w:val="clear" w:color="auto" w:fill="auto"/>
            <w:noWrap w:val="0"/>
            <w:vAlign w:val="center"/>
          </w:tcPr>
          <w:p w14:paraId="7FC952AF">
            <w:pPr>
              <w:keepNext w:val="0"/>
              <w:keepLines w:val="0"/>
              <w:widowControl/>
              <w:suppressLineNumbers w:val="0"/>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宋体" w:cs="Times New Roman"/>
                <w:i w:val="0"/>
                <w:iCs w:val="0"/>
                <w:color w:val="000000"/>
                <w:kern w:val="0"/>
                <w:sz w:val="24"/>
                <w:szCs w:val="24"/>
                <w:u w:val="none"/>
                <w:lang w:val="en-US" w:eastAsia="zh-CN" w:bidi="ar"/>
              </w:rPr>
              <w:t>56.2</w:t>
            </w:r>
            <w:r>
              <w:rPr>
                <w:rFonts w:hint="eastAsia" w:ascii="Times New Roman" w:hAnsi="Times New Roman" w:cs="Times New Roman"/>
                <w:i w:val="0"/>
                <w:iCs w:val="0"/>
                <w:color w:val="000000"/>
                <w:kern w:val="0"/>
                <w:sz w:val="24"/>
                <w:szCs w:val="24"/>
                <w:u w:val="none"/>
                <w:lang w:val="en-US" w:eastAsia="zh-CN" w:bidi="ar"/>
              </w:rPr>
              <w:t>5</w:t>
            </w:r>
          </w:p>
        </w:tc>
        <w:tc>
          <w:tcPr>
            <w:tcW w:w="1434" w:type="dxa"/>
            <w:tcBorders>
              <w:top w:val="nil"/>
              <w:left w:val="single" w:color="000000" w:sz="4" w:space="0"/>
              <w:bottom w:val="single" w:color="000000" w:sz="4" w:space="0"/>
              <w:right w:val="single" w:color="000000" w:sz="4" w:space="0"/>
            </w:tcBorders>
            <w:noWrap w:val="0"/>
            <w:vAlign w:val="center"/>
          </w:tcPr>
          <w:p w14:paraId="65C31E64">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95.2</w:t>
            </w:r>
            <w:r>
              <w:rPr>
                <w:rFonts w:hint="eastAsia" w:eastAsia="仿宋" w:cs="Times New Roman"/>
                <w:b w:val="0"/>
                <w:bCs w:val="0"/>
                <w:color w:val="auto"/>
                <w:kern w:val="2"/>
                <w:sz w:val="24"/>
                <w:szCs w:val="24"/>
                <w:highlight w:val="none"/>
                <w:lang w:val="en-US" w:eastAsia="zh-CN" w:bidi="en-US"/>
              </w:rPr>
              <w:t>3</w:t>
            </w:r>
            <w:r>
              <w:rPr>
                <w:rFonts w:hint="default" w:ascii="Times New Roman" w:hAnsi="Times New Roman" w:eastAsia="仿宋" w:cs="Times New Roman"/>
                <w:b w:val="0"/>
                <w:bCs w:val="0"/>
                <w:color w:val="auto"/>
                <w:kern w:val="2"/>
                <w:sz w:val="24"/>
                <w:szCs w:val="24"/>
                <w:highlight w:val="none"/>
                <w:lang w:val="en-US" w:eastAsia="zh-CN" w:bidi="en-US"/>
              </w:rPr>
              <w:t>%</w:t>
            </w:r>
          </w:p>
        </w:tc>
      </w:tr>
      <w:tr w14:paraId="0F5F5C3F">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76F0085F">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2392" w:type="dxa"/>
            <w:tcBorders>
              <w:top w:val="nil"/>
              <w:left w:val="single" w:color="000000" w:sz="4" w:space="0"/>
              <w:bottom w:val="single" w:color="000000" w:sz="4" w:space="0"/>
              <w:right w:val="single" w:color="000000" w:sz="4" w:space="0"/>
            </w:tcBorders>
            <w:noWrap w:val="0"/>
            <w:vAlign w:val="center"/>
          </w:tcPr>
          <w:p w14:paraId="7DE59198">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基本预备费</w:t>
            </w:r>
          </w:p>
        </w:tc>
        <w:tc>
          <w:tcPr>
            <w:tcW w:w="1050" w:type="dxa"/>
            <w:tcBorders>
              <w:top w:val="nil"/>
              <w:left w:val="single" w:color="000000" w:sz="4" w:space="0"/>
              <w:bottom w:val="single" w:color="000000" w:sz="4" w:space="0"/>
              <w:right w:val="single" w:color="000000" w:sz="4" w:space="0"/>
            </w:tcBorders>
            <w:noWrap w:val="0"/>
            <w:vAlign w:val="center"/>
          </w:tcPr>
          <w:p w14:paraId="2B0B1F19">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2CC88F3A">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noWrap w:val="0"/>
            <w:vAlign w:val="center"/>
          </w:tcPr>
          <w:p w14:paraId="04FB049B">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943" w:type="dxa"/>
            <w:tcBorders>
              <w:top w:val="nil"/>
              <w:left w:val="single" w:color="000000" w:sz="4" w:space="0"/>
              <w:bottom w:val="single" w:color="000000" w:sz="4" w:space="0"/>
              <w:right w:val="single" w:color="000000" w:sz="4" w:space="0"/>
            </w:tcBorders>
            <w:shd w:val="clear" w:color="auto" w:fill="auto"/>
            <w:noWrap w:val="0"/>
            <w:vAlign w:val="center"/>
          </w:tcPr>
          <w:p w14:paraId="6D7C61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2.8</w:t>
            </w:r>
            <w:r>
              <w:rPr>
                <w:rFonts w:hint="eastAsia" w:ascii="Times New Roman" w:hAnsi="Times New Roman" w:cs="Times New Roman"/>
                <w:i w:val="0"/>
                <w:iCs w:val="0"/>
                <w:color w:val="000000"/>
                <w:kern w:val="0"/>
                <w:sz w:val="24"/>
                <w:szCs w:val="24"/>
                <w:u w:val="none"/>
                <w:lang w:val="en-US" w:eastAsia="zh-CN" w:bidi="ar"/>
              </w:rPr>
              <w:t>2</w:t>
            </w:r>
          </w:p>
        </w:tc>
        <w:tc>
          <w:tcPr>
            <w:tcW w:w="1434" w:type="dxa"/>
            <w:tcBorders>
              <w:top w:val="nil"/>
              <w:left w:val="single" w:color="000000" w:sz="4" w:space="0"/>
              <w:bottom w:val="single" w:color="000000" w:sz="4" w:space="0"/>
              <w:right w:val="single" w:color="000000" w:sz="4" w:space="0"/>
            </w:tcBorders>
            <w:noWrap w:val="0"/>
            <w:vAlign w:val="center"/>
          </w:tcPr>
          <w:p w14:paraId="3D0E032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eastAsia" w:ascii="Times New Roman" w:hAnsi="Times New Roman" w:eastAsia="仿宋" w:cs="Times New Roman"/>
                <w:b w:val="0"/>
                <w:bCs w:val="0"/>
                <w:color w:val="auto"/>
                <w:kern w:val="2"/>
                <w:sz w:val="24"/>
                <w:szCs w:val="24"/>
                <w:highlight w:val="none"/>
                <w:lang w:val="en-US" w:eastAsia="zh-CN" w:bidi="en-US"/>
              </w:rPr>
              <w:t>4.7</w:t>
            </w:r>
            <w:r>
              <w:rPr>
                <w:rFonts w:hint="eastAsia" w:eastAsia="仿宋" w:cs="Times New Roman"/>
                <w:b w:val="0"/>
                <w:bCs w:val="0"/>
                <w:color w:val="auto"/>
                <w:kern w:val="2"/>
                <w:sz w:val="24"/>
                <w:szCs w:val="24"/>
                <w:highlight w:val="none"/>
                <w:lang w:val="en-US" w:eastAsia="zh-CN" w:bidi="en-US"/>
              </w:rPr>
              <w:t>7</w:t>
            </w:r>
            <w:r>
              <w:rPr>
                <w:rFonts w:hint="eastAsia" w:ascii="Times New Roman" w:hAnsi="Times New Roman" w:eastAsia="仿宋" w:cs="Times New Roman"/>
                <w:b w:val="0"/>
                <w:bCs w:val="0"/>
                <w:color w:val="auto"/>
                <w:kern w:val="2"/>
                <w:sz w:val="24"/>
                <w:szCs w:val="24"/>
                <w:highlight w:val="none"/>
                <w:lang w:val="en-US" w:eastAsia="zh-CN" w:bidi="en-US"/>
              </w:rPr>
              <w:t>%</w:t>
            </w:r>
          </w:p>
        </w:tc>
      </w:tr>
      <w:tr w14:paraId="6ED66B8F">
        <w:tblPrEx>
          <w:tblCellMar>
            <w:top w:w="0" w:type="dxa"/>
            <w:left w:w="108" w:type="dxa"/>
            <w:bottom w:w="0" w:type="dxa"/>
            <w:right w:w="108" w:type="dxa"/>
          </w:tblCellMar>
        </w:tblPrEx>
        <w:trPr>
          <w:trHeight w:val="480" w:hRule="atLeast"/>
        </w:trPr>
        <w:tc>
          <w:tcPr>
            <w:tcW w:w="0" w:type="auto"/>
            <w:tcBorders>
              <w:top w:val="nil"/>
              <w:left w:val="single" w:color="000000" w:sz="4" w:space="0"/>
              <w:bottom w:val="single" w:color="000000" w:sz="4" w:space="0"/>
              <w:right w:val="single" w:color="000000" w:sz="4" w:space="0"/>
            </w:tcBorders>
            <w:noWrap w:val="0"/>
            <w:vAlign w:val="center"/>
          </w:tcPr>
          <w:p w14:paraId="5520FD66">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2392" w:type="dxa"/>
            <w:tcBorders>
              <w:top w:val="nil"/>
              <w:left w:val="single" w:color="000000" w:sz="4" w:space="0"/>
              <w:bottom w:val="single" w:color="000000" w:sz="4" w:space="0"/>
              <w:right w:val="single" w:color="000000" w:sz="4" w:space="0"/>
            </w:tcBorders>
            <w:noWrap w:val="0"/>
            <w:vAlign w:val="center"/>
          </w:tcPr>
          <w:p w14:paraId="0590D180">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静态投资</w:t>
            </w:r>
          </w:p>
        </w:tc>
        <w:tc>
          <w:tcPr>
            <w:tcW w:w="1050" w:type="dxa"/>
            <w:tcBorders>
              <w:top w:val="nil"/>
              <w:left w:val="single" w:color="000000" w:sz="4" w:space="0"/>
              <w:bottom w:val="single" w:color="000000" w:sz="4" w:space="0"/>
              <w:right w:val="single" w:color="000000" w:sz="4" w:space="0"/>
            </w:tcBorders>
            <w:noWrap w:val="0"/>
            <w:vAlign w:val="center"/>
          </w:tcPr>
          <w:p w14:paraId="4721CAB0">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9" w:type="dxa"/>
            <w:tcBorders>
              <w:top w:val="nil"/>
              <w:left w:val="single" w:color="000000" w:sz="4" w:space="0"/>
              <w:bottom w:val="single" w:color="000000" w:sz="4" w:space="0"/>
              <w:right w:val="single" w:color="000000" w:sz="4" w:space="0"/>
            </w:tcBorders>
            <w:noWrap w:val="0"/>
            <w:vAlign w:val="center"/>
          </w:tcPr>
          <w:p w14:paraId="615924EF">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1328" w:type="dxa"/>
            <w:tcBorders>
              <w:top w:val="nil"/>
              <w:left w:val="single" w:color="000000" w:sz="4" w:space="0"/>
              <w:bottom w:val="single" w:color="000000" w:sz="4" w:space="0"/>
              <w:right w:val="single" w:color="000000" w:sz="4" w:space="0"/>
            </w:tcBorders>
            <w:noWrap w:val="0"/>
            <w:vAlign w:val="center"/>
          </w:tcPr>
          <w:p w14:paraId="34B2269E">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p>
        </w:tc>
        <w:tc>
          <w:tcPr>
            <w:tcW w:w="943" w:type="dxa"/>
            <w:tcBorders>
              <w:top w:val="nil"/>
              <w:left w:val="single" w:color="000000" w:sz="4" w:space="0"/>
              <w:bottom w:val="single" w:color="000000" w:sz="4" w:space="0"/>
              <w:right w:val="single" w:color="000000" w:sz="4" w:space="0"/>
            </w:tcBorders>
            <w:shd w:val="clear" w:color="auto" w:fill="auto"/>
            <w:noWrap w:val="0"/>
            <w:vAlign w:val="center"/>
          </w:tcPr>
          <w:p w14:paraId="21DABE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59.07</w:t>
            </w:r>
          </w:p>
        </w:tc>
        <w:tc>
          <w:tcPr>
            <w:tcW w:w="1434" w:type="dxa"/>
            <w:tcBorders>
              <w:top w:val="nil"/>
              <w:left w:val="single" w:color="000000" w:sz="4" w:space="0"/>
              <w:bottom w:val="single" w:color="000000" w:sz="4" w:space="0"/>
              <w:right w:val="single" w:color="000000" w:sz="4" w:space="0"/>
            </w:tcBorders>
            <w:noWrap w:val="0"/>
            <w:vAlign w:val="center"/>
          </w:tcPr>
          <w:p w14:paraId="6651A8A7">
            <w:pPr>
              <w:widowControl/>
              <w:jc w:val="center"/>
              <w:textAlignment w:val="center"/>
              <w:rPr>
                <w:rFonts w:hint="default" w:ascii="Times New Roman" w:hAnsi="Times New Roman" w:eastAsia="仿宋" w:cs="Times New Roman"/>
                <w:b w:val="0"/>
                <w:bCs w:val="0"/>
                <w:color w:val="auto"/>
                <w:kern w:val="2"/>
                <w:sz w:val="24"/>
                <w:szCs w:val="24"/>
                <w:highlight w:val="none"/>
                <w:lang w:val="en-US" w:eastAsia="zh-CN" w:bidi="en-US"/>
              </w:rPr>
            </w:pPr>
            <w:r>
              <w:rPr>
                <w:rFonts w:hint="default" w:ascii="Times New Roman" w:hAnsi="Times New Roman" w:eastAsia="仿宋" w:cs="Times New Roman"/>
                <w:b w:val="0"/>
                <w:bCs w:val="0"/>
                <w:color w:val="auto"/>
                <w:kern w:val="2"/>
                <w:sz w:val="24"/>
                <w:szCs w:val="24"/>
                <w:highlight w:val="none"/>
                <w:lang w:val="en-US" w:eastAsia="zh-CN" w:bidi="en-US"/>
              </w:rPr>
              <w:t>100.00%</w:t>
            </w:r>
          </w:p>
        </w:tc>
      </w:tr>
      <w:bookmarkEnd w:id="35"/>
    </w:tbl>
    <w:p w14:paraId="78D7E0E8">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lang w:val="zh-CN"/>
        </w:rPr>
      </w:pPr>
      <w:bookmarkStart w:id="38" w:name="_Toc17486"/>
      <w:r>
        <w:rPr>
          <w:rFonts w:hint="eastAsia" w:ascii="Times New Roman" w:hAnsi="Times New Roman" w:eastAsia="仿宋" w:cs="Times New Roman"/>
          <w:b/>
          <w:color w:val="auto"/>
          <w:kern w:val="2"/>
          <w:sz w:val="28"/>
          <w:szCs w:val="28"/>
          <w:lang w:val="en-US" w:eastAsia="zh-CN" w:bidi="ar-SA"/>
        </w:rPr>
        <w:t>3.11</w:t>
      </w:r>
      <w:r>
        <w:rPr>
          <w:rFonts w:hint="eastAsia" w:ascii="Times New Roman" w:hAnsi="Times New Roman" w:eastAsia="仿宋" w:cs="Times New Roman"/>
          <w:b/>
          <w:color w:val="auto"/>
          <w:kern w:val="2"/>
          <w:sz w:val="28"/>
          <w:szCs w:val="28"/>
          <w:lang w:val="zh-CN" w:eastAsia="zh-CN" w:bidi="ar-SA"/>
        </w:rPr>
        <w:t xml:space="preserve"> </w:t>
      </w:r>
      <w:r>
        <w:rPr>
          <w:rFonts w:hint="default" w:ascii="Times New Roman" w:hAnsi="Times New Roman" w:eastAsia="仿宋" w:cs="Times New Roman"/>
          <w:color w:val="auto"/>
          <w:sz w:val="28"/>
          <w:szCs w:val="28"/>
          <w:highlight w:val="none"/>
          <w:lang w:val="zh-CN"/>
        </w:rPr>
        <w:t>资金来源</w:t>
      </w:r>
      <w:bookmarkEnd w:id="38"/>
    </w:p>
    <w:p w14:paraId="07C3145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项目建设所需资金由</w:t>
      </w:r>
      <w:r>
        <w:rPr>
          <w:rFonts w:hint="eastAsia" w:eastAsia="仿宋" w:cs="Times New Roman"/>
          <w:color w:val="auto"/>
          <w:kern w:val="0"/>
          <w:sz w:val="24"/>
          <w:szCs w:val="24"/>
          <w:highlight w:val="none"/>
          <w:lang w:val="en-US" w:eastAsia="zh-CN" w:bidi="ar-SA"/>
        </w:rPr>
        <w:t>市级</w:t>
      </w:r>
      <w:r>
        <w:rPr>
          <w:rFonts w:hint="default" w:ascii="Times New Roman" w:hAnsi="Times New Roman" w:eastAsia="仿宋" w:cs="Times New Roman"/>
          <w:color w:val="auto"/>
          <w:kern w:val="0"/>
          <w:sz w:val="24"/>
          <w:szCs w:val="24"/>
          <w:highlight w:val="none"/>
          <w:lang w:val="zh-CN" w:eastAsia="zh-CN" w:bidi="ar-SA"/>
        </w:rPr>
        <w:t>培育创建的“百千万工程”典型村资金</w:t>
      </w:r>
      <w:r>
        <w:rPr>
          <w:rFonts w:hint="eastAsia" w:eastAsia="仿宋" w:cs="Times New Roman"/>
          <w:color w:val="auto"/>
          <w:kern w:val="0"/>
          <w:sz w:val="24"/>
          <w:szCs w:val="24"/>
          <w:highlight w:val="none"/>
          <w:lang w:val="en-US" w:eastAsia="zh-CN" w:bidi="ar-SA"/>
        </w:rPr>
        <w:t>45万</w:t>
      </w:r>
      <w:r>
        <w:rPr>
          <w:rFonts w:hint="default" w:ascii="Times New Roman" w:hAnsi="Times New Roman" w:eastAsia="仿宋" w:cs="Times New Roman"/>
          <w:color w:val="auto"/>
          <w:kern w:val="0"/>
          <w:sz w:val="24"/>
          <w:szCs w:val="24"/>
          <w:highlight w:val="none"/>
          <w:lang w:val="zh-CN" w:eastAsia="zh-CN" w:bidi="ar-SA"/>
        </w:rPr>
        <w:t>，其余资金由建设单位自行统筹安排</w:t>
      </w:r>
      <w:r>
        <w:rPr>
          <w:rFonts w:hint="default" w:ascii="Times New Roman" w:hAnsi="Times New Roman" w:eastAsia="仿宋" w:cs="Times New Roman"/>
          <w:color w:val="auto"/>
          <w:kern w:val="0"/>
          <w:sz w:val="24"/>
          <w:szCs w:val="24"/>
          <w:highlight w:val="none"/>
          <w:lang w:val="en-US" w:eastAsia="zh-CN" w:bidi="ar-SA"/>
        </w:rPr>
        <w:t>。</w:t>
      </w:r>
    </w:p>
    <w:p w14:paraId="1BFD6F47">
      <w:pPr>
        <w:bidi w:val="0"/>
        <w:rPr>
          <w:rFonts w:hint="default" w:ascii="Times New Roman" w:hAnsi="Times New Roman" w:eastAsia="仿宋" w:cs="Times New Roman"/>
          <w:color w:val="auto"/>
          <w:highlight w:val="none"/>
        </w:rPr>
      </w:pPr>
    </w:p>
    <w:p w14:paraId="33A30894">
      <w:pPr>
        <w:rPr>
          <w:rFonts w:hint="default" w:ascii="Times New Roman" w:hAnsi="Times New Roman" w:eastAsia="仿宋" w:cs="Times New Roman"/>
          <w:b/>
          <w:bCs w:val="0"/>
          <w:color w:val="auto"/>
          <w:sz w:val="28"/>
          <w:szCs w:val="28"/>
          <w:highlight w:val="none"/>
        </w:rPr>
      </w:pPr>
      <w:bookmarkStart w:id="39" w:name="_Toc16937"/>
      <w:r>
        <w:rPr>
          <w:rFonts w:hint="default" w:ascii="Times New Roman" w:hAnsi="Times New Roman" w:eastAsia="仿宋" w:cs="Times New Roman"/>
          <w:b/>
          <w:bCs w:val="0"/>
          <w:color w:val="auto"/>
          <w:sz w:val="28"/>
          <w:szCs w:val="28"/>
          <w:highlight w:val="none"/>
        </w:rPr>
        <w:br w:type="page"/>
      </w:r>
    </w:p>
    <w:p w14:paraId="01F42FE3">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default" w:ascii="Times New Roman" w:hAnsi="Times New Roman" w:eastAsia="仿宋" w:cs="Times New Roman"/>
          <w:b/>
          <w:bCs w:val="0"/>
          <w:color w:val="auto"/>
          <w:sz w:val="28"/>
          <w:szCs w:val="28"/>
          <w:highlight w:val="none"/>
          <w:lang w:val="en-US" w:eastAsia="zh-CN"/>
        </w:rPr>
      </w:pPr>
      <w:bookmarkStart w:id="40" w:name="_Toc22576"/>
      <w:bookmarkStart w:id="41" w:name="_Toc30011"/>
      <w:r>
        <w:rPr>
          <w:rFonts w:hint="default" w:ascii="Times New Roman" w:hAnsi="Times New Roman" w:eastAsia="仿宋" w:cs="Times New Roman"/>
          <w:b/>
          <w:bCs w:val="0"/>
          <w:color w:val="auto"/>
          <w:sz w:val="28"/>
          <w:szCs w:val="28"/>
          <w:highlight w:val="none"/>
          <w:lang w:val="en-US" w:eastAsia="zh-CN"/>
        </w:rPr>
        <w:t>实施计划</w:t>
      </w:r>
      <w:bookmarkEnd w:id="39"/>
      <w:bookmarkEnd w:id="40"/>
      <w:bookmarkEnd w:id="41"/>
    </w:p>
    <w:p w14:paraId="0A989D70">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360" w:lineRule="auto"/>
        <w:ind w:leftChars="200"/>
        <w:textAlignment w:val="bottom"/>
        <w:rPr>
          <w:rFonts w:hint="eastAsia" w:ascii="Times New Roman" w:hAnsi="Times New Roman" w:eastAsia="仿宋" w:cs="Times New Roman"/>
          <w:color w:val="auto"/>
          <w:sz w:val="28"/>
          <w:szCs w:val="28"/>
          <w:highlight w:val="none"/>
          <w:lang w:val="en-US" w:eastAsia="zh-CN"/>
        </w:rPr>
      </w:pPr>
      <w:bookmarkStart w:id="42" w:name="_Toc5116"/>
      <w:bookmarkStart w:id="43" w:name="_Toc14726"/>
      <w:r>
        <w:rPr>
          <w:rFonts w:hint="eastAsia" w:ascii="Times New Roman" w:hAnsi="Times New Roman" w:eastAsia="仿宋" w:cs="Times New Roman"/>
          <w:color w:val="auto"/>
          <w:sz w:val="28"/>
          <w:szCs w:val="28"/>
          <w:highlight w:val="none"/>
          <w:lang w:val="en-US" w:eastAsia="zh-CN"/>
        </w:rPr>
        <w:t>4.1 指导思想</w:t>
      </w:r>
      <w:bookmarkEnd w:id="42"/>
    </w:p>
    <w:p w14:paraId="2DA1847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全面贯彻党的十九大精神，以习近平新时代中国特色社会主义思想为指导，紧紧围绕统筹推进“五位一体”总体布局和协调推进“四个全面”战略布局，坚持以人民为中心，牢固树立和贯彻落实新发展理念，坚持农业农村优先发展，坚持绿水青山就是金山银山，坚持城乡统筹、生产生活生态统筹，遵循乡村发展规律，对接污染防治和精准脱贫攻坚战，以建设美丽宜居村庄为导向，以农村垃圾、污水治理和村容村貌提升为主攻方向，动员各方力量，整合各种资源，强化各项措施，加快补齐我省农村人居环境短板，打好乡村振兴的第一仗，逐步解决城乡发展不平衡、农村发展不充分的矛盾，增强农民群众获得感和幸福感，全面建成小康社会，建设富饶美丽幸福新农村。</w:t>
      </w:r>
    </w:p>
    <w:p w14:paraId="31748741">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360" w:lineRule="auto"/>
        <w:ind w:leftChars="200"/>
        <w:textAlignment w:val="bottom"/>
        <w:rPr>
          <w:rFonts w:hint="eastAsia" w:ascii="Times New Roman" w:hAnsi="Times New Roman" w:eastAsia="仿宋" w:cs="Times New Roman"/>
          <w:color w:val="auto"/>
          <w:sz w:val="28"/>
          <w:szCs w:val="28"/>
          <w:highlight w:val="none"/>
          <w:lang w:val="en-US" w:eastAsia="zh-CN"/>
        </w:rPr>
      </w:pPr>
      <w:bookmarkStart w:id="44" w:name="_Toc19715"/>
      <w:r>
        <w:rPr>
          <w:rFonts w:hint="eastAsia" w:ascii="Times New Roman" w:hAnsi="Times New Roman" w:eastAsia="仿宋" w:cs="Times New Roman"/>
          <w:color w:val="auto"/>
          <w:sz w:val="28"/>
          <w:szCs w:val="28"/>
          <w:highlight w:val="none"/>
          <w:lang w:val="en-US" w:eastAsia="zh-CN"/>
        </w:rPr>
        <w:t>4.2 基本原则</w:t>
      </w:r>
      <w:bookmarkEnd w:id="44"/>
    </w:p>
    <w:p w14:paraId="2907505F">
      <w:pPr>
        <w:pStyle w:val="35"/>
        <w:keepNext w:val="0"/>
        <w:keepLines w:val="0"/>
        <w:pageBreakBefore w:val="0"/>
        <w:widowControl w:val="0"/>
        <w:numPr>
          <w:ilvl w:val="2"/>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45" w:name="_Toc8517"/>
      <w:r>
        <w:rPr>
          <w:rFonts w:hint="eastAsia" w:ascii="Times New Roman" w:hAnsi="Times New Roman" w:eastAsia="仿宋" w:cs="Times New Roman"/>
          <w:color w:val="auto"/>
          <w:sz w:val="28"/>
          <w:szCs w:val="28"/>
          <w:highlight w:val="none"/>
          <w:lang w:val="en-US" w:eastAsia="zh-CN"/>
        </w:rPr>
        <w:t>4.2.1以人为本，共建共享</w:t>
      </w:r>
      <w:bookmarkEnd w:id="45"/>
    </w:p>
    <w:p w14:paraId="5936364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尊重村民主体地位，发挥村民主体作用，尊重群众意愿，依靠群众力量，充分发挥党员示范带头作用，建立政府、村集体、村民等各方共谋、共建、共管、共评、共享机制，动员村民投身人居环境整治，共享乡村振兴成果。</w:t>
      </w:r>
    </w:p>
    <w:p w14:paraId="5D7CC5D3">
      <w:pPr>
        <w:pStyle w:val="35"/>
        <w:keepNext w:val="0"/>
        <w:keepLines w:val="0"/>
        <w:pageBreakBefore w:val="0"/>
        <w:widowControl w:val="0"/>
        <w:numPr>
          <w:ilvl w:val="2"/>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46" w:name="_Toc16362"/>
      <w:r>
        <w:rPr>
          <w:rFonts w:hint="eastAsia" w:ascii="Times New Roman" w:hAnsi="Times New Roman" w:eastAsia="仿宋" w:cs="Times New Roman"/>
          <w:color w:val="auto"/>
          <w:sz w:val="28"/>
          <w:szCs w:val="28"/>
          <w:highlight w:val="none"/>
          <w:lang w:val="en-US" w:eastAsia="zh-CN"/>
        </w:rPr>
        <w:t>4.2.2 因地制宜，分类推进</w:t>
      </w:r>
      <w:bookmarkEnd w:id="46"/>
    </w:p>
    <w:p w14:paraId="2C084A8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充分考虑县区资源禀赋和发展情况，既尽力而为，又量力而行。结合全面建成小康社会有关要求，确定重点整治任务、整治目标、建设标准和技术模式，坚持先易后难、规范标准、示范引领、全面推进，不搞“一刀切”。注重实际效果，杜绝形象工程、政绩工程。</w:t>
      </w:r>
    </w:p>
    <w:p w14:paraId="0F6EADA6">
      <w:pPr>
        <w:pStyle w:val="35"/>
        <w:keepNext w:val="0"/>
        <w:keepLines w:val="0"/>
        <w:pageBreakBefore w:val="0"/>
        <w:widowControl w:val="0"/>
        <w:numPr>
          <w:ilvl w:val="2"/>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47" w:name="_Toc1393"/>
      <w:r>
        <w:rPr>
          <w:rFonts w:hint="eastAsia" w:ascii="Times New Roman" w:hAnsi="Times New Roman" w:eastAsia="仿宋" w:cs="Times New Roman"/>
          <w:color w:val="auto"/>
          <w:sz w:val="28"/>
          <w:szCs w:val="28"/>
          <w:highlight w:val="none"/>
          <w:lang w:val="en-US" w:eastAsia="zh-CN"/>
        </w:rPr>
        <w:t>4.2.3 突出保护，留住乡愁</w:t>
      </w:r>
      <w:bookmarkEnd w:id="47"/>
    </w:p>
    <w:p w14:paraId="73E1960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统筹兼顾农村田园风貌保护和生态环境治理，慎砍树、禁挖山、不填湖、少拆房，彰显乡村、自然、本土特色。促进人与自然和谐共生、村庄形态与自然环境相得益彰。</w:t>
      </w:r>
    </w:p>
    <w:p w14:paraId="03A5451A">
      <w:pPr>
        <w:pStyle w:val="35"/>
        <w:keepNext w:val="0"/>
        <w:keepLines w:val="0"/>
        <w:pageBreakBefore w:val="0"/>
        <w:widowControl w:val="0"/>
        <w:numPr>
          <w:ilvl w:val="2"/>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lang w:val="en-US" w:eastAsia="zh-CN"/>
        </w:rPr>
      </w:pPr>
      <w:bookmarkStart w:id="48" w:name="_Toc13678"/>
      <w:r>
        <w:rPr>
          <w:rFonts w:hint="eastAsia" w:ascii="Times New Roman" w:hAnsi="Times New Roman" w:eastAsia="仿宋" w:cs="Times New Roman"/>
          <w:color w:val="auto"/>
          <w:sz w:val="28"/>
          <w:szCs w:val="28"/>
          <w:highlight w:val="none"/>
          <w:lang w:val="en-US" w:eastAsia="zh-CN"/>
        </w:rPr>
        <w:t>4.2.4 注重长效，建管并重</w:t>
      </w:r>
      <w:bookmarkEnd w:id="48"/>
    </w:p>
    <w:p w14:paraId="6538E8B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坚持先建机制、后建工程，合理确定投融资模式和运行管护方式，加大农村基础设施和公共服务设施建设力度，补齐短板。建立健全长效管护机制，强化日常检查，确保设施长期稳定运行。</w:t>
      </w:r>
    </w:p>
    <w:p w14:paraId="1BFA5793">
      <w:pPr>
        <w:pStyle w:val="35"/>
        <w:keepNext w:val="0"/>
        <w:keepLines w:val="0"/>
        <w:pageBreakBefore w:val="0"/>
        <w:widowControl w:val="0"/>
        <w:numPr>
          <w:ilvl w:val="2"/>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49" w:name="_Toc13550"/>
      <w:r>
        <w:rPr>
          <w:rFonts w:hint="eastAsia" w:ascii="Times New Roman" w:hAnsi="Times New Roman" w:eastAsia="仿宋" w:cs="Times New Roman"/>
          <w:color w:val="auto"/>
          <w:sz w:val="28"/>
          <w:szCs w:val="28"/>
          <w:highlight w:val="none"/>
          <w:lang w:val="en-US" w:eastAsia="zh-CN"/>
        </w:rPr>
        <w:t>4.2.5 落实责任，形成合力</w:t>
      </w:r>
      <w:bookmarkEnd w:id="49"/>
    </w:p>
    <w:p w14:paraId="7FF26E0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按照“县负总责、乡镇抓落实”的原则，县级负责全面统筹推进，县直各部门按职责要求做好本行业的统筹、协调、督促、指导等工作；各乡镇和各村是责任主体和实施主体，全面组织实施农村人居环境整治工作。</w:t>
      </w:r>
    </w:p>
    <w:p w14:paraId="67655E98">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50" w:name="_Toc5237"/>
      <w:r>
        <w:rPr>
          <w:rFonts w:hint="eastAsia" w:ascii="Times New Roman" w:hAnsi="Times New Roman" w:eastAsia="仿宋" w:cs="Times New Roman"/>
          <w:color w:val="auto"/>
          <w:sz w:val="28"/>
          <w:szCs w:val="28"/>
          <w:highlight w:val="none"/>
          <w:lang w:val="en-US" w:eastAsia="zh-CN"/>
        </w:rPr>
        <w:t>4.3 总体目标</w:t>
      </w:r>
      <w:bookmarkEnd w:id="50"/>
    </w:p>
    <w:p w14:paraId="7A85DD0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1、扎实推进农村厕所革命；</w:t>
      </w:r>
    </w:p>
    <w:p w14:paraId="124DF1C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2、加快推进农村生活污水治理；</w:t>
      </w:r>
    </w:p>
    <w:p w14:paraId="1ED20A7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3、全面提升农村生活垃圾治理水平；</w:t>
      </w:r>
    </w:p>
    <w:p w14:paraId="5D2A40B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4、推动村容村貌整体提升；</w:t>
      </w:r>
    </w:p>
    <w:p w14:paraId="6B99B29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5、建立健全长效管护机制。</w:t>
      </w:r>
    </w:p>
    <w:p w14:paraId="1466BE7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6、充分发挥农民主体作用。</w:t>
      </w:r>
    </w:p>
    <w:p w14:paraId="3EC1F37D">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51" w:name="_Toc30332"/>
      <w:r>
        <w:rPr>
          <w:rFonts w:hint="eastAsia" w:ascii="Times New Roman" w:hAnsi="Times New Roman" w:eastAsia="仿宋" w:cs="Times New Roman"/>
          <w:color w:val="auto"/>
          <w:sz w:val="28"/>
          <w:szCs w:val="28"/>
          <w:highlight w:val="none"/>
          <w:lang w:val="en-US" w:eastAsia="zh-CN"/>
        </w:rPr>
        <w:t>4.4 指标体系</w:t>
      </w:r>
      <w:bookmarkEnd w:id="51"/>
    </w:p>
    <w:p w14:paraId="18A8130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1、扎实推进农村厕所革命指标体系</w:t>
      </w:r>
    </w:p>
    <w:p w14:paraId="5F44376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（1）逐步普及农村卫生厕所。</w:t>
      </w:r>
    </w:p>
    <w:p w14:paraId="4A5628F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（2）切实提高改厕质量。</w:t>
      </w:r>
    </w:p>
    <w:p w14:paraId="688C31D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（3）加强厕所粪污无害化处理与资源化利用。</w:t>
      </w:r>
    </w:p>
    <w:p w14:paraId="187E8D4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2、加快推进农村生活污水治理指标体系</w:t>
      </w:r>
    </w:p>
    <w:p w14:paraId="356E0E7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（1）分区分类推进治理。</w:t>
      </w:r>
    </w:p>
    <w:p w14:paraId="0DC5CE7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（2）加强农村黑臭水体治理。</w:t>
      </w:r>
    </w:p>
    <w:p w14:paraId="4E4BF2C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3、全面提升农村生活垃圾治理水平指标体系</w:t>
      </w:r>
    </w:p>
    <w:p w14:paraId="111B22D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（1）健全生活垃圾收运处置体系。</w:t>
      </w:r>
    </w:p>
    <w:p w14:paraId="069751B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（2）推进农村生活垃圾分类减量与利用。</w:t>
      </w:r>
    </w:p>
    <w:p w14:paraId="1B0FC8E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4、推动村容村貌整体提升指标体系</w:t>
      </w:r>
    </w:p>
    <w:p w14:paraId="70BD5B6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（1）改善村庄公共环境。</w:t>
      </w:r>
    </w:p>
    <w:p w14:paraId="7F733D35">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（2）推进乡村绿化美化。</w:t>
      </w:r>
    </w:p>
    <w:p w14:paraId="6A97E97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（3）加强乡村风貌引导。</w:t>
      </w:r>
    </w:p>
    <w:p w14:paraId="4B029FC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5、建立健全长效管护机制指标体系</w:t>
      </w:r>
    </w:p>
    <w:p w14:paraId="66A80B8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（1）持续开展村庄清洁行动。</w:t>
      </w:r>
    </w:p>
    <w:p w14:paraId="4BB55EA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（2）健全农村人居环境长效管护机制。</w:t>
      </w:r>
    </w:p>
    <w:p w14:paraId="31423C7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6、充分发挥农民主体作用</w:t>
      </w:r>
    </w:p>
    <w:p w14:paraId="11A58F5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（1）强化基层组织作用。</w:t>
      </w:r>
    </w:p>
    <w:p w14:paraId="0E05735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（2）普及文明健康理念。</w:t>
      </w:r>
    </w:p>
    <w:p w14:paraId="4486F5B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（3）完善村规民约。</w:t>
      </w:r>
    </w:p>
    <w:p w14:paraId="268F4153">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52" w:name="_Toc16004"/>
      <w:r>
        <w:rPr>
          <w:rFonts w:hint="eastAsia" w:ascii="Times New Roman" w:hAnsi="Times New Roman" w:eastAsia="仿宋" w:cs="Times New Roman"/>
          <w:color w:val="auto"/>
          <w:sz w:val="28"/>
          <w:szCs w:val="28"/>
          <w:highlight w:val="none"/>
          <w:lang w:val="en-US" w:eastAsia="zh-CN"/>
        </w:rPr>
        <w:t>4.5 重点整治任务实施方案</w:t>
      </w:r>
      <w:bookmarkEnd w:id="52"/>
    </w:p>
    <w:p w14:paraId="5AE33A1B">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val="0"/>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4.5.1 道路硬化工程</w:t>
      </w:r>
    </w:p>
    <w:p w14:paraId="30A5280D">
      <w:pPr>
        <w:bidi w:val="0"/>
        <w:rPr>
          <w:rFonts w:hint="eastAsia"/>
          <w:lang w:val="en-US" w:eastAsia="zh-CN"/>
        </w:rPr>
      </w:pPr>
      <w:r>
        <w:rPr>
          <w:rFonts w:hint="eastAsia"/>
          <w:lang w:val="en-US" w:eastAsia="zh-CN"/>
        </w:rPr>
        <w:drawing>
          <wp:inline distT="0" distB="0" distL="114300" distR="114300">
            <wp:extent cx="5581650" cy="2722245"/>
            <wp:effectExtent l="0" t="0" r="0" b="1905"/>
            <wp:docPr id="15" name="图片 15" descr="51ae489f6ed1d14d634414806b9c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1ae489f6ed1d14d634414806b9c8a9"/>
                    <pic:cNvPicPr>
                      <a:picLocks noChangeAspect="1"/>
                    </pic:cNvPicPr>
                  </pic:nvPicPr>
                  <pic:blipFill>
                    <a:blip r:embed="rId9"/>
                    <a:stretch>
                      <a:fillRect/>
                    </a:stretch>
                  </pic:blipFill>
                  <pic:spPr>
                    <a:xfrm>
                      <a:off x="0" y="0"/>
                      <a:ext cx="5581650" cy="2722245"/>
                    </a:xfrm>
                    <a:prstGeom prst="rect">
                      <a:avLst/>
                    </a:prstGeom>
                  </pic:spPr>
                </pic:pic>
              </a:graphicData>
            </a:graphic>
          </wp:inline>
        </w:drawing>
      </w:r>
    </w:p>
    <w:p w14:paraId="5CF258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highlight w:val="none"/>
          <w:lang w:val="en-US" w:eastAsia="zh-CN"/>
        </w:rPr>
      </w:pPr>
      <w:r>
        <w:rPr>
          <w:rFonts w:hint="eastAsia" w:ascii="Times New Roman" w:hAnsi="Times New Roman" w:eastAsia="仿宋" w:cs="Times New Roman"/>
          <w:b/>
          <w:bCs/>
          <w:color w:val="auto"/>
          <w:highlight w:val="none"/>
          <w:lang w:val="en-US" w:eastAsia="zh-CN"/>
        </w:rPr>
        <w:t>图4.5.1-1道路现状图</w:t>
      </w:r>
    </w:p>
    <w:p w14:paraId="472ABDDC">
      <w:pPr>
        <w:bidi w:val="0"/>
        <w:rPr>
          <w:rFonts w:hint="eastAsia"/>
          <w:lang w:val="en-US" w:eastAsia="zh-CN"/>
        </w:rPr>
      </w:pPr>
      <w:r>
        <w:rPr>
          <w:rFonts w:hint="eastAsia"/>
          <w:lang w:val="en-US" w:eastAsia="zh-CN"/>
        </w:rPr>
        <w:drawing>
          <wp:inline distT="0" distB="0" distL="114300" distR="114300">
            <wp:extent cx="5619115" cy="2621915"/>
            <wp:effectExtent l="0" t="0" r="635" b="6985"/>
            <wp:docPr id="16" name="图片 16" descr="c4097655ff69b4f2deb47808ed7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4097655ff69b4f2deb47808ed74361"/>
                    <pic:cNvPicPr>
                      <a:picLocks noChangeAspect="1"/>
                    </pic:cNvPicPr>
                  </pic:nvPicPr>
                  <pic:blipFill>
                    <a:blip r:embed="rId10"/>
                    <a:stretch>
                      <a:fillRect/>
                    </a:stretch>
                  </pic:blipFill>
                  <pic:spPr>
                    <a:xfrm>
                      <a:off x="0" y="0"/>
                      <a:ext cx="5619115" cy="2621915"/>
                    </a:xfrm>
                    <a:prstGeom prst="rect">
                      <a:avLst/>
                    </a:prstGeom>
                  </pic:spPr>
                </pic:pic>
              </a:graphicData>
            </a:graphic>
          </wp:inline>
        </w:drawing>
      </w:r>
    </w:p>
    <w:p w14:paraId="0A8173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color w:val="auto"/>
          <w:kern w:val="2"/>
          <w:sz w:val="28"/>
          <w:szCs w:val="28"/>
          <w:lang w:val="en-US" w:eastAsia="zh-CN" w:bidi="ar-SA"/>
        </w:rPr>
      </w:pPr>
      <w:r>
        <w:rPr>
          <w:rFonts w:hint="eastAsia" w:ascii="Times New Roman" w:hAnsi="Times New Roman" w:eastAsia="仿宋" w:cs="Times New Roman"/>
          <w:b/>
          <w:bCs/>
          <w:color w:val="auto"/>
          <w:highlight w:val="none"/>
          <w:lang w:val="en-US" w:eastAsia="zh-CN"/>
        </w:rPr>
        <w:t>图4.5.1-2道路示意图</w:t>
      </w:r>
    </w:p>
    <w:p w14:paraId="692E8CEA">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现状分析及建设对策：</w:t>
      </w:r>
    </w:p>
    <w:p w14:paraId="0084111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经过现场踏勘及分析，村庄现状道路大部分已实现硬底化，部分村道未硬化。道路硬化工程包括巷道的硬底化。</w:t>
      </w:r>
    </w:p>
    <w:p w14:paraId="0CD337D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建设对策：</w:t>
      </w:r>
    </w:p>
    <w:p w14:paraId="14286A9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1、拟建新的村庄交通性道路系统，完成对道路的硬化延长，并整治周边环境；形成更完整的村庄道路系统。</w:t>
      </w:r>
    </w:p>
    <w:p w14:paraId="12B09FF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（1）尽端路：在用地条件允许的情况下，对所标示的尽端路进行疏通和延长，使其与现有村道接驳，形成系统，确保道路通畅。</w:t>
      </w:r>
    </w:p>
    <w:p w14:paraId="20EAB27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（2）狭窄路：对现状路面狭窄的道路进行拓宽，宽度；对于因民居、厂房等建构筑物阻挡而暂时不能拓宽的路段，划定4米道路控制线，逐步实现扩宽。</w:t>
      </w:r>
    </w:p>
    <w:p w14:paraId="1748584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具体施工建设要求：</w:t>
      </w:r>
    </w:p>
    <w:p w14:paraId="33E04A7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道路面层材料：道路面层采用设接缝的普通混凝土。当面层板形状不规则，路面结构下埋有地下设施，软土地基、填挖交界段的路基等有可能产生不均匀沉降时，采用设置接缝的钢筋混凝土面层。混凝土强度应≥C25。道路面层厚度：道路面层厚度不小于10cm，横向接缝的间距4～6m。</w:t>
      </w:r>
    </w:p>
    <w:p w14:paraId="4156F36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路肩处理：路肩铺面结构应具有一定的承载能力，其结构层组合和材料选用应与道路相协调，并保证进入路面结构中的水的排除。路肩水泥混凝土面层的厚度采用与行车道面层等厚，其基层宜与行车道基层相同。选用薄面层时，其厚度不宜小于150mm，基层应采用开40级配粒料。</w:t>
      </w:r>
    </w:p>
    <w:p w14:paraId="49B26F8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路面排水：本次设计对村庄道路进行硬底化或拓宽的建设过程中同时敷设道路排水管道，面层采用混凝土，道路路面应设置双向横坡，排至两侧下水沟，坡度为1％～2％。路肩铺面的横向坡度值宜比行车道路面的横坡值大1％～2％。</w:t>
      </w:r>
    </w:p>
    <w:p w14:paraId="50A2E66D">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val="0"/>
        <w:snapToGrid w:val="0"/>
        <w:spacing w:line="420" w:lineRule="exact"/>
        <w:ind w:leftChars="200"/>
        <w:textAlignment w:val="bottom"/>
        <w:rPr>
          <w:rFonts w:hint="eastAsia" w:ascii="Times New Roman" w:hAnsi="Times New Roman" w:eastAsia="仿宋" w:cs="Times New Roman"/>
          <w:color w:val="auto"/>
          <w:sz w:val="28"/>
          <w:szCs w:val="28"/>
          <w:highlight w:val="none"/>
          <w:lang w:val="en-US" w:eastAsia="zh-CN"/>
        </w:rPr>
      </w:pPr>
      <w:bookmarkStart w:id="53" w:name="_Toc11945"/>
      <w:r>
        <w:rPr>
          <w:rFonts w:hint="eastAsia" w:ascii="Times New Roman" w:hAnsi="Times New Roman" w:eastAsia="仿宋" w:cs="Times New Roman"/>
          <w:color w:val="auto"/>
          <w:sz w:val="28"/>
          <w:szCs w:val="28"/>
          <w:highlight w:val="none"/>
          <w:lang w:val="en-US" w:eastAsia="zh-CN"/>
        </w:rPr>
        <w:t>4.5.2 村庄规划编制</w:t>
      </w:r>
      <w:bookmarkEnd w:id="53"/>
    </w:p>
    <w:p w14:paraId="39608C9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村镇建设规划是在村镇总体规划的指导下对镇区或村庄建设进行的具体安排，分为镇区建设规划和村庄建设规划。</w:t>
      </w:r>
    </w:p>
    <w:p w14:paraId="73AFF8D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村镇建设规划的任务是：以村镇总体规划为依据，确定镇区或村庄的性质和发展方向，预测人口和用地规模、结构，进行用地布局，合理配置各项基础设施和主要公共建筑，安排主要建设项目的时间顺序，并具体落实近期建设项目。</w:t>
      </w:r>
    </w:p>
    <w:p w14:paraId="3CE09B7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镇区建设规划应当包括下列内容：</w:t>
      </w:r>
    </w:p>
    <w:p w14:paraId="6CC59D6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1、在分析土地资源状况、建设用地现状和经济社会发展需要的基础上，根据《村镇规划标准》确定人均建设用地指标，计算用地总量，再确定各项用地的构成比例和具体数量；</w:t>
      </w:r>
    </w:p>
    <w:p w14:paraId="692B3465">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2、进行用地布局，确定居住、公共建筑、生产、公用工程、道路交通系统、仓储、绿地等建筑与设施建设用地的空间布局，做到联系方便、分工明确，划清各项不同使用性质用地的界线；</w:t>
      </w:r>
    </w:p>
    <w:p w14:paraId="29A0A6C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3、根据村镇总体规划提出的原则要求，对规划范围的供水、排水、供热、供电、电讯、燃气等设施及其工程管线进行具体安排，按照各专业标准规定，确定空中线路、地下管线的走向与布置，并进行综合协调；</w:t>
      </w:r>
    </w:p>
    <w:p w14:paraId="76B3D7C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4、确定旧镇区改造和用地调整的原则、方法和步骤；</w:t>
      </w:r>
    </w:p>
    <w:p w14:paraId="616E244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5、对中心地区和其他重要地段的建筑体量、体型、色彩提出原则性要求；</w:t>
      </w:r>
    </w:p>
    <w:p w14:paraId="1967929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6、确定道路红线宽度、断面形式和控制点坐标标高，进行竖向设计，保证地面排水顺利，尽量减少土石方量；</w:t>
      </w:r>
    </w:p>
    <w:p w14:paraId="10CF1FC6">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7、综合安排环保和防灾等方面和设施；</w:t>
      </w:r>
    </w:p>
    <w:p w14:paraId="45B90C6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8、编制镇区建设规划。</w:t>
      </w:r>
    </w:p>
    <w:p w14:paraId="252F5DB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镇区近期建设规划要达到直接指导建设或工程设计的深度。建设项目应当落实到指定范围，有四角坐标、控制标高，示意性平面；道路或公用工程设施要标有控制点坐标、标高，并说明各项目的规划要求。</w:t>
      </w:r>
    </w:p>
    <w:p w14:paraId="29BB4C2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eastAsia" w:ascii="Times New Roman" w:hAnsi="Times New Roman" w:eastAsia="仿宋" w:cs="Times New Roman"/>
          <w:b/>
          <w:color w:val="auto"/>
          <w:kern w:val="2"/>
          <w:sz w:val="28"/>
          <w:szCs w:val="28"/>
          <w:lang w:val="en-US" w:eastAsia="zh-CN" w:bidi="ar-SA"/>
        </w:rPr>
      </w:pPr>
      <w:r>
        <w:rPr>
          <w:rFonts w:hint="eastAsia" w:ascii="Times New Roman" w:hAnsi="Times New Roman" w:eastAsia="仿宋" w:cs="Times New Roman"/>
          <w:color w:val="auto"/>
          <w:kern w:val="0"/>
          <w:sz w:val="24"/>
          <w:szCs w:val="24"/>
          <w:highlight w:val="none"/>
          <w:lang w:val="en-US" w:eastAsia="zh-CN" w:bidi="ar-SA"/>
        </w:rPr>
        <w:t>村镇建设规划的期限一般为十年至二十年，宜与总体规划一致。村镇近期建设规划的期限一般为三年至五年。第二十五条镇区建设规划的成果应当包括图纸与文字资料两部分。</w:t>
      </w:r>
    </w:p>
    <w:p w14:paraId="67596D83">
      <w:pPr>
        <w:pStyle w:val="34"/>
        <w:keepNext w:val="0"/>
        <w:keepLines w:val="0"/>
        <w:pageBreakBefore w:val="0"/>
        <w:widowControl w:val="0"/>
        <w:numPr>
          <w:ilvl w:val="1"/>
          <w:numId w:val="0"/>
        </w:numPr>
        <w:tabs>
          <w:tab w:val="clear" w:pos="420"/>
        </w:tabs>
        <w:kinsoku/>
        <w:wordWrap/>
        <w:overflowPunct/>
        <w:topLinePunct w:val="0"/>
        <w:autoSpaceDE/>
        <w:autoSpaceDN/>
        <w:bidi w:val="0"/>
        <w:adjustRightInd w:val="0"/>
        <w:snapToGrid w:val="0"/>
        <w:spacing w:line="420" w:lineRule="exact"/>
        <w:ind w:left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 xml:space="preserve">4.6 </w:t>
      </w:r>
      <w:r>
        <w:rPr>
          <w:rFonts w:hint="default" w:ascii="Times New Roman" w:hAnsi="Times New Roman" w:eastAsia="仿宋" w:cs="Times New Roman"/>
          <w:color w:val="auto"/>
          <w:sz w:val="28"/>
          <w:szCs w:val="28"/>
          <w:highlight w:val="none"/>
        </w:rPr>
        <w:t>实施计划</w:t>
      </w:r>
      <w:bookmarkEnd w:id="43"/>
    </w:p>
    <w:p w14:paraId="7A8CA215">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项目计划202</w:t>
      </w:r>
      <w:r>
        <w:rPr>
          <w:rFonts w:hint="eastAsia" w:ascii="Times New Roman" w:hAnsi="Times New Roman"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en-US" w:eastAsia="zh-CN" w:bidi="ar-SA"/>
        </w:rPr>
        <w:t>年</w:t>
      </w:r>
      <w:r>
        <w:rPr>
          <w:rFonts w:hint="eastAsia" w:eastAsia="仿宋" w:cs="Times New Roman"/>
          <w:color w:val="auto"/>
          <w:kern w:val="0"/>
          <w:sz w:val="24"/>
          <w:szCs w:val="24"/>
          <w:highlight w:val="none"/>
          <w:lang w:val="en-US" w:eastAsia="zh-CN" w:bidi="ar-SA"/>
        </w:rPr>
        <w:t>4</w:t>
      </w:r>
      <w:r>
        <w:rPr>
          <w:rFonts w:hint="default" w:ascii="Times New Roman" w:hAnsi="Times New Roman" w:eastAsia="仿宋" w:cs="Times New Roman"/>
          <w:color w:val="auto"/>
          <w:kern w:val="0"/>
          <w:sz w:val="24"/>
          <w:szCs w:val="24"/>
          <w:highlight w:val="none"/>
          <w:lang w:val="en-US" w:eastAsia="zh-CN" w:bidi="ar-SA"/>
        </w:rPr>
        <w:t>月底前完成前期工作，202</w:t>
      </w:r>
      <w:r>
        <w:rPr>
          <w:rFonts w:hint="eastAsia" w:ascii="Times New Roman" w:hAnsi="Times New Roman"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en-US" w:eastAsia="zh-CN" w:bidi="ar-SA"/>
        </w:rPr>
        <w:t>年</w:t>
      </w:r>
      <w:r>
        <w:rPr>
          <w:rFonts w:hint="eastAsia"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en-US" w:eastAsia="zh-CN" w:bidi="ar-SA"/>
        </w:rPr>
        <w:t>月初开工建设，202</w:t>
      </w:r>
      <w:r>
        <w:rPr>
          <w:rFonts w:hint="eastAsia" w:ascii="Times New Roman" w:hAnsi="Times New Roman"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en-US" w:eastAsia="zh-CN" w:bidi="ar-SA"/>
        </w:rPr>
        <w:t>年</w:t>
      </w:r>
      <w:r>
        <w:rPr>
          <w:rFonts w:hint="eastAsia" w:eastAsia="仿宋" w:cs="Times New Roman"/>
          <w:color w:val="auto"/>
          <w:kern w:val="0"/>
          <w:sz w:val="24"/>
          <w:szCs w:val="24"/>
          <w:highlight w:val="none"/>
          <w:lang w:val="en-US" w:eastAsia="zh-CN" w:bidi="ar-SA"/>
        </w:rPr>
        <w:t>7</w:t>
      </w:r>
      <w:r>
        <w:rPr>
          <w:rFonts w:hint="default" w:ascii="Times New Roman" w:hAnsi="Times New Roman" w:eastAsia="仿宋" w:cs="Times New Roman"/>
          <w:color w:val="auto"/>
          <w:kern w:val="0"/>
          <w:sz w:val="24"/>
          <w:szCs w:val="24"/>
          <w:highlight w:val="none"/>
          <w:lang w:val="en-US" w:eastAsia="zh-CN" w:bidi="ar-SA"/>
        </w:rPr>
        <w:t>月完成验收，施工期共3个月。</w:t>
      </w:r>
    </w:p>
    <w:p w14:paraId="60F8DD4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具体实施计划横道图如下：</w:t>
      </w:r>
    </w:p>
    <w:p w14:paraId="315C4874">
      <w:pP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br w:type="page"/>
      </w:r>
    </w:p>
    <w:p w14:paraId="305FDBBB">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kern w:val="0"/>
          <w:sz w:val="24"/>
          <w:szCs w:val="24"/>
          <w:highlight w:val="none"/>
          <w:lang w:val="en-US" w:eastAsia="zh-CN" w:bidi="ar-SA"/>
        </w:rPr>
        <w:t>表</w:t>
      </w:r>
      <w:r>
        <w:rPr>
          <w:rFonts w:hint="eastAsia" w:ascii="Times New Roman" w:hAnsi="Times New Roman" w:eastAsia="仿宋" w:cs="Times New Roman"/>
          <w:b/>
          <w:bCs/>
          <w:color w:val="auto"/>
          <w:kern w:val="0"/>
          <w:sz w:val="24"/>
          <w:szCs w:val="24"/>
          <w:highlight w:val="none"/>
          <w:lang w:val="en-US" w:eastAsia="zh-CN" w:bidi="ar-SA"/>
        </w:rPr>
        <w:t>4.6</w:t>
      </w:r>
      <w:r>
        <w:rPr>
          <w:rFonts w:hint="default" w:ascii="Times New Roman" w:hAnsi="Times New Roman" w:eastAsia="仿宋" w:cs="Times New Roman"/>
          <w:b/>
          <w:bCs/>
          <w:color w:val="auto"/>
          <w:kern w:val="0"/>
          <w:sz w:val="24"/>
          <w:szCs w:val="24"/>
          <w:highlight w:val="none"/>
          <w:lang w:val="en-US" w:eastAsia="zh-CN" w:bidi="ar-SA"/>
        </w:rPr>
        <w:t>-1</w:t>
      </w:r>
      <w:r>
        <w:rPr>
          <w:rFonts w:hint="default" w:ascii="Times New Roman" w:hAnsi="Times New Roman" w:eastAsia="仿宋" w:cs="Times New Roman"/>
          <w:b/>
          <w:bCs/>
          <w:color w:val="auto"/>
          <w:sz w:val="24"/>
          <w:highlight w:val="none"/>
          <w:lang w:val="en-US" w:eastAsia="zh-CN"/>
        </w:rPr>
        <w:t>实施计划</w:t>
      </w:r>
      <w:r>
        <w:rPr>
          <w:rFonts w:hint="default" w:ascii="Times New Roman" w:hAnsi="Times New Roman" w:eastAsia="仿宋" w:cs="Times New Roman"/>
          <w:b/>
          <w:bCs/>
          <w:color w:val="auto"/>
          <w:sz w:val="24"/>
          <w:highlight w:val="none"/>
        </w:rPr>
        <w:t>进度表（建议）</w:t>
      </w:r>
    </w:p>
    <w:tbl>
      <w:tblPr>
        <w:tblStyle w:val="20"/>
        <w:tblW w:w="506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8"/>
        <w:gridCol w:w="1223"/>
        <w:gridCol w:w="787"/>
        <w:gridCol w:w="880"/>
        <w:gridCol w:w="904"/>
        <w:gridCol w:w="880"/>
        <w:gridCol w:w="881"/>
        <w:gridCol w:w="914"/>
        <w:gridCol w:w="1224"/>
      </w:tblGrid>
      <w:tr w14:paraId="6184A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6" w:type="pct"/>
            <w:tcBorders>
              <w:top w:val="single" w:color="000000" w:sz="8" w:space="0"/>
              <w:left w:val="single" w:color="000000" w:sz="8" w:space="0"/>
              <w:bottom w:val="nil"/>
              <w:right w:val="single" w:color="000000" w:sz="8" w:space="0"/>
            </w:tcBorders>
            <w:shd w:val="clear" w:color="auto" w:fill="auto"/>
            <w:noWrap/>
            <w:vAlign w:val="center"/>
          </w:tcPr>
          <w:p w14:paraId="21E9FD4D">
            <w:pPr>
              <w:keepNext w:val="0"/>
              <w:keepLines w:val="0"/>
              <w:widowControl/>
              <w:suppressLineNumbers w:val="0"/>
              <w:ind w:firstLine="240" w:firstLineChars="100"/>
              <w:jc w:val="both"/>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bdr w:val="single" w:color="000000" w:sz="8" w:space="0"/>
                <w:lang w:val="en-US" w:eastAsia="zh-CN" w:bidi="ar"/>
              </w:rPr>
              <w:drawing>
                <wp:anchor distT="0" distB="0" distL="114300" distR="114300" simplePos="0" relativeHeight="251661312" behindDoc="0" locked="0" layoutInCell="1" allowOverlap="1">
                  <wp:simplePos x="0" y="0"/>
                  <wp:positionH relativeFrom="column">
                    <wp:posOffset>-68580</wp:posOffset>
                  </wp:positionH>
                  <wp:positionV relativeFrom="paragraph">
                    <wp:posOffset>-3175</wp:posOffset>
                  </wp:positionV>
                  <wp:extent cx="937895" cy="807085"/>
                  <wp:effectExtent l="0" t="0" r="14605" b="12065"/>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11"/>
                          <a:stretch>
                            <a:fillRect/>
                          </a:stretch>
                        </pic:blipFill>
                        <pic:spPr>
                          <a:xfrm>
                            <a:off x="0" y="0"/>
                            <a:ext cx="937895" cy="807085"/>
                          </a:xfrm>
                          <a:prstGeom prst="rect">
                            <a:avLst/>
                          </a:prstGeom>
                          <a:noFill/>
                          <a:ln>
                            <a:noFill/>
                          </a:ln>
                        </pic:spPr>
                      </pic:pic>
                    </a:graphicData>
                  </a:graphic>
                </wp:anchor>
              </w:drawing>
            </w:r>
            <w:r>
              <w:rPr>
                <w:rFonts w:hint="default" w:ascii="Times New Roman" w:hAnsi="Times New Roman" w:eastAsia="仿宋" w:cs="Times New Roman"/>
                <w:i w:val="0"/>
                <w:iCs w:val="0"/>
                <w:color w:val="auto"/>
                <w:kern w:val="0"/>
                <w:sz w:val="24"/>
                <w:szCs w:val="24"/>
                <w:highlight w:val="none"/>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-78740</wp:posOffset>
                  </wp:positionH>
                  <wp:positionV relativeFrom="paragraph">
                    <wp:posOffset>6985</wp:posOffset>
                  </wp:positionV>
                  <wp:extent cx="952500" cy="1218565"/>
                  <wp:effectExtent l="0" t="0" r="0" b="635"/>
                  <wp:wrapNone/>
                  <wp:docPr id="17" name="图片_1"/>
                  <wp:cNvGraphicFramePr/>
                  <a:graphic xmlns:a="http://schemas.openxmlformats.org/drawingml/2006/main">
                    <a:graphicData uri="http://schemas.openxmlformats.org/drawingml/2006/picture">
                      <pic:pic xmlns:pic="http://schemas.openxmlformats.org/drawingml/2006/picture">
                        <pic:nvPicPr>
                          <pic:cNvPr id="17" name="图片_1"/>
                          <pic:cNvPicPr/>
                        </pic:nvPicPr>
                        <pic:blipFill>
                          <a:blip r:embed="rId11"/>
                          <a:stretch>
                            <a:fillRect/>
                          </a:stretch>
                        </pic:blipFill>
                        <pic:spPr>
                          <a:xfrm>
                            <a:off x="0" y="0"/>
                            <a:ext cx="952500" cy="1218565"/>
                          </a:xfrm>
                          <a:prstGeom prst="rect">
                            <a:avLst/>
                          </a:prstGeom>
                          <a:noFill/>
                          <a:ln>
                            <a:noFill/>
                          </a:ln>
                        </pic:spPr>
                      </pic:pic>
                    </a:graphicData>
                  </a:graphic>
                </wp:anchor>
              </w:drawing>
            </w:r>
            <w:r>
              <w:rPr>
                <w:rFonts w:hint="eastAsia" w:ascii="Times New Roman" w:hAnsi="Times New Roman" w:eastAsia="仿宋" w:cs="仿宋"/>
                <w:i w:val="0"/>
                <w:iCs w:val="0"/>
                <w:color w:val="auto"/>
                <w:kern w:val="0"/>
                <w:sz w:val="24"/>
                <w:szCs w:val="24"/>
                <w:highlight w:val="none"/>
                <w:u w:val="none"/>
                <w:lang w:val="en-US" w:eastAsia="zh-CN" w:bidi="ar"/>
              </w:rPr>
              <w:t>时间</w:t>
            </w:r>
          </w:p>
        </w:tc>
        <w:tc>
          <w:tcPr>
            <w:tcW w:w="4193" w:type="pct"/>
            <w:gridSpan w:val="8"/>
            <w:tcBorders>
              <w:top w:val="single" w:color="000000" w:sz="8" w:space="0"/>
              <w:left w:val="nil"/>
              <w:bottom w:val="single" w:color="000000" w:sz="8" w:space="0"/>
              <w:right w:val="single" w:color="000000" w:sz="8" w:space="0"/>
            </w:tcBorders>
            <w:shd w:val="clear" w:color="auto" w:fill="auto"/>
            <w:vAlign w:val="center"/>
          </w:tcPr>
          <w:p w14:paraId="74CDC0F5">
            <w:pPr>
              <w:keepNext w:val="0"/>
              <w:keepLines w:val="0"/>
              <w:widowControl/>
              <w:suppressLineNumbers w:val="0"/>
              <w:jc w:val="center"/>
              <w:textAlignment w:val="center"/>
              <w:rPr>
                <w:rFonts w:hint="eastAsia" w:ascii="Times New Roman" w:hAnsi="Times New Roman" w:eastAsia="仿宋" w:cs="仿宋"/>
                <w:i w:val="0"/>
                <w:iCs w:val="0"/>
                <w:color w:val="auto"/>
                <w:kern w:val="0"/>
                <w:sz w:val="24"/>
                <w:szCs w:val="24"/>
                <w:highlight w:val="none"/>
                <w:u w:val="none"/>
                <w:lang w:val="en-US" w:eastAsia="zh-CN" w:bidi="ar"/>
              </w:rPr>
            </w:pPr>
            <w:r>
              <w:rPr>
                <w:rFonts w:hint="eastAsia" w:ascii="Times New Roman" w:hAnsi="Times New Roman" w:eastAsia="仿宋" w:cs="仿宋"/>
                <w:i w:val="0"/>
                <w:iCs w:val="0"/>
                <w:color w:val="auto"/>
                <w:kern w:val="0"/>
                <w:sz w:val="24"/>
                <w:szCs w:val="24"/>
                <w:highlight w:val="none"/>
                <w:u w:val="none"/>
                <w:lang w:val="en-US" w:eastAsia="zh-CN" w:bidi="ar"/>
              </w:rPr>
              <w:t>实施计划进度表</w:t>
            </w:r>
          </w:p>
        </w:tc>
      </w:tr>
      <w:tr w14:paraId="56E27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06" w:type="pct"/>
            <w:tcBorders>
              <w:top w:val="nil"/>
              <w:left w:val="single" w:color="000000" w:sz="8" w:space="0"/>
              <w:bottom w:val="nil"/>
              <w:right w:val="single" w:color="000000" w:sz="8" w:space="0"/>
            </w:tcBorders>
            <w:shd w:val="clear" w:color="auto" w:fill="auto"/>
            <w:noWrap/>
            <w:vAlign w:val="center"/>
          </w:tcPr>
          <w:p w14:paraId="1663E2A5">
            <w:pPr>
              <w:jc w:val="center"/>
              <w:rPr>
                <w:rFonts w:hint="default" w:ascii="Times New Roman" w:hAnsi="Times New Roman" w:eastAsia="仿宋" w:cs="Times New Roman"/>
                <w:i w:val="0"/>
                <w:iCs w:val="0"/>
                <w:color w:val="auto"/>
                <w:sz w:val="24"/>
                <w:szCs w:val="24"/>
                <w:highlight w:val="none"/>
                <w:u w:val="none"/>
              </w:rPr>
            </w:pPr>
          </w:p>
        </w:tc>
        <w:tc>
          <w:tcPr>
            <w:tcW w:w="667" w:type="pct"/>
            <w:tcBorders>
              <w:top w:val="nil"/>
              <w:left w:val="nil"/>
              <w:bottom w:val="single" w:color="000000" w:sz="8" w:space="0"/>
              <w:right w:val="single" w:color="000000" w:sz="8" w:space="0"/>
            </w:tcBorders>
            <w:shd w:val="clear" w:color="auto" w:fill="auto"/>
            <w:vAlign w:val="center"/>
          </w:tcPr>
          <w:p w14:paraId="4D72D20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2024</w:t>
            </w:r>
            <w:r>
              <w:rPr>
                <w:rFonts w:hint="eastAsia" w:ascii="Times New Roman" w:hAnsi="Times New Roman" w:eastAsia="仿宋" w:cs="仿宋"/>
                <w:i w:val="0"/>
                <w:iCs w:val="0"/>
                <w:color w:val="auto"/>
                <w:kern w:val="0"/>
                <w:sz w:val="24"/>
                <w:szCs w:val="24"/>
                <w:highlight w:val="none"/>
                <w:u w:val="none"/>
                <w:lang w:val="en-US" w:eastAsia="zh-CN" w:bidi="ar"/>
              </w:rPr>
              <w:t>年</w:t>
            </w:r>
          </w:p>
        </w:tc>
        <w:tc>
          <w:tcPr>
            <w:tcW w:w="3525" w:type="pct"/>
            <w:gridSpan w:val="7"/>
            <w:tcBorders>
              <w:top w:val="nil"/>
              <w:left w:val="nil"/>
              <w:bottom w:val="single" w:color="000000" w:sz="8" w:space="0"/>
              <w:right w:val="single" w:color="000000" w:sz="8" w:space="0"/>
            </w:tcBorders>
            <w:shd w:val="clear" w:color="auto" w:fill="auto"/>
            <w:vAlign w:val="center"/>
          </w:tcPr>
          <w:p w14:paraId="7C1737D1">
            <w:pPr>
              <w:jc w:val="center"/>
              <w:rPr>
                <w:rFonts w:hint="eastAsia" w:ascii="Times New Roman" w:hAnsi="Times New Roman" w:eastAsia="仿宋" w:cs="仿宋"/>
                <w:i w:val="0"/>
                <w:iCs w:val="0"/>
                <w:color w:val="auto"/>
                <w:kern w:val="0"/>
                <w:sz w:val="24"/>
                <w:szCs w:val="24"/>
                <w:highlight w:val="none"/>
                <w:u w:val="none"/>
                <w:lang w:val="en-US" w:eastAsia="zh-CN" w:bidi="ar"/>
              </w:rPr>
            </w:pPr>
            <w:r>
              <w:rPr>
                <w:rFonts w:hint="eastAsia" w:ascii="Times New Roman" w:hAnsi="Times New Roman" w:eastAsia="仿宋" w:cs="仿宋"/>
                <w:i w:val="0"/>
                <w:iCs w:val="0"/>
                <w:color w:val="auto"/>
                <w:kern w:val="0"/>
                <w:sz w:val="24"/>
                <w:szCs w:val="24"/>
                <w:highlight w:val="none"/>
                <w:u w:val="none"/>
                <w:lang w:val="en-US" w:eastAsia="zh-CN" w:bidi="ar"/>
              </w:rPr>
              <w:t>2025年</w:t>
            </w:r>
          </w:p>
        </w:tc>
      </w:tr>
      <w:tr w14:paraId="59371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806" w:type="pct"/>
            <w:tcBorders>
              <w:top w:val="nil"/>
              <w:left w:val="single" w:color="000000" w:sz="8" w:space="0"/>
              <w:bottom w:val="nil"/>
              <w:right w:val="single" w:color="000000" w:sz="8" w:space="0"/>
            </w:tcBorders>
            <w:shd w:val="clear" w:color="auto" w:fill="auto"/>
            <w:noWrap/>
            <w:vAlign w:val="center"/>
          </w:tcPr>
          <w:p w14:paraId="51579857">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ascii="Times New Roman" w:hAnsi="Times New Roman" w:eastAsia="仿宋" w:cs="仿宋"/>
                <w:i w:val="0"/>
                <w:iCs w:val="0"/>
                <w:color w:val="auto"/>
                <w:kern w:val="0"/>
                <w:sz w:val="24"/>
                <w:szCs w:val="24"/>
                <w:highlight w:val="none"/>
                <w:u w:val="none"/>
                <w:lang w:val="en-US" w:eastAsia="zh-CN" w:bidi="ar"/>
              </w:rPr>
              <w:t>进度</w:t>
            </w:r>
          </w:p>
        </w:tc>
        <w:tc>
          <w:tcPr>
            <w:tcW w:w="667" w:type="pct"/>
            <w:tcBorders>
              <w:top w:val="nil"/>
              <w:left w:val="nil"/>
              <w:bottom w:val="single" w:color="000000" w:sz="8" w:space="0"/>
              <w:right w:val="single" w:color="000000" w:sz="8" w:space="0"/>
            </w:tcBorders>
            <w:shd w:val="clear" w:color="auto" w:fill="auto"/>
            <w:vAlign w:val="center"/>
          </w:tcPr>
          <w:p w14:paraId="3BF6CF14">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ascii="Times New Roman" w:hAnsi="Times New Roman" w:eastAsia="仿宋" w:cs="仿宋"/>
                <w:i w:val="0"/>
                <w:iCs w:val="0"/>
                <w:color w:val="auto"/>
                <w:kern w:val="0"/>
                <w:sz w:val="24"/>
                <w:szCs w:val="24"/>
                <w:highlight w:val="none"/>
                <w:u w:val="none"/>
                <w:lang w:val="en-US" w:eastAsia="zh-CN" w:bidi="ar"/>
              </w:rPr>
              <w:t>第四季度</w:t>
            </w:r>
          </w:p>
        </w:tc>
        <w:tc>
          <w:tcPr>
            <w:tcW w:w="1402" w:type="pct"/>
            <w:gridSpan w:val="3"/>
            <w:tcBorders>
              <w:top w:val="nil"/>
              <w:left w:val="nil"/>
              <w:bottom w:val="single" w:color="000000" w:sz="8" w:space="0"/>
              <w:right w:val="single" w:color="000000" w:sz="8" w:space="0"/>
            </w:tcBorders>
            <w:shd w:val="clear" w:color="auto" w:fill="auto"/>
            <w:vAlign w:val="center"/>
          </w:tcPr>
          <w:p w14:paraId="44CA9EA6">
            <w:pPr>
              <w:keepNext w:val="0"/>
              <w:keepLines w:val="0"/>
              <w:widowControl/>
              <w:suppressLineNumbers w:val="0"/>
              <w:jc w:val="center"/>
              <w:textAlignment w:val="center"/>
              <w:rPr>
                <w:rFonts w:hint="eastAsia" w:ascii="Times New Roman" w:hAnsi="Times New Roman" w:eastAsia="仿宋" w:cs="仿宋"/>
                <w:i w:val="0"/>
                <w:iCs w:val="0"/>
                <w:color w:val="auto"/>
                <w:kern w:val="0"/>
                <w:sz w:val="24"/>
                <w:szCs w:val="24"/>
                <w:highlight w:val="none"/>
                <w:u w:val="none"/>
                <w:lang w:val="en-US" w:eastAsia="zh-CN" w:bidi="ar"/>
              </w:rPr>
            </w:pPr>
            <w:r>
              <w:rPr>
                <w:rFonts w:hint="eastAsia" w:ascii="Times New Roman" w:hAnsi="Times New Roman" w:eastAsia="仿宋" w:cs="仿宋"/>
                <w:i w:val="0"/>
                <w:iCs w:val="0"/>
                <w:color w:val="auto"/>
                <w:kern w:val="0"/>
                <w:sz w:val="24"/>
                <w:szCs w:val="24"/>
                <w:highlight w:val="none"/>
                <w:u w:val="none"/>
                <w:lang w:val="en-US" w:eastAsia="zh-CN" w:bidi="ar"/>
              </w:rPr>
              <w:t>第一季度</w:t>
            </w:r>
          </w:p>
        </w:tc>
        <w:tc>
          <w:tcPr>
            <w:tcW w:w="1458" w:type="pct"/>
            <w:gridSpan w:val="3"/>
            <w:tcBorders>
              <w:top w:val="nil"/>
              <w:left w:val="nil"/>
              <w:bottom w:val="single" w:color="000000" w:sz="8" w:space="0"/>
              <w:right w:val="single" w:color="000000" w:sz="8" w:space="0"/>
            </w:tcBorders>
            <w:shd w:val="clear" w:color="auto" w:fill="auto"/>
            <w:vAlign w:val="center"/>
          </w:tcPr>
          <w:p w14:paraId="09A77227">
            <w:pPr>
              <w:keepNext w:val="0"/>
              <w:keepLines w:val="0"/>
              <w:widowControl/>
              <w:suppressLineNumbers w:val="0"/>
              <w:jc w:val="center"/>
              <w:textAlignment w:val="center"/>
              <w:rPr>
                <w:rFonts w:hint="eastAsia" w:ascii="Times New Roman" w:hAnsi="Times New Roman" w:eastAsia="仿宋" w:cs="仿宋"/>
                <w:i w:val="0"/>
                <w:iCs w:val="0"/>
                <w:color w:val="auto"/>
                <w:kern w:val="0"/>
                <w:sz w:val="24"/>
                <w:szCs w:val="24"/>
                <w:highlight w:val="none"/>
                <w:u w:val="none"/>
                <w:lang w:val="en-US" w:eastAsia="zh-CN" w:bidi="ar"/>
              </w:rPr>
            </w:pPr>
            <w:r>
              <w:rPr>
                <w:rFonts w:hint="eastAsia" w:ascii="Times New Roman" w:hAnsi="Times New Roman" w:eastAsia="仿宋" w:cs="仿宋"/>
                <w:i w:val="0"/>
                <w:iCs w:val="0"/>
                <w:color w:val="auto"/>
                <w:kern w:val="0"/>
                <w:sz w:val="24"/>
                <w:szCs w:val="24"/>
                <w:highlight w:val="none"/>
                <w:u w:val="none"/>
                <w:lang w:val="en-US" w:eastAsia="zh-CN" w:bidi="ar"/>
              </w:rPr>
              <w:t>第二季度</w:t>
            </w:r>
          </w:p>
        </w:tc>
        <w:tc>
          <w:tcPr>
            <w:tcW w:w="664" w:type="pct"/>
            <w:tcBorders>
              <w:top w:val="nil"/>
              <w:left w:val="nil"/>
              <w:bottom w:val="single" w:color="000000" w:sz="8" w:space="0"/>
              <w:right w:val="single" w:color="000000" w:sz="8" w:space="0"/>
            </w:tcBorders>
            <w:shd w:val="clear" w:color="auto" w:fill="auto"/>
            <w:vAlign w:val="center"/>
          </w:tcPr>
          <w:p w14:paraId="28D30DD9">
            <w:pPr>
              <w:keepNext w:val="0"/>
              <w:keepLines w:val="0"/>
              <w:widowControl/>
              <w:suppressLineNumbers w:val="0"/>
              <w:jc w:val="center"/>
              <w:textAlignment w:val="center"/>
              <w:rPr>
                <w:rFonts w:hint="eastAsia" w:ascii="Times New Roman" w:hAnsi="Times New Roman" w:eastAsia="仿宋" w:cs="仿宋"/>
                <w:i w:val="0"/>
                <w:iCs w:val="0"/>
                <w:color w:val="auto"/>
                <w:kern w:val="0"/>
                <w:sz w:val="24"/>
                <w:szCs w:val="24"/>
                <w:highlight w:val="none"/>
                <w:u w:val="none"/>
                <w:lang w:val="en-US" w:eastAsia="zh-CN" w:bidi="ar"/>
              </w:rPr>
            </w:pPr>
            <w:r>
              <w:rPr>
                <w:rFonts w:hint="eastAsia" w:ascii="Times New Roman" w:hAnsi="Times New Roman" w:eastAsia="仿宋" w:cs="仿宋"/>
                <w:i w:val="0"/>
                <w:iCs w:val="0"/>
                <w:color w:val="auto"/>
                <w:kern w:val="0"/>
                <w:sz w:val="24"/>
                <w:szCs w:val="24"/>
                <w:highlight w:val="none"/>
                <w:u w:val="none"/>
                <w:lang w:val="en-US" w:eastAsia="zh-CN" w:bidi="ar"/>
              </w:rPr>
              <w:t>第</w:t>
            </w:r>
            <w:r>
              <w:rPr>
                <w:rFonts w:hint="eastAsia" w:eastAsia="仿宋" w:cs="仿宋"/>
                <w:i w:val="0"/>
                <w:iCs w:val="0"/>
                <w:color w:val="auto"/>
                <w:kern w:val="0"/>
                <w:sz w:val="24"/>
                <w:szCs w:val="24"/>
                <w:highlight w:val="none"/>
                <w:u w:val="none"/>
                <w:lang w:val="en-US" w:eastAsia="zh-CN" w:bidi="ar"/>
              </w:rPr>
              <w:t>三</w:t>
            </w:r>
            <w:r>
              <w:rPr>
                <w:rFonts w:hint="eastAsia" w:ascii="Times New Roman" w:hAnsi="Times New Roman" w:eastAsia="仿宋" w:cs="仿宋"/>
                <w:i w:val="0"/>
                <w:iCs w:val="0"/>
                <w:color w:val="auto"/>
                <w:kern w:val="0"/>
                <w:sz w:val="24"/>
                <w:szCs w:val="24"/>
                <w:highlight w:val="none"/>
                <w:u w:val="none"/>
                <w:lang w:val="en-US" w:eastAsia="zh-CN" w:bidi="ar"/>
              </w:rPr>
              <w:t>季度</w:t>
            </w:r>
          </w:p>
        </w:tc>
      </w:tr>
      <w:tr w14:paraId="153F4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06" w:type="pct"/>
            <w:tcBorders>
              <w:top w:val="nil"/>
              <w:left w:val="single" w:color="000000" w:sz="8" w:space="0"/>
              <w:bottom w:val="single" w:color="auto" w:sz="4" w:space="0"/>
              <w:right w:val="single" w:color="000000" w:sz="8" w:space="0"/>
            </w:tcBorders>
            <w:shd w:val="clear" w:color="auto" w:fill="auto"/>
            <w:noWrap/>
            <w:vAlign w:val="center"/>
          </w:tcPr>
          <w:p w14:paraId="52869F1E">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ascii="Times New Roman" w:hAnsi="Times New Roman" w:eastAsia="仿宋" w:cs="仿宋"/>
                <w:i w:val="0"/>
                <w:iCs w:val="0"/>
                <w:color w:val="auto"/>
                <w:kern w:val="0"/>
                <w:sz w:val="24"/>
                <w:szCs w:val="24"/>
                <w:highlight w:val="none"/>
                <w:u w:val="none"/>
                <w:lang w:val="en-US" w:eastAsia="zh-CN" w:bidi="ar"/>
              </w:rPr>
              <w:t>工程项目</w:t>
            </w:r>
          </w:p>
        </w:tc>
        <w:tc>
          <w:tcPr>
            <w:tcW w:w="667" w:type="pct"/>
            <w:tcBorders>
              <w:top w:val="nil"/>
              <w:left w:val="nil"/>
              <w:bottom w:val="single" w:color="000000" w:sz="8" w:space="0"/>
              <w:right w:val="single" w:color="000000" w:sz="8" w:space="0"/>
            </w:tcBorders>
            <w:shd w:val="clear" w:color="auto" w:fill="auto"/>
            <w:vAlign w:val="center"/>
          </w:tcPr>
          <w:p w14:paraId="2D114126">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w:t>
            </w:r>
            <w:r>
              <w:rPr>
                <w:rFonts w:hint="eastAsia" w:eastAsia="仿宋" w:cs="Times New Roman"/>
                <w:i w:val="0"/>
                <w:iCs w:val="0"/>
                <w:color w:val="auto"/>
                <w:kern w:val="0"/>
                <w:sz w:val="24"/>
                <w:szCs w:val="24"/>
                <w:highlight w:val="none"/>
                <w:u w:val="none"/>
                <w:lang w:val="en-US" w:eastAsia="zh-CN" w:bidi="ar"/>
              </w:rPr>
              <w:t>2</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429" w:type="pct"/>
            <w:tcBorders>
              <w:top w:val="nil"/>
              <w:left w:val="nil"/>
              <w:bottom w:val="single" w:color="000000" w:sz="8" w:space="0"/>
              <w:right w:val="single" w:color="000000" w:sz="8" w:space="0"/>
            </w:tcBorders>
            <w:shd w:val="clear" w:color="auto" w:fill="auto"/>
            <w:vAlign w:val="center"/>
          </w:tcPr>
          <w:p w14:paraId="15BCA140">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480" w:type="pct"/>
            <w:tcBorders>
              <w:top w:val="nil"/>
              <w:left w:val="nil"/>
              <w:bottom w:val="single" w:color="000000" w:sz="8" w:space="0"/>
              <w:right w:val="single" w:color="000000" w:sz="8" w:space="0"/>
            </w:tcBorders>
            <w:shd w:val="clear" w:color="auto" w:fill="auto"/>
            <w:vAlign w:val="center"/>
          </w:tcPr>
          <w:p w14:paraId="078178DD">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2</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492" w:type="pct"/>
            <w:tcBorders>
              <w:top w:val="nil"/>
              <w:left w:val="nil"/>
              <w:bottom w:val="single" w:color="000000" w:sz="8" w:space="0"/>
              <w:right w:val="single" w:color="000000" w:sz="8" w:space="0"/>
            </w:tcBorders>
            <w:shd w:val="clear" w:color="auto" w:fill="auto"/>
            <w:vAlign w:val="center"/>
          </w:tcPr>
          <w:p w14:paraId="2221C259">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eastAsia="仿宋" w:cs="Times New Roman"/>
                <w:i w:val="0"/>
                <w:iCs w:val="0"/>
                <w:color w:val="auto"/>
                <w:kern w:val="0"/>
                <w:sz w:val="24"/>
                <w:szCs w:val="24"/>
                <w:highlight w:val="none"/>
                <w:u w:val="none"/>
                <w:lang w:val="en-US" w:eastAsia="zh-CN" w:bidi="ar"/>
              </w:rPr>
              <w:t>3</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480" w:type="pct"/>
            <w:tcBorders>
              <w:top w:val="nil"/>
              <w:left w:val="nil"/>
              <w:bottom w:val="single" w:color="000000" w:sz="8" w:space="0"/>
              <w:right w:val="single" w:color="000000" w:sz="8" w:space="0"/>
            </w:tcBorders>
            <w:shd w:val="clear" w:color="auto" w:fill="auto"/>
            <w:vAlign w:val="center"/>
          </w:tcPr>
          <w:p w14:paraId="765CC42A">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eastAsia="仿宋" w:cs="Times New Roman"/>
                <w:i w:val="0"/>
                <w:iCs w:val="0"/>
                <w:color w:val="auto"/>
                <w:kern w:val="0"/>
                <w:sz w:val="24"/>
                <w:szCs w:val="24"/>
                <w:highlight w:val="none"/>
                <w:u w:val="none"/>
                <w:lang w:val="en-US" w:eastAsia="zh-CN" w:bidi="ar"/>
              </w:rPr>
              <w:t>4</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480" w:type="pct"/>
            <w:tcBorders>
              <w:top w:val="nil"/>
              <w:left w:val="nil"/>
              <w:bottom w:val="single" w:color="000000" w:sz="8" w:space="0"/>
              <w:right w:val="single" w:color="000000" w:sz="8" w:space="0"/>
            </w:tcBorders>
            <w:shd w:val="clear" w:color="auto" w:fill="auto"/>
            <w:vAlign w:val="center"/>
          </w:tcPr>
          <w:p w14:paraId="444F60F7">
            <w:pPr>
              <w:keepNext w:val="0"/>
              <w:keepLines w:val="0"/>
              <w:widowControl/>
              <w:suppressLineNumbers w:val="0"/>
              <w:jc w:val="center"/>
              <w:textAlignment w:val="center"/>
              <w:rPr>
                <w:sz w:val="24"/>
                <w:szCs w:val="24"/>
              </w:rPr>
            </w:pPr>
            <w:r>
              <w:rPr>
                <w:rFonts w:hint="eastAsia" w:eastAsia="仿宋" w:cs="Times New Roman"/>
                <w:i w:val="0"/>
                <w:iCs w:val="0"/>
                <w:color w:val="auto"/>
                <w:kern w:val="0"/>
                <w:sz w:val="24"/>
                <w:szCs w:val="24"/>
                <w:highlight w:val="none"/>
                <w:u w:val="none"/>
                <w:lang w:val="en-US" w:eastAsia="zh-CN" w:bidi="ar"/>
              </w:rPr>
              <w:t>5</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498" w:type="pct"/>
            <w:tcBorders>
              <w:top w:val="nil"/>
              <w:left w:val="nil"/>
              <w:bottom w:val="single" w:color="000000" w:sz="8" w:space="0"/>
              <w:right w:val="single" w:color="000000" w:sz="8" w:space="0"/>
            </w:tcBorders>
            <w:shd w:val="clear" w:color="auto" w:fill="auto"/>
            <w:vAlign w:val="center"/>
          </w:tcPr>
          <w:p w14:paraId="7B4DB07A">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eastAsia="仿宋" w:cs="Times New Roman"/>
                <w:i w:val="0"/>
                <w:iCs w:val="0"/>
                <w:color w:val="auto"/>
                <w:kern w:val="0"/>
                <w:sz w:val="24"/>
                <w:szCs w:val="24"/>
                <w:highlight w:val="none"/>
                <w:u w:val="none"/>
                <w:lang w:val="en-US" w:eastAsia="zh-CN" w:bidi="ar"/>
              </w:rPr>
              <w:t>6</w:t>
            </w:r>
            <w:r>
              <w:rPr>
                <w:rFonts w:hint="eastAsia" w:ascii="Times New Roman" w:hAnsi="Times New Roman" w:eastAsia="仿宋" w:cs="仿宋"/>
                <w:i w:val="0"/>
                <w:iCs w:val="0"/>
                <w:color w:val="auto"/>
                <w:kern w:val="0"/>
                <w:sz w:val="24"/>
                <w:szCs w:val="24"/>
                <w:highlight w:val="none"/>
                <w:u w:val="none"/>
                <w:lang w:val="en-US" w:eastAsia="zh-CN" w:bidi="ar"/>
              </w:rPr>
              <w:t>月</w:t>
            </w:r>
          </w:p>
        </w:tc>
        <w:tc>
          <w:tcPr>
            <w:tcW w:w="664" w:type="pct"/>
            <w:tcBorders>
              <w:top w:val="nil"/>
              <w:left w:val="nil"/>
              <w:bottom w:val="single" w:color="000000" w:sz="8" w:space="0"/>
              <w:right w:val="single" w:color="000000" w:sz="8" w:space="0"/>
            </w:tcBorders>
            <w:shd w:val="clear" w:color="auto" w:fill="auto"/>
            <w:vAlign w:val="center"/>
          </w:tcPr>
          <w:p w14:paraId="5AC0EA59">
            <w:pPr>
              <w:keepNext w:val="0"/>
              <w:keepLines w:val="0"/>
              <w:widowControl/>
              <w:suppressLineNumbers w:val="0"/>
              <w:jc w:val="center"/>
              <w:textAlignment w:val="center"/>
              <w:rPr>
                <w:sz w:val="24"/>
                <w:szCs w:val="24"/>
              </w:rPr>
            </w:pPr>
            <w:r>
              <w:rPr>
                <w:rFonts w:hint="eastAsia" w:eastAsia="仿宋" w:cs="仿宋"/>
                <w:i w:val="0"/>
                <w:iCs w:val="0"/>
                <w:color w:val="auto"/>
                <w:kern w:val="0"/>
                <w:sz w:val="24"/>
                <w:szCs w:val="24"/>
                <w:highlight w:val="none"/>
                <w:u w:val="none"/>
                <w:lang w:val="en-US" w:eastAsia="zh-CN" w:bidi="ar"/>
              </w:rPr>
              <w:t>7</w:t>
            </w:r>
            <w:r>
              <w:rPr>
                <w:rFonts w:hint="eastAsia" w:ascii="Times New Roman" w:hAnsi="Times New Roman" w:eastAsia="仿宋" w:cs="仿宋"/>
                <w:i w:val="0"/>
                <w:iCs w:val="0"/>
                <w:color w:val="auto"/>
                <w:kern w:val="0"/>
                <w:sz w:val="24"/>
                <w:szCs w:val="24"/>
                <w:highlight w:val="none"/>
                <w:u w:val="none"/>
                <w:lang w:val="en-US" w:eastAsia="zh-CN" w:bidi="ar"/>
              </w:rPr>
              <w:t>月</w:t>
            </w:r>
          </w:p>
        </w:tc>
      </w:tr>
      <w:tr w14:paraId="40DBC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14:paraId="3F68F2A6">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eastAsia" w:ascii="Times New Roman" w:hAnsi="Times New Roman" w:eastAsia="仿宋" w:cs="仿宋"/>
                <w:i w:val="0"/>
                <w:iCs w:val="0"/>
                <w:color w:val="auto"/>
                <w:kern w:val="0"/>
                <w:sz w:val="24"/>
                <w:szCs w:val="24"/>
                <w:highlight w:val="none"/>
                <w:u w:val="none"/>
                <w:lang w:val="en-US" w:eastAsia="zh-CN" w:bidi="ar"/>
              </w:rPr>
              <w:t>前期工作</w:t>
            </w:r>
          </w:p>
        </w:tc>
        <w:tc>
          <w:tcPr>
            <w:tcW w:w="667" w:type="pct"/>
            <w:tcBorders>
              <w:top w:val="nil"/>
              <w:left w:val="nil"/>
              <w:bottom w:val="single" w:color="000000" w:sz="8" w:space="0"/>
              <w:right w:val="single" w:color="000000" w:sz="8" w:space="0"/>
            </w:tcBorders>
            <w:shd w:val="clear" w:color="auto" w:fill="auto"/>
            <w:vAlign w:val="center"/>
          </w:tcPr>
          <w:p w14:paraId="7C86BA82">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drawing>
                <wp:anchor distT="0" distB="0" distL="114300" distR="114300" simplePos="0" relativeHeight="251663360" behindDoc="0" locked="0" layoutInCell="1" allowOverlap="1">
                  <wp:simplePos x="0" y="0"/>
                  <wp:positionH relativeFrom="column">
                    <wp:posOffset>-33020</wp:posOffset>
                  </wp:positionH>
                  <wp:positionV relativeFrom="paragraph">
                    <wp:posOffset>163830</wp:posOffset>
                  </wp:positionV>
                  <wp:extent cx="2800350" cy="67310"/>
                  <wp:effectExtent l="0" t="0" r="0" b="8890"/>
                  <wp:wrapNone/>
                  <wp:docPr id="4" name="图片_2"/>
                  <wp:cNvGraphicFramePr/>
                  <a:graphic xmlns:a="http://schemas.openxmlformats.org/drawingml/2006/main">
                    <a:graphicData uri="http://schemas.openxmlformats.org/drawingml/2006/picture">
                      <pic:pic xmlns:pic="http://schemas.openxmlformats.org/drawingml/2006/picture">
                        <pic:nvPicPr>
                          <pic:cNvPr id="4" name="图片_2"/>
                          <pic:cNvPicPr/>
                        </pic:nvPicPr>
                        <pic:blipFill>
                          <a:blip r:embed="rId12"/>
                          <a:stretch>
                            <a:fillRect/>
                          </a:stretch>
                        </pic:blipFill>
                        <pic:spPr>
                          <a:xfrm>
                            <a:off x="0" y="0"/>
                            <a:ext cx="2800350" cy="67310"/>
                          </a:xfrm>
                          <a:prstGeom prst="rect">
                            <a:avLst/>
                          </a:prstGeom>
                          <a:noFill/>
                          <a:ln>
                            <a:noFill/>
                          </a:ln>
                        </pic:spPr>
                      </pic:pic>
                    </a:graphicData>
                  </a:graphic>
                </wp:anchor>
              </w:drawing>
            </w:r>
          </w:p>
        </w:tc>
        <w:tc>
          <w:tcPr>
            <w:tcW w:w="429" w:type="pct"/>
            <w:tcBorders>
              <w:top w:val="nil"/>
              <w:left w:val="nil"/>
              <w:bottom w:val="single" w:color="000000" w:sz="8" w:space="0"/>
              <w:right w:val="single" w:color="000000" w:sz="8" w:space="0"/>
            </w:tcBorders>
            <w:shd w:val="clear" w:color="auto" w:fill="auto"/>
            <w:vAlign w:val="center"/>
          </w:tcPr>
          <w:p w14:paraId="6622E040">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vAlign w:val="center"/>
          </w:tcPr>
          <w:p w14:paraId="79AAA062">
            <w:pPr>
              <w:jc w:val="center"/>
              <w:rPr>
                <w:rFonts w:hint="default" w:ascii="Times New Roman" w:hAnsi="Times New Roman" w:eastAsia="仿宋" w:cs="Times New Roman"/>
                <w:i w:val="0"/>
                <w:iCs w:val="0"/>
                <w:color w:val="auto"/>
                <w:sz w:val="24"/>
                <w:szCs w:val="24"/>
                <w:highlight w:val="none"/>
                <w:u w:val="none"/>
              </w:rPr>
            </w:pPr>
          </w:p>
        </w:tc>
        <w:tc>
          <w:tcPr>
            <w:tcW w:w="492" w:type="pct"/>
            <w:tcBorders>
              <w:top w:val="nil"/>
              <w:left w:val="nil"/>
              <w:bottom w:val="single" w:color="000000" w:sz="8" w:space="0"/>
              <w:right w:val="single" w:color="000000" w:sz="8" w:space="0"/>
            </w:tcBorders>
            <w:shd w:val="clear" w:color="auto" w:fill="auto"/>
            <w:noWrap/>
            <w:vAlign w:val="center"/>
          </w:tcPr>
          <w:p w14:paraId="0EDF9E00">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noWrap/>
            <w:vAlign w:val="center"/>
          </w:tcPr>
          <w:p w14:paraId="6135D2AF">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noWrap/>
            <w:vAlign w:val="center"/>
          </w:tcPr>
          <w:p w14:paraId="53754216">
            <w:pPr>
              <w:jc w:val="center"/>
            </w:pPr>
          </w:p>
        </w:tc>
        <w:tc>
          <w:tcPr>
            <w:tcW w:w="498" w:type="pct"/>
            <w:tcBorders>
              <w:top w:val="nil"/>
              <w:left w:val="nil"/>
              <w:bottom w:val="single" w:color="000000" w:sz="8" w:space="0"/>
              <w:right w:val="single" w:color="000000" w:sz="8" w:space="0"/>
            </w:tcBorders>
            <w:shd w:val="clear" w:color="auto" w:fill="auto"/>
            <w:noWrap/>
            <w:vAlign w:val="center"/>
          </w:tcPr>
          <w:p w14:paraId="205464E3">
            <w:pPr>
              <w:jc w:val="center"/>
              <w:rPr>
                <w:rFonts w:hint="default" w:ascii="Times New Roman" w:hAnsi="Times New Roman" w:eastAsia="仿宋" w:cs="Times New Roman"/>
                <w:i w:val="0"/>
                <w:iCs w:val="0"/>
                <w:color w:val="auto"/>
                <w:sz w:val="24"/>
                <w:szCs w:val="24"/>
                <w:highlight w:val="none"/>
                <w:u w:val="none"/>
              </w:rPr>
            </w:pPr>
          </w:p>
        </w:tc>
        <w:tc>
          <w:tcPr>
            <w:tcW w:w="664" w:type="pct"/>
            <w:tcBorders>
              <w:top w:val="nil"/>
              <w:left w:val="nil"/>
              <w:bottom w:val="single" w:color="000000" w:sz="8" w:space="0"/>
              <w:right w:val="single" w:color="000000" w:sz="8" w:space="0"/>
            </w:tcBorders>
            <w:shd w:val="clear" w:color="auto" w:fill="auto"/>
            <w:noWrap/>
            <w:vAlign w:val="center"/>
          </w:tcPr>
          <w:p w14:paraId="20891083">
            <w:pPr>
              <w:jc w:val="center"/>
            </w:pPr>
          </w:p>
        </w:tc>
      </w:tr>
      <w:tr w14:paraId="4D93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06" w:type="pct"/>
            <w:tcBorders>
              <w:top w:val="single" w:color="auto" w:sz="4" w:space="0"/>
              <w:left w:val="single" w:color="000000" w:sz="8" w:space="0"/>
              <w:bottom w:val="single" w:color="000000" w:sz="8" w:space="0"/>
              <w:right w:val="single" w:color="000000" w:sz="8" w:space="0"/>
            </w:tcBorders>
            <w:shd w:val="clear" w:color="auto" w:fill="auto"/>
            <w:vAlign w:val="center"/>
          </w:tcPr>
          <w:p w14:paraId="2460A706">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eastAsia" w:ascii="Times New Roman" w:hAnsi="Times New Roman" w:eastAsia="仿宋" w:cs="仿宋"/>
                <w:i w:val="0"/>
                <w:iCs w:val="0"/>
                <w:color w:val="auto"/>
                <w:kern w:val="0"/>
                <w:sz w:val="24"/>
                <w:szCs w:val="24"/>
                <w:highlight w:val="none"/>
                <w:u w:val="none"/>
                <w:lang w:val="en-US" w:eastAsia="zh-CN" w:bidi="ar"/>
              </w:rPr>
              <w:t>工程施工</w:t>
            </w:r>
          </w:p>
        </w:tc>
        <w:tc>
          <w:tcPr>
            <w:tcW w:w="667" w:type="pct"/>
            <w:tcBorders>
              <w:top w:val="nil"/>
              <w:left w:val="nil"/>
              <w:bottom w:val="single" w:color="000000" w:sz="8" w:space="0"/>
              <w:right w:val="single" w:color="000000" w:sz="8" w:space="0"/>
            </w:tcBorders>
            <w:shd w:val="clear" w:color="auto" w:fill="auto"/>
            <w:vAlign w:val="center"/>
          </w:tcPr>
          <w:p w14:paraId="686B1E81">
            <w:pPr>
              <w:jc w:val="center"/>
              <w:rPr>
                <w:rFonts w:hint="default" w:ascii="Times New Roman" w:hAnsi="Times New Roman" w:eastAsia="仿宋" w:cs="Times New Roman"/>
                <w:i w:val="0"/>
                <w:iCs w:val="0"/>
                <w:color w:val="auto"/>
                <w:sz w:val="24"/>
                <w:szCs w:val="24"/>
                <w:highlight w:val="none"/>
                <w:u w:val="none"/>
              </w:rPr>
            </w:pPr>
          </w:p>
        </w:tc>
        <w:tc>
          <w:tcPr>
            <w:tcW w:w="429" w:type="pct"/>
            <w:tcBorders>
              <w:top w:val="nil"/>
              <w:left w:val="nil"/>
              <w:bottom w:val="single" w:color="000000" w:sz="8" w:space="0"/>
              <w:right w:val="single" w:color="000000" w:sz="8" w:space="0"/>
            </w:tcBorders>
            <w:shd w:val="clear" w:color="auto" w:fill="auto"/>
            <w:vAlign w:val="center"/>
          </w:tcPr>
          <w:p w14:paraId="13DE2AA6">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vAlign w:val="center"/>
          </w:tcPr>
          <w:p w14:paraId="0BBE1BB2">
            <w:pPr>
              <w:jc w:val="center"/>
              <w:rPr>
                <w:rFonts w:hint="default" w:ascii="Times New Roman" w:hAnsi="Times New Roman" w:eastAsia="仿宋" w:cs="Times New Roman"/>
                <w:i w:val="0"/>
                <w:iCs w:val="0"/>
                <w:color w:val="auto"/>
                <w:sz w:val="24"/>
                <w:szCs w:val="24"/>
                <w:highlight w:val="none"/>
                <w:u w:val="none"/>
              </w:rPr>
            </w:pPr>
          </w:p>
        </w:tc>
        <w:tc>
          <w:tcPr>
            <w:tcW w:w="492" w:type="pct"/>
            <w:tcBorders>
              <w:top w:val="nil"/>
              <w:left w:val="nil"/>
              <w:bottom w:val="single" w:color="000000" w:sz="8" w:space="0"/>
              <w:right w:val="single" w:color="000000" w:sz="8" w:space="0"/>
            </w:tcBorders>
            <w:shd w:val="clear" w:color="auto" w:fill="auto"/>
            <w:noWrap/>
            <w:vAlign w:val="center"/>
          </w:tcPr>
          <w:p w14:paraId="147E5132">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noWrap/>
            <w:vAlign w:val="center"/>
          </w:tcPr>
          <w:p w14:paraId="28F536E9">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noWrap/>
            <w:vAlign w:val="center"/>
          </w:tcPr>
          <w:p w14:paraId="4E8D4B83">
            <w:pPr>
              <w:keepNext w:val="0"/>
              <w:keepLines w:val="0"/>
              <w:widowControl/>
              <w:suppressLineNumbers w:val="0"/>
              <w:jc w:val="center"/>
              <w:textAlignment w:val="center"/>
            </w:pPr>
            <w:r>
              <w:rPr>
                <w:rFonts w:hint="default" w:ascii="Times New Roman" w:hAnsi="Times New Roman" w:eastAsia="仿宋" w:cs="Times New Roman"/>
                <w:i w:val="0"/>
                <w:iCs w:val="0"/>
                <w:color w:val="auto"/>
                <w:kern w:val="0"/>
                <w:sz w:val="24"/>
                <w:szCs w:val="24"/>
                <w:highlight w:val="none"/>
                <w:u w:val="none"/>
                <w:lang w:val="en-US" w:eastAsia="zh-CN" w:bidi="ar"/>
              </w:rPr>
              <w:drawing>
                <wp:anchor distT="0" distB="0" distL="114300" distR="114300" simplePos="0" relativeHeight="251664384" behindDoc="0" locked="0" layoutInCell="1" allowOverlap="1">
                  <wp:simplePos x="0" y="0"/>
                  <wp:positionH relativeFrom="column">
                    <wp:posOffset>-21590</wp:posOffset>
                  </wp:positionH>
                  <wp:positionV relativeFrom="paragraph">
                    <wp:posOffset>196850</wp:posOffset>
                  </wp:positionV>
                  <wp:extent cx="1115060" cy="67310"/>
                  <wp:effectExtent l="0" t="0" r="8890" b="8890"/>
                  <wp:wrapNone/>
                  <wp:docPr id="7" name="图片_3"/>
                  <wp:cNvGraphicFramePr/>
                  <a:graphic xmlns:a="http://schemas.openxmlformats.org/drawingml/2006/main">
                    <a:graphicData uri="http://schemas.openxmlformats.org/drawingml/2006/picture">
                      <pic:pic xmlns:pic="http://schemas.openxmlformats.org/drawingml/2006/picture">
                        <pic:nvPicPr>
                          <pic:cNvPr id="7" name="图片_3"/>
                          <pic:cNvPicPr/>
                        </pic:nvPicPr>
                        <pic:blipFill>
                          <a:blip r:embed="rId13"/>
                          <a:stretch>
                            <a:fillRect/>
                          </a:stretch>
                        </pic:blipFill>
                        <pic:spPr>
                          <a:xfrm>
                            <a:off x="0" y="0"/>
                            <a:ext cx="1115060" cy="67310"/>
                          </a:xfrm>
                          <a:prstGeom prst="rect">
                            <a:avLst/>
                          </a:prstGeom>
                          <a:noFill/>
                          <a:ln>
                            <a:noFill/>
                          </a:ln>
                        </pic:spPr>
                      </pic:pic>
                    </a:graphicData>
                  </a:graphic>
                </wp:anchor>
              </w:drawing>
            </w:r>
          </w:p>
        </w:tc>
        <w:tc>
          <w:tcPr>
            <w:tcW w:w="498" w:type="pct"/>
            <w:tcBorders>
              <w:top w:val="nil"/>
              <w:left w:val="nil"/>
              <w:bottom w:val="single" w:color="000000" w:sz="8" w:space="0"/>
              <w:right w:val="single" w:color="000000" w:sz="8" w:space="0"/>
            </w:tcBorders>
            <w:shd w:val="clear" w:color="auto" w:fill="auto"/>
            <w:noWrap/>
            <w:vAlign w:val="center"/>
          </w:tcPr>
          <w:p w14:paraId="6389F108">
            <w:pPr>
              <w:jc w:val="center"/>
              <w:rPr>
                <w:rFonts w:hint="default" w:ascii="Times New Roman" w:hAnsi="Times New Roman" w:eastAsia="仿宋" w:cs="Times New Roman"/>
                <w:i w:val="0"/>
                <w:iCs w:val="0"/>
                <w:color w:val="auto"/>
                <w:sz w:val="24"/>
                <w:szCs w:val="24"/>
                <w:highlight w:val="none"/>
                <w:u w:val="none"/>
              </w:rPr>
            </w:pPr>
          </w:p>
        </w:tc>
        <w:tc>
          <w:tcPr>
            <w:tcW w:w="664" w:type="pct"/>
            <w:tcBorders>
              <w:top w:val="nil"/>
              <w:left w:val="nil"/>
              <w:bottom w:val="single" w:color="000000" w:sz="8" w:space="0"/>
              <w:right w:val="single" w:color="000000" w:sz="8" w:space="0"/>
            </w:tcBorders>
            <w:shd w:val="clear" w:color="auto" w:fill="auto"/>
            <w:noWrap/>
            <w:vAlign w:val="center"/>
          </w:tcPr>
          <w:p w14:paraId="21779185">
            <w:pPr>
              <w:jc w:val="center"/>
            </w:pPr>
          </w:p>
        </w:tc>
      </w:tr>
      <w:tr w14:paraId="69DBE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06" w:type="pct"/>
            <w:tcBorders>
              <w:top w:val="nil"/>
              <w:left w:val="single" w:color="000000" w:sz="8" w:space="0"/>
              <w:bottom w:val="single" w:color="000000" w:sz="8" w:space="0"/>
              <w:right w:val="single" w:color="000000" w:sz="8" w:space="0"/>
            </w:tcBorders>
            <w:shd w:val="clear" w:color="auto" w:fill="auto"/>
            <w:vAlign w:val="center"/>
          </w:tcPr>
          <w:p w14:paraId="3FEFCD3B">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eastAsia" w:ascii="Times New Roman" w:hAnsi="Times New Roman" w:eastAsia="仿宋" w:cs="仿宋"/>
                <w:i w:val="0"/>
                <w:iCs w:val="0"/>
                <w:color w:val="auto"/>
                <w:kern w:val="0"/>
                <w:sz w:val="24"/>
                <w:szCs w:val="24"/>
                <w:highlight w:val="none"/>
                <w:u w:val="none"/>
                <w:lang w:val="en-US" w:eastAsia="zh-CN" w:bidi="ar"/>
              </w:rPr>
              <w:t>竣工验收</w:t>
            </w:r>
          </w:p>
        </w:tc>
        <w:tc>
          <w:tcPr>
            <w:tcW w:w="667" w:type="pct"/>
            <w:tcBorders>
              <w:top w:val="nil"/>
              <w:left w:val="nil"/>
              <w:bottom w:val="single" w:color="000000" w:sz="8" w:space="0"/>
              <w:right w:val="single" w:color="000000" w:sz="8" w:space="0"/>
            </w:tcBorders>
            <w:shd w:val="clear" w:color="auto" w:fill="auto"/>
            <w:vAlign w:val="center"/>
          </w:tcPr>
          <w:p w14:paraId="29D7D357">
            <w:pPr>
              <w:jc w:val="center"/>
              <w:rPr>
                <w:rFonts w:hint="default" w:ascii="Times New Roman" w:hAnsi="Times New Roman" w:eastAsia="仿宋" w:cs="Times New Roman"/>
                <w:i w:val="0"/>
                <w:iCs w:val="0"/>
                <w:color w:val="auto"/>
                <w:sz w:val="24"/>
                <w:szCs w:val="24"/>
                <w:highlight w:val="none"/>
                <w:u w:val="none"/>
              </w:rPr>
            </w:pPr>
          </w:p>
        </w:tc>
        <w:tc>
          <w:tcPr>
            <w:tcW w:w="429" w:type="pct"/>
            <w:tcBorders>
              <w:top w:val="nil"/>
              <w:left w:val="nil"/>
              <w:bottom w:val="single" w:color="000000" w:sz="8" w:space="0"/>
              <w:right w:val="single" w:color="000000" w:sz="8" w:space="0"/>
            </w:tcBorders>
            <w:shd w:val="clear" w:color="auto" w:fill="auto"/>
            <w:vAlign w:val="center"/>
          </w:tcPr>
          <w:p w14:paraId="074D3E56">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vAlign w:val="center"/>
          </w:tcPr>
          <w:p w14:paraId="412F1863">
            <w:pPr>
              <w:jc w:val="center"/>
              <w:rPr>
                <w:rFonts w:hint="default" w:ascii="Times New Roman" w:hAnsi="Times New Roman" w:eastAsia="仿宋" w:cs="Times New Roman"/>
                <w:i w:val="0"/>
                <w:iCs w:val="0"/>
                <w:color w:val="auto"/>
                <w:sz w:val="24"/>
                <w:szCs w:val="24"/>
                <w:highlight w:val="none"/>
                <w:u w:val="none"/>
              </w:rPr>
            </w:pPr>
          </w:p>
        </w:tc>
        <w:tc>
          <w:tcPr>
            <w:tcW w:w="492" w:type="pct"/>
            <w:tcBorders>
              <w:top w:val="nil"/>
              <w:left w:val="nil"/>
              <w:bottom w:val="single" w:color="000000" w:sz="8" w:space="0"/>
              <w:right w:val="single" w:color="000000" w:sz="8" w:space="0"/>
            </w:tcBorders>
            <w:shd w:val="clear" w:color="auto" w:fill="auto"/>
            <w:noWrap/>
            <w:vAlign w:val="center"/>
          </w:tcPr>
          <w:p w14:paraId="5FAA3F31">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noWrap/>
            <w:vAlign w:val="center"/>
          </w:tcPr>
          <w:p w14:paraId="392942B8">
            <w:pPr>
              <w:jc w:val="center"/>
              <w:rPr>
                <w:rFonts w:hint="default" w:ascii="Times New Roman" w:hAnsi="Times New Roman" w:eastAsia="仿宋" w:cs="Times New Roman"/>
                <w:i w:val="0"/>
                <w:iCs w:val="0"/>
                <w:color w:val="auto"/>
                <w:sz w:val="24"/>
                <w:szCs w:val="24"/>
                <w:highlight w:val="none"/>
                <w:u w:val="none"/>
              </w:rPr>
            </w:pPr>
          </w:p>
        </w:tc>
        <w:tc>
          <w:tcPr>
            <w:tcW w:w="480" w:type="pct"/>
            <w:tcBorders>
              <w:top w:val="nil"/>
              <w:left w:val="nil"/>
              <w:bottom w:val="single" w:color="000000" w:sz="8" w:space="0"/>
              <w:right w:val="single" w:color="000000" w:sz="8" w:space="0"/>
            </w:tcBorders>
            <w:shd w:val="clear" w:color="auto" w:fill="auto"/>
            <w:noWrap/>
            <w:vAlign w:val="center"/>
          </w:tcPr>
          <w:p w14:paraId="77D09ECD">
            <w:pPr>
              <w:jc w:val="center"/>
            </w:pPr>
          </w:p>
        </w:tc>
        <w:tc>
          <w:tcPr>
            <w:tcW w:w="498" w:type="pct"/>
            <w:tcBorders>
              <w:top w:val="nil"/>
              <w:left w:val="nil"/>
              <w:bottom w:val="single" w:color="000000" w:sz="8" w:space="0"/>
              <w:right w:val="single" w:color="000000" w:sz="8" w:space="0"/>
            </w:tcBorders>
            <w:shd w:val="clear" w:color="auto" w:fill="auto"/>
            <w:noWrap/>
            <w:vAlign w:val="center"/>
          </w:tcPr>
          <w:p w14:paraId="5B9B62E6">
            <w:pPr>
              <w:jc w:val="center"/>
              <w:rPr>
                <w:rFonts w:hint="default" w:ascii="Times New Roman" w:hAnsi="Times New Roman" w:eastAsia="仿宋" w:cs="Times New Roman"/>
                <w:i w:val="0"/>
                <w:iCs w:val="0"/>
                <w:color w:val="auto"/>
                <w:sz w:val="24"/>
                <w:szCs w:val="24"/>
                <w:highlight w:val="none"/>
                <w:u w:val="none"/>
              </w:rPr>
            </w:pPr>
            <w:r>
              <w:rPr>
                <w:rFonts w:hint="eastAsia" w:ascii="Times New Roman" w:hAnsi="Times New Roman" w:eastAsia="仿宋" w:cs="宋体"/>
                <w:i w:val="0"/>
                <w:iCs w:val="0"/>
                <w:color w:val="auto"/>
                <w:kern w:val="0"/>
                <w:sz w:val="22"/>
                <w:szCs w:val="22"/>
                <w:highlight w:val="none"/>
                <w:u w:val="none"/>
                <w:lang w:val="en-US" w:eastAsia="zh-CN" w:bidi="ar"/>
              </w:rPr>
              <w:drawing>
                <wp:anchor distT="0" distB="0" distL="114300" distR="114300" simplePos="0" relativeHeight="251665408" behindDoc="0" locked="0" layoutInCell="1" allowOverlap="1">
                  <wp:simplePos x="0" y="0"/>
                  <wp:positionH relativeFrom="column">
                    <wp:posOffset>490220</wp:posOffset>
                  </wp:positionH>
                  <wp:positionV relativeFrom="paragraph">
                    <wp:posOffset>164465</wp:posOffset>
                  </wp:positionV>
                  <wp:extent cx="619760" cy="57150"/>
                  <wp:effectExtent l="0" t="0" r="8890" b="0"/>
                  <wp:wrapNone/>
                  <wp:docPr id="9" name="图片_4"/>
                  <wp:cNvGraphicFramePr/>
                  <a:graphic xmlns:a="http://schemas.openxmlformats.org/drawingml/2006/main">
                    <a:graphicData uri="http://schemas.openxmlformats.org/drawingml/2006/picture">
                      <pic:pic xmlns:pic="http://schemas.openxmlformats.org/drawingml/2006/picture">
                        <pic:nvPicPr>
                          <pic:cNvPr id="9" name="图片_4"/>
                          <pic:cNvPicPr/>
                        </pic:nvPicPr>
                        <pic:blipFill>
                          <a:blip r:embed="rId14"/>
                          <a:stretch>
                            <a:fillRect/>
                          </a:stretch>
                        </pic:blipFill>
                        <pic:spPr>
                          <a:xfrm>
                            <a:off x="0" y="0"/>
                            <a:ext cx="619760" cy="57150"/>
                          </a:xfrm>
                          <a:prstGeom prst="rect">
                            <a:avLst/>
                          </a:prstGeom>
                          <a:noFill/>
                          <a:ln>
                            <a:noFill/>
                          </a:ln>
                        </pic:spPr>
                      </pic:pic>
                    </a:graphicData>
                  </a:graphic>
                </wp:anchor>
              </w:drawing>
            </w:r>
          </w:p>
        </w:tc>
        <w:tc>
          <w:tcPr>
            <w:tcW w:w="664" w:type="pct"/>
            <w:tcBorders>
              <w:top w:val="nil"/>
              <w:left w:val="nil"/>
              <w:bottom w:val="single" w:color="000000" w:sz="8" w:space="0"/>
              <w:right w:val="single" w:color="000000" w:sz="8" w:space="0"/>
            </w:tcBorders>
            <w:shd w:val="clear" w:color="auto" w:fill="auto"/>
            <w:noWrap/>
            <w:vAlign w:val="center"/>
          </w:tcPr>
          <w:p w14:paraId="2762D46A">
            <w:pPr>
              <w:keepNext w:val="0"/>
              <w:keepLines w:val="0"/>
              <w:widowControl/>
              <w:suppressLineNumbers w:val="0"/>
              <w:jc w:val="left"/>
              <w:textAlignment w:val="center"/>
            </w:pPr>
          </w:p>
        </w:tc>
      </w:tr>
    </w:tbl>
    <w:p w14:paraId="0183E59A">
      <w:pPr>
        <w:pStyle w:val="34"/>
        <w:keepNext w:val="0"/>
        <w:keepLines w:val="0"/>
        <w:pageBreakBefore w:val="0"/>
        <w:widowControl w:val="0"/>
        <w:numPr>
          <w:ilvl w:val="1"/>
          <w:numId w:val="0"/>
        </w:numPr>
        <w:tabs>
          <w:tab w:val="clear" w:pos="420"/>
          <w:tab w:val="clear" w:pos="567"/>
        </w:tabs>
        <w:kinsoku/>
        <w:wordWrap/>
        <w:overflowPunct/>
        <w:topLinePunct w:val="0"/>
        <w:autoSpaceDE/>
        <w:autoSpaceDN/>
        <w:bidi w:val="0"/>
        <w:adjustRightInd w:val="0"/>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bookmarkStart w:id="54" w:name="_Toc29205"/>
      <w:r>
        <w:rPr>
          <w:rFonts w:hint="eastAsia" w:ascii="Times New Roman" w:hAnsi="Times New Roman" w:eastAsia="仿宋" w:cs="Times New Roman"/>
          <w:b/>
          <w:color w:val="auto"/>
          <w:kern w:val="2"/>
          <w:sz w:val="28"/>
          <w:szCs w:val="28"/>
          <w:lang w:val="en-US" w:eastAsia="zh-CN" w:bidi="ar-SA"/>
        </w:rPr>
        <w:t xml:space="preserve">4.7 </w:t>
      </w:r>
      <w:r>
        <w:rPr>
          <w:rFonts w:hint="default" w:ascii="Times New Roman" w:hAnsi="Times New Roman" w:eastAsia="仿宋" w:cs="Times New Roman"/>
          <w:color w:val="auto"/>
          <w:sz w:val="28"/>
          <w:szCs w:val="28"/>
          <w:highlight w:val="none"/>
        </w:rPr>
        <w:t>工程招标</w:t>
      </w:r>
      <w:bookmarkEnd w:id="54"/>
    </w:p>
    <w:p w14:paraId="2AD9516A">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 xml:space="preserve">4.7.1 </w:t>
      </w:r>
      <w:r>
        <w:rPr>
          <w:rFonts w:hint="default" w:ascii="Times New Roman" w:hAnsi="Times New Roman" w:eastAsia="仿宋" w:cs="Times New Roman"/>
          <w:color w:val="auto"/>
          <w:sz w:val="28"/>
          <w:szCs w:val="28"/>
          <w:highlight w:val="none"/>
        </w:rPr>
        <w:t>招标依据</w:t>
      </w:r>
    </w:p>
    <w:p w14:paraId="7E9DCFF5">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1、</w:t>
      </w:r>
      <w:r>
        <w:rPr>
          <w:rFonts w:hint="default" w:ascii="Times New Roman" w:hAnsi="Times New Roman" w:eastAsia="仿宋" w:cs="Times New Roman"/>
          <w:color w:val="auto"/>
          <w:kern w:val="0"/>
          <w:sz w:val="24"/>
          <w:szCs w:val="24"/>
          <w:highlight w:val="none"/>
          <w:lang w:val="zh-CN" w:eastAsia="zh-CN" w:bidi="ar-SA"/>
        </w:rPr>
        <w:t>《中华人民共和国招标投标法》；</w:t>
      </w:r>
    </w:p>
    <w:p w14:paraId="624D0B7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2、</w:t>
      </w:r>
      <w:r>
        <w:rPr>
          <w:rFonts w:hint="default" w:ascii="Times New Roman" w:hAnsi="Times New Roman" w:eastAsia="仿宋" w:cs="Times New Roman"/>
          <w:color w:val="auto"/>
          <w:kern w:val="0"/>
          <w:sz w:val="24"/>
          <w:szCs w:val="24"/>
          <w:highlight w:val="none"/>
          <w:lang w:val="zh-CN" w:eastAsia="zh-CN" w:bidi="ar-SA"/>
        </w:rPr>
        <w:t>广东省实施《中华人民共和国招标投标法》办法；</w:t>
      </w:r>
    </w:p>
    <w:p w14:paraId="4DB1D8D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3、</w:t>
      </w:r>
      <w:r>
        <w:rPr>
          <w:rFonts w:hint="default" w:ascii="Times New Roman" w:hAnsi="Times New Roman" w:eastAsia="仿宋" w:cs="Times New Roman"/>
          <w:color w:val="auto"/>
          <w:kern w:val="0"/>
          <w:sz w:val="24"/>
          <w:szCs w:val="24"/>
          <w:highlight w:val="none"/>
          <w:lang w:val="zh-CN" w:eastAsia="zh-CN" w:bidi="ar-SA"/>
        </w:rPr>
        <w:t>工程建设项目</w:t>
      </w:r>
      <w:r>
        <w:rPr>
          <w:rFonts w:hint="eastAsia" w:eastAsia="仿宋" w:cs="Times New Roman"/>
          <w:color w:val="auto"/>
          <w:kern w:val="0"/>
          <w:sz w:val="24"/>
          <w:szCs w:val="24"/>
          <w:highlight w:val="none"/>
          <w:lang w:val="zh-CN" w:eastAsia="zh-CN" w:bidi="ar-SA"/>
        </w:rPr>
        <w:t>勘测</w:t>
      </w:r>
      <w:r>
        <w:rPr>
          <w:rFonts w:hint="default" w:ascii="Times New Roman" w:hAnsi="Times New Roman" w:eastAsia="仿宋" w:cs="Times New Roman"/>
          <w:color w:val="auto"/>
          <w:kern w:val="0"/>
          <w:sz w:val="24"/>
          <w:szCs w:val="24"/>
          <w:highlight w:val="none"/>
          <w:lang w:val="zh-CN" w:eastAsia="zh-CN" w:bidi="ar-SA"/>
        </w:rPr>
        <w:t>设计招标投标法办法；</w:t>
      </w:r>
    </w:p>
    <w:p w14:paraId="580E7A68">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4、</w:t>
      </w:r>
      <w:r>
        <w:rPr>
          <w:rFonts w:hint="default" w:ascii="Times New Roman" w:hAnsi="Times New Roman" w:eastAsia="仿宋" w:cs="Times New Roman"/>
          <w:color w:val="auto"/>
          <w:kern w:val="0"/>
          <w:sz w:val="24"/>
          <w:szCs w:val="24"/>
          <w:highlight w:val="none"/>
          <w:lang w:val="zh-CN" w:eastAsia="zh-CN" w:bidi="ar-SA"/>
        </w:rPr>
        <w:t>《工程建设项目可行性研究报告增加招标内容和核准招标事项暂行规定》；</w:t>
      </w:r>
    </w:p>
    <w:p w14:paraId="541F533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5、</w:t>
      </w:r>
      <w:r>
        <w:rPr>
          <w:rFonts w:hint="default" w:ascii="Times New Roman" w:hAnsi="Times New Roman" w:eastAsia="仿宋" w:cs="Times New Roman"/>
          <w:color w:val="auto"/>
          <w:kern w:val="0"/>
          <w:sz w:val="24"/>
          <w:szCs w:val="24"/>
          <w:highlight w:val="none"/>
          <w:lang w:val="zh-CN" w:eastAsia="zh-CN" w:bidi="ar-SA"/>
        </w:rPr>
        <w:t>《必须招标的工程项目规定》（中华人民共和国国家发展和改革委员会令第16号文）；</w:t>
      </w:r>
    </w:p>
    <w:p w14:paraId="34CAE8E7">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6、</w:t>
      </w:r>
      <w:r>
        <w:rPr>
          <w:rFonts w:hint="default" w:ascii="Times New Roman" w:hAnsi="Times New Roman" w:eastAsia="仿宋" w:cs="Times New Roman"/>
          <w:color w:val="auto"/>
          <w:kern w:val="0"/>
          <w:sz w:val="24"/>
          <w:szCs w:val="24"/>
          <w:highlight w:val="none"/>
          <w:lang w:val="zh-CN" w:eastAsia="zh-CN" w:bidi="ar-SA"/>
        </w:rPr>
        <w:t>《国家发展改革委办公厅关于进一步做好</w:t>
      </w:r>
      <w:r>
        <w:rPr>
          <w:rFonts w:hint="eastAsia" w:eastAsia="仿宋" w:cs="Times New Roman"/>
          <w:color w:val="auto"/>
          <w:kern w:val="0"/>
          <w:sz w:val="24"/>
          <w:szCs w:val="24"/>
          <w:highlight w:val="none"/>
          <w:lang w:val="zh-CN" w:eastAsia="zh-CN" w:bidi="ar-SA"/>
        </w:rPr>
        <w:t>〈</w:t>
      </w:r>
      <w:r>
        <w:rPr>
          <w:rFonts w:hint="default" w:ascii="Times New Roman" w:hAnsi="Times New Roman" w:eastAsia="仿宋" w:cs="Times New Roman"/>
          <w:color w:val="auto"/>
          <w:kern w:val="0"/>
          <w:sz w:val="24"/>
          <w:szCs w:val="24"/>
          <w:highlight w:val="none"/>
          <w:lang w:val="zh-CN" w:eastAsia="zh-CN" w:bidi="ar-SA"/>
        </w:rPr>
        <w:t>必须招标的工程项目规定</w:t>
      </w:r>
      <w:r>
        <w:rPr>
          <w:rFonts w:hint="eastAsia" w:eastAsia="仿宋" w:cs="Times New Roman"/>
          <w:color w:val="auto"/>
          <w:kern w:val="0"/>
          <w:sz w:val="24"/>
          <w:szCs w:val="24"/>
          <w:highlight w:val="none"/>
          <w:lang w:val="zh-CN" w:eastAsia="zh-CN" w:bidi="ar-SA"/>
        </w:rPr>
        <w:t>〉</w:t>
      </w:r>
      <w:r>
        <w:rPr>
          <w:rFonts w:hint="default" w:ascii="Times New Roman" w:hAnsi="Times New Roman" w:eastAsia="仿宋" w:cs="Times New Roman"/>
          <w:color w:val="auto"/>
          <w:kern w:val="0"/>
          <w:sz w:val="24"/>
          <w:szCs w:val="24"/>
          <w:highlight w:val="none"/>
          <w:lang w:val="zh-CN" w:eastAsia="zh-CN" w:bidi="ar-SA"/>
        </w:rPr>
        <w:t>和</w:t>
      </w:r>
      <w:r>
        <w:rPr>
          <w:rFonts w:hint="eastAsia" w:eastAsia="仿宋" w:cs="Times New Roman"/>
          <w:color w:val="auto"/>
          <w:kern w:val="0"/>
          <w:sz w:val="24"/>
          <w:szCs w:val="24"/>
          <w:highlight w:val="none"/>
          <w:lang w:val="zh-CN" w:eastAsia="zh-CN" w:bidi="ar-SA"/>
        </w:rPr>
        <w:t>〈</w:t>
      </w:r>
      <w:r>
        <w:rPr>
          <w:rFonts w:hint="default" w:ascii="Times New Roman" w:hAnsi="Times New Roman" w:eastAsia="仿宋" w:cs="Times New Roman"/>
          <w:color w:val="auto"/>
          <w:kern w:val="0"/>
          <w:sz w:val="24"/>
          <w:szCs w:val="24"/>
          <w:highlight w:val="none"/>
          <w:lang w:val="zh-CN" w:eastAsia="zh-CN" w:bidi="ar-SA"/>
        </w:rPr>
        <w:t>必须招标的基础设施和公用事业项目范围规定</w:t>
      </w:r>
      <w:r>
        <w:rPr>
          <w:rFonts w:hint="eastAsia" w:eastAsia="仿宋" w:cs="Times New Roman"/>
          <w:color w:val="auto"/>
          <w:kern w:val="0"/>
          <w:sz w:val="24"/>
          <w:szCs w:val="24"/>
          <w:highlight w:val="none"/>
          <w:lang w:val="zh-CN" w:eastAsia="zh-CN" w:bidi="ar-SA"/>
        </w:rPr>
        <w:t>〉</w:t>
      </w:r>
      <w:r>
        <w:rPr>
          <w:rFonts w:hint="default" w:ascii="Times New Roman" w:hAnsi="Times New Roman" w:eastAsia="仿宋" w:cs="Times New Roman"/>
          <w:color w:val="auto"/>
          <w:kern w:val="0"/>
          <w:sz w:val="24"/>
          <w:szCs w:val="24"/>
          <w:highlight w:val="none"/>
          <w:lang w:val="zh-CN" w:eastAsia="zh-CN" w:bidi="ar-SA"/>
        </w:rPr>
        <w:t>实施工作的通知》（发改办法规〔2020〕770号）；</w:t>
      </w:r>
    </w:p>
    <w:p w14:paraId="64B6DB8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7、</w:t>
      </w:r>
      <w:r>
        <w:rPr>
          <w:rFonts w:hint="default" w:ascii="Times New Roman" w:hAnsi="Times New Roman" w:eastAsia="仿宋" w:cs="Times New Roman"/>
          <w:color w:val="auto"/>
          <w:kern w:val="0"/>
          <w:sz w:val="24"/>
          <w:szCs w:val="24"/>
          <w:highlight w:val="none"/>
          <w:lang w:val="zh-CN" w:eastAsia="zh-CN" w:bidi="ar-SA"/>
        </w:rPr>
        <w:t>《政府投资条例》（中华人民共和国国务院令第712号）；</w:t>
      </w:r>
    </w:p>
    <w:p w14:paraId="45A3DA71">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en-US" w:eastAsia="zh-CN" w:bidi="ar-SA"/>
        </w:rPr>
        <w:t>8、</w:t>
      </w:r>
      <w:r>
        <w:rPr>
          <w:rFonts w:hint="default" w:ascii="Times New Roman" w:hAnsi="Times New Roman" w:eastAsia="仿宋" w:cs="Times New Roman"/>
          <w:color w:val="auto"/>
          <w:kern w:val="0"/>
          <w:sz w:val="24"/>
          <w:szCs w:val="24"/>
          <w:highlight w:val="none"/>
          <w:lang w:val="zh-CN" w:eastAsia="zh-CN" w:bidi="ar-SA"/>
        </w:rPr>
        <w:t>其他有关招标投标事项的规定。</w:t>
      </w:r>
    </w:p>
    <w:p w14:paraId="028CF8C5">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 xml:space="preserve">4.7.2 </w:t>
      </w:r>
      <w:r>
        <w:rPr>
          <w:rFonts w:hint="default" w:ascii="Times New Roman" w:hAnsi="Times New Roman" w:eastAsia="仿宋" w:cs="Times New Roman"/>
          <w:color w:val="auto"/>
          <w:sz w:val="28"/>
          <w:szCs w:val="28"/>
          <w:highlight w:val="none"/>
        </w:rPr>
        <w:t>招标范围</w:t>
      </w:r>
    </w:p>
    <w:p w14:paraId="17F1649F">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本工程严格按照《招标投标法》及相关规定进行招标活动。建设单位为对项目投资进行合理控制，拟在相关部门对本报告审批立项后，项目将进入下一阶段。</w:t>
      </w:r>
    </w:p>
    <w:p w14:paraId="57804FA2">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根据《必须招标的工程项目规定》的规定，本项目</w:t>
      </w:r>
      <w:r>
        <w:rPr>
          <w:rFonts w:hint="eastAsia" w:eastAsia="仿宋" w:cs="Times New Roman"/>
          <w:color w:val="auto"/>
          <w:kern w:val="0"/>
          <w:sz w:val="24"/>
          <w:szCs w:val="24"/>
          <w:highlight w:val="none"/>
          <w:lang w:val="en-US" w:eastAsia="zh-CN" w:bidi="ar-SA"/>
        </w:rPr>
        <w:t>每笔</w:t>
      </w:r>
      <w:r>
        <w:rPr>
          <w:rFonts w:hint="default" w:ascii="Times New Roman" w:hAnsi="Times New Roman" w:eastAsia="仿宋" w:cs="Times New Roman"/>
          <w:color w:val="auto"/>
          <w:kern w:val="0"/>
          <w:sz w:val="24"/>
          <w:szCs w:val="24"/>
          <w:highlight w:val="none"/>
          <w:lang w:val="en-US" w:eastAsia="zh-CN" w:bidi="ar-SA"/>
        </w:rPr>
        <w:t>必须</w:t>
      </w:r>
      <w:r>
        <w:rPr>
          <w:rFonts w:hint="eastAsia" w:eastAsia="仿宋" w:cs="Times New Roman"/>
          <w:color w:val="auto"/>
          <w:kern w:val="0"/>
          <w:sz w:val="24"/>
          <w:szCs w:val="24"/>
          <w:highlight w:val="none"/>
          <w:lang w:val="en-US" w:eastAsia="zh-CN" w:bidi="ar-SA"/>
        </w:rPr>
        <w:t>为</w:t>
      </w:r>
      <w:r>
        <w:rPr>
          <w:rFonts w:hint="default" w:ascii="Times New Roman" w:hAnsi="Times New Roman" w:eastAsia="仿宋" w:cs="Times New Roman"/>
          <w:color w:val="auto"/>
          <w:kern w:val="0"/>
          <w:sz w:val="24"/>
          <w:szCs w:val="24"/>
          <w:highlight w:val="none"/>
          <w:lang w:val="en-US" w:eastAsia="zh-CN" w:bidi="ar-SA"/>
        </w:rPr>
        <w:t>招标的工程项目</w:t>
      </w:r>
      <w:r>
        <w:rPr>
          <w:rFonts w:hint="default" w:ascii="Times New Roman" w:hAnsi="Times New Roman" w:eastAsia="仿宋" w:cs="Times New Roman"/>
          <w:color w:val="auto"/>
          <w:kern w:val="0"/>
          <w:sz w:val="24"/>
          <w:szCs w:val="24"/>
          <w:highlight w:val="none"/>
          <w:lang w:val="zh-CN" w:eastAsia="zh-CN" w:bidi="ar-SA"/>
        </w:rPr>
        <w:t>。</w:t>
      </w:r>
    </w:p>
    <w:p w14:paraId="43E6BCB8">
      <w:pPr>
        <w:pStyle w:val="35"/>
        <w:keepNext w:val="0"/>
        <w:keepLines w:val="0"/>
        <w:pageBreakBefore w:val="0"/>
        <w:widowControl w:val="0"/>
        <w:numPr>
          <w:ilvl w:val="2"/>
          <w:numId w:val="0"/>
        </w:numPr>
        <w:tabs>
          <w:tab w:val="clear" w:pos="420"/>
          <w:tab w:val="clear" w:pos="993"/>
        </w:tabs>
        <w:kinsoku/>
        <w:wordWrap/>
        <w:overflowPunct/>
        <w:topLinePunct w:val="0"/>
        <w:autoSpaceDE/>
        <w:autoSpaceDN/>
        <w:bidi w:val="0"/>
        <w:adjustRightInd/>
        <w:snapToGrid w:val="0"/>
        <w:spacing w:line="420" w:lineRule="exact"/>
        <w:ind w:left="0" w:leftChars="0" w:firstLine="562" w:firstLineChars="200"/>
        <w:textAlignment w:val="bottom"/>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b/>
          <w:color w:val="auto"/>
          <w:kern w:val="2"/>
          <w:sz w:val="28"/>
          <w:szCs w:val="28"/>
          <w:lang w:val="en-US" w:eastAsia="zh-CN" w:bidi="ar-SA"/>
        </w:rPr>
        <w:t xml:space="preserve">4.7.3 </w:t>
      </w:r>
      <w:r>
        <w:rPr>
          <w:rFonts w:hint="default" w:ascii="Times New Roman" w:hAnsi="Times New Roman" w:eastAsia="仿宋" w:cs="Times New Roman"/>
          <w:color w:val="auto"/>
          <w:sz w:val="28"/>
          <w:szCs w:val="28"/>
          <w:highlight w:val="none"/>
        </w:rPr>
        <w:t>招标组织方式</w:t>
      </w:r>
    </w:p>
    <w:p w14:paraId="5497F86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根据《中华人民共和国招标投标法</w:t>
      </w:r>
      <w:r>
        <w:rPr>
          <w:rFonts w:hint="eastAsia" w:eastAsia="仿宋" w:cs="Times New Roman"/>
          <w:color w:val="auto"/>
          <w:kern w:val="0"/>
          <w:sz w:val="24"/>
          <w:szCs w:val="24"/>
          <w:highlight w:val="none"/>
          <w:lang w:val="zh-CN" w:eastAsia="zh-CN" w:bidi="ar-SA"/>
        </w:rPr>
        <w:t>》《</w:t>
      </w:r>
      <w:r>
        <w:rPr>
          <w:rFonts w:hint="default" w:ascii="Times New Roman" w:hAnsi="Times New Roman" w:eastAsia="仿宋" w:cs="Times New Roman"/>
          <w:color w:val="auto"/>
          <w:kern w:val="0"/>
          <w:sz w:val="24"/>
          <w:szCs w:val="24"/>
          <w:highlight w:val="none"/>
          <w:lang w:val="zh-CN" w:eastAsia="zh-CN" w:bidi="ar-SA"/>
        </w:rPr>
        <w:t>必须招标的工程项目规定》（中华人民共和国国家发展和改革委员会令16号）的有关规定，结合项目建设的实际情况，合理确定本项目建设的招标内容、招标组织形式和方式，按照法定程序优选项目参建单位。项目招标具体要求详见招标基本情况表。</w:t>
      </w:r>
    </w:p>
    <w:p w14:paraId="79B506B1">
      <w:pPr>
        <w:ind w:firstLine="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w:t>
      </w:r>
      <w:r>
        <w:rPr>
          <w:rFonts w:hint="eastAsia" w:ascii="Times New Roman" w:hAnsi="Times New Roman" w:eastAsia="仿宋" w:cs="Times New Roman"/>
          <w:b/>
          <w:bCs/>
          <w:color w:val="auto"/>
          <w:sz w:val="24"/>
          <w:highlight w:val="none"/>
          <w:lang w:val="en-US" w:eastAsia="zh-CN"/>
        </w:rPr>
        <w:t>4.7.3</w:t>
      </w:r>
      <w:r>
        <w:rPr>
          <w:rFonts w:hint="default" w:ascii="Times New Roman" w:hAnsi="Times New Roman" w:eastAsia="仿宋" w:cs="Times New Roman"/>
          <w:b/>
          <w:bCs/>
          <w:color w:val="auto"/>
          <w:sz w:val="24"/>
          <w:highlight w:val="none"/>
        </w:rPr>
        <w:t>-</w:t>
      </w:r>
      <w:r>
        <w:rPr>
          <w:rFonts w:hint="default" w:ascii="Times New Roman" w:hAnsi="Times New Roman" w:eastAsia="仿宋" w:cs="Times New Roman"/>
          <w:b/>
          <w:bCs/>
          <w:color w:val="auto"/>
          <w:sz w:val="24"/>
          <w:highlight w:val="none"/>
          <w:lang w:val="en-US" w:eastAsia="zh-CN"/>
        </w:rPr>
        <w:t>1</w:t>
      </w:r>
      <w:r>
        <w:rPr>
          <w:rFonts w:hint="default" w:ascii="Times New Roman" w:hAnsi="Times New Roman" w:eastAsia="仿宋" w:cs="Times New Roman"/>
          <w:b/>
          <w:bCs/>
          <w:color w:val="auto"/>
          <w:sz w:val="24"/>
          <w:highlight w:val="none"/>
        </w:rPr>
        <w:t>招标基本情况表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39"/>
        <w:gridCol w:w="752"/>
        <w:gridCol w:w="752"/>
        <w:gridCol w:w="756"/>
        <w:gridCol w:w="752"/>
        <w:gridCol w:w="756"/>
        <w:gridCol w:w="877"/>
        <w:gridCol w:w="1174"/>
        <w:gridCol w:w="1723"/>
      </w:tblGrid>
      <w:tr w14:paraId="40C5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27" w:type="pct"/>
            <w:vMerge w:val="restart"/>
            <w:noWrap w:val="0"/>
            <w:vAlign w:val="center"/>
          </w:tcPr>
          <w:p w14:paraId="08DC1CFF">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分类</w:t>
            </w:r>
          </w:p>
        </w:tc>
        <w:tc>
          <w:tcPr>
            <w:tcW w:w="823" w:type="pct"/>
            <w:gridSpan w:val="2"/>
            <w:noWrap w:val="0"/>
            <w:vAlign w:val="center"/>
          </w:tcPr>
          <w:p w14:paraId="6E6D1E02">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招标范围</w:t>
            </w:r>
          </w:p>
        </w:tc>
        <w:tc>
          <w:tcPr>
            <w:tcW w:w="832" w:type="pct"/>
            <w:gridSpan w:val="2"/>
            <w:noWrap w:val="0"/>
            <w:vAlign w:val="center"/>
          </w:tcPr>
          <w:p w14:paraId="4F9F5758">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招标组织形式</w:t>
            </w:r>
          </w:p>
        </w:tc>
        <w:tc>
          <w:tcPr>
            <w:tcW w:w="832" w:type="pct"/>
            <w:gridSpan w:val="2"/>
            <w:noWrap w:val="0"/>
            <w:vAlign w:val="center"/>
          </w:tcPr>
          <w:p w14:paraId="6B7168EA">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招标方式</w:t>
            </w:r>
          </w:p>
        </w:tc>
        <w:tc>
          <w:tcPr>
            <w:tcW w:w="484" w:type="pct"/>
            <w:vMerge w:val="restart"/>
            <w:noWrap w:val="0"/>
            <w:vAlign w:val="center"/>
          </w:tcPr>
          <w:p w14:paraId="508E3DB5">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不采用</w:t>
            </w:r>
          </w:p>
          <w:p w14:paraId="1B9EDD5E">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招标方式</w:t>
            </w:r>
          </w:p>
        </w:tc>
        <w:tc>
          <w:tcPr>
            <w:tcW w:w="648" w:type="pct"/>
            <w:vMerge w:val="restart"/>
            <w:noWrap w:val="0"/>
            <w:vAlign w:val="center"/>
          </w:tcPr>
          <w:p w14:paraId="72D6C7ED">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招标估算金额（万元）</w:t>
            </w:r>
          </w:p>
        </w:tc>
        <w:tc>
          <w:tcPr>
            <w:tcW w:w="951" w:type="pct"/>
            <w:vMerge w:val="restart"/>
            <w:noWrap w:val="0"/>
            <w:vAlign w:val="center"/>
          </w:tcPr>
          <w:p w14:paraId="6907C02A">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备注</w:t>
            </w:r>
          </w:p>
        </w:tc>
      </w:tr>
      <w:tr w14:paraId="579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27" w:type="pct"/>
            <w:vMerge w:val="continue"/>
            <w:noWrap w:val="0"/>
            <w:vAlign w:val="top"/>
          </w:tcPr>
          <w:p w14:paraId="1C48D235">
            <w:pPr>
              <w:spacing w:line="0" w:lineRule="atLeast"/>
              <w:ind w:firstLine="0"/>
              <w:jc w:val="center"/>
              <w:rPr>
                <w:rFonts w:hint="default" w:ascii="Times New Roman" w:hAnsi="Times New Roman" w:eastAsia="仿宋" w:cs="Times New Roman"/>
                <w:color w:val="auto"/>
                <w:sz w:val="24"/>
                <w:szCs w:val="24"/>
                <w:highlight w:val="none"/>
              </w:rPr>
            </w:pPr>
          </w:p>
        </w:tc>
        <w:tc>
          <w:tcPr>
            <w:tcW w:w="408" w:type="pct"/>
            <w:noWrap w:val="0"/>
            <w:vAlign w:val="center"/>
          </w:tcPr>
          <w:p w14:paraId="13D8DB08">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全部</w:t>
            </w:r>
          </w:p>
          <w:p w14:paraId="1E49A216">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w:t>
            </w:r>
          </w:p>
        </w:tc>
        <w:tc>
          <w:tcPr>
            <w:tcW w:w="415" w:type="pct"/>
            <w:noWrap w:val="0"/>
            <w:vAlign w:val="center"/>
          </w:tcPr>
          <w:p w14:paraId="311C87F2">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部分</w:t>
            </w:r>
          </w:p>
          <w:p w14:paraId="40C567CF">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w:t>
            </w:r>
          </w:p>
        </w:tc>
        <w:tc>
          <w:tcPr>
            <w:tcW w:w="415" w:type="pct"/>
            <w:noWrap w:val="0"/>
            <w:vAlign w:val="center"/>
          </w:tcPr>
          <w:p w14:paraId="39B221AC">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自行</w:t>
            </w:r>
          </w:p>
          <w:p w14:paraId="7D6FA753">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w:t>
            </w:r>
          </w:p>
        </w:tc>
        <w:tc>
          <w:tcPr>
            <w:tcW w:w="416" w:type="pct"/>
            <w:noWrap w:val="0"/>
            <w:vAlign w:val="center"/>
          </w:tcPr>
          <w:p w14:paraId="325A37AE">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委托</w:t>
            </w:r>
          </w:p>
          <w:p w14:paraId="27FA308E">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w:t>
            </w:r>
          </w:p>
        </w:tc>
        <w:tc>
          <w:tcPr>
            <w:tcW w:w="415" w:type="pct"/>
            <w:noWrap w:val="0"/>
            <w:vAlign w:val="center"/>
          </w:tcPr>
          <w:p w14:paraId="6FE82AD6">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公开</w:t>
            </w:r>
          </w:p>
          <w:p w14:paraId="0266C238">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w:t>
            </w:r>
          </w:p>
        </w:tc>
        <w:tc>
          <w:tcPr>
            <w:tcW w:w="416" w:type="pct"/>
            <w:noWrap w:val="0"/>
            <w:vAlign w:val="center"/>
          </w:tcPr>
          <w:p w14:paraId="58D9AB6E">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邀请</w:t>
            </w:r>
          </w:p>
          <w:p w14:paraId="016EA5A2">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招标</w:t>
            </w:r>
          </w:p>
        </w:tc>
        <w:tc>
          <w:tcPr>
            <w:tcW w:w="484" w:type="pct"/>
            <w:vMerge w:val="continue"/>
            <w:noWrap w:val="0"/>
            <w:vAlign w:val="center"/>
          </w:tcPr>
          <w:p w14:paraId="0F05CA78">
            <w:pPr>
              <w:spacing w:line="0" w:lineRule="atLeast"/>
              <w:ind w:firstLine="0"/>
              <w:jc w:val="center"/>
              <w:rPr>
                <w:rFonts w:hint="default" w:ascii="Times New Roman" w:hAnsi="Times New Roman" w:eastAsia="仿宋" w:cs="Times New Roman"/>
                <w:color w:val="auto"/>
                <w:sz w:val="24"/>
                <w:szCs w:val="24"/>
                <w:highlight w:val="none"/>
              </w:rPr>
            </w:pPr>
          </w:p>
        </w:tc>
        <w:tc>
          <w:tcPr>
            <w:tcW w:w="648" w:type="pct"/>
            <w:vMerge w:val="continue"/>
            <w:noWrap w:val="0"/>
            <w:vAlign w:val="center"/>
          </w:tcPr>
          <w:p w14:paraId="45287671">
            <w:pPr>
              <w:spacing w:line="0" w:lineRule="atLeast"/>
              <w:ind w:firstLine="0"/>
              <w:jc w:val="center"/>
              <w:rPr>
                <w:rFonts w:hint="default" w:ascii="Times New Roman" w:hAnsi="Times New Roman" w:eastAsia="仿宋" w:cs="Times New Roman"/>
                <w:color w:val="auto"/>
                <w:sz w:val="24"/>
                <w:szCs w:val="24"/>
                <w:highlight w:val="none"/>
              </w:rPr>
            </w:pPr>
          </w:p>
        </w:tc>
        <w:tc>
          <w:tcPr>
            <w:tcW w:w="951" w:type="pct"/>
            <w:vMerge w:val="continue"/>
            <w:noWrap w:val="0"/>
            <w:vAlign w:val="center"/>
          </w:tcPr>
          <w:p w14:paraId="4FDD1BBF">
            <w:pPr>
              <w:spacing w:line="0" w:lineRule="atLeast"/>
              <w:ind w:firstLine="0"/>
              <w:jc w:val="center"/>
              <w:rPr>
                <w:rFonts w:hint="default" w:ascii="Times New Roman" w:hAnsi="Times New Roman" w:eastAsia="仿宋" w:cs="Times New Roman"/>
                <w:color w:val="auto"/>
                <w:sz w:val="24"/>
                <w:szCs w:val="24"/>
                <w:highlight w:val="none"/>
              </w:rPr>
            </w:pPr>
          </w:p>
        </w:tc>
      </w:tr>
      <w:tr w14:paraId="1DBE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3C5CF45C">
            <w:pPr>
              <w:spacing w:line="0" w:lineRule="atLeast"/>
              <w:ind w:firstLine="0" w:firstLineChars="0"/>
              <w:jc w:val="center"/>
              <w:rPr>
                <w:rFonts w:hint="eastAsia" w:ascii="Times New Roman" w:hAnsi="Times New Roman" w:eastAsia="仿宋" w:cs="Times New Roman"/>
                <w:color w:val="auto"/>
                <w:sz w:val="24"/>
                <w:szCs w:val="24"/>
                <w:highlight w:val="none"/>
                <w:lang w:eastAsia="zh-CN"/>
              </w:rPr>
            </w:pPr>
            <w:r>
              <w:rPr>
                <w:rFonts w:hint="eastAsia" w:eastAsia="仿宋" w:cs="Times New Roman"/>
                <w:color w:val="auto"/>
                <w:sz w:val="24"/>
                <w:szCs w:val="24"/>
                <w:highlight w:val="none"/>
                <w:lang w:eastAsia="zh-CN"/>
              </w:rPr>
              <w:t>勘测</w:t>
            </w:r>
          </w:p>
        </w:tc>
        <w:tc>
          <w:tcPr>
            <w:tcW w:w="738" w:type="dxa"/>
            <w:noWrap w:val="0"/>
            <w:vAlign w:val="center"/>
          </w:tcPr>
          <w:p w14:paraId="2D9E47E7">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650BE40B">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7D9ABF63">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17B5BA78">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DF63914">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420AF10F">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22C91078">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p>
        </w:tc>
        <w:tc>
          <w:tcPr>
            <w:tcW w:w="1174" w:type="dxa"/>
            <w:shd w:val="clear" w:color="auto" w:fill="auto"/>
            <w:noWrap w:val="0"/>
            <w:vAlign w:val="center"/>
          </w:tcPr>
          <w:p w14:paraId="56812A6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eastAsia" w:eastAsia="仿宋" w:cs="Times New Roman"/>
                <w:i w:val="0"/>
                <w:iCs w:val="0"/>
                <w:color w:val="auto"/>
                <w:kern w:val="0"/>
                <w:sz w:val="22"/>
                <w:szCs w:val="22"/>
                <w:highlight w:val="none"/>
                <w:u w:val="none"/>
                <w:lang w:val="en-US" w:eastAsia="zh-CN" w:bidi="ar"/>
              </w:rPr>
              <w:t>0.75</w:t>
            </w:r>
          </w:p>
        </w:tc>
        <w:tc>
          <w:tcPr>
            <w:tcW w:w="1728" w:type="dxa"/>
            <w:noWrap w:val="0"/>
            <w:vAlign w:val="center"/>
          </w:tcPr>
          <w:p w14:paraId="0C354444">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294F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181C4DDB">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设计</w:t>
            </w:r>
          </w:p>
        </w:tc>
        <w:tc>
          <w:tcPr>
            <w:tcW w:w="738" w:type="dxa"/>
            <w:noWrap w:val="0"/>
            <w:vAlign w:val="center"/>
          </w:tcPr>
          <w:p w14:paraId="031E56AC">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0681009B">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21FA5FF1">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21D8CD16">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0B37867C">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71661351">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1A12C8B8">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p>
        </w:tc>
        <w:tc>
          <w:tcPr>
            <w:tcW w:w="1174" w:type="dxa"/>
            <w:shd w:val="clear" w:color="auto" w:fill="auto"/>
            <w:noWrap w:val="0"/>
            <w:vAlign w:val="center"/>
          </w:tcPr>
          <w:p w14:paraId="5AA0324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eastAsia" w:eastAsia="仿宋" w:cs="Times New Roman"/>
                <w:i w:val="0"/>
                <w:iCs w:val="0"/>
                <w:color w:val="auto"/>
                <w:kern w:val="0"/>
                <w:sz w:val="22"/>
                <w:szCs w:val="22"/>
                <w:highlight w:val="none"/>
                <w:u w:val="none"/>
                <w:lang w:val="en-US" w:eastAsia="zh-CN" w:bidi="ar"/>
              </w:rPr>
              <w:t>2.11</w:t>
            </w:r>
          </w:p>
        </w:tc>
        <w:tc>
          <w:tcPr>
            <w:tcW w:w="1728" w:type="dxa"/>
            <w:noWrap w:val="0"/>
            <w:vAlign w:val="center"/>
          </w:tcPr>
          <w:p w14:paraId="24694F35">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5FF7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49874DD7">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建筑</w:t>
            </w:r>
          </w:p>
          <w:p w14:paraId="3F438C73">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工程</w:t>
            </w:r>
          </w:p>
        </w:tc>
        <w:tc>
          <w:tcPr>
            <w:tcW w:w="738" w:type="dxa"/>
            <w:noWrap w:val="0"/>
            <w:vAlign w:val="center"/>
          </w:tcPr>
          <w:p w14:paraId="3C4933B1">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1C6D092">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13907093">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561943D8">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0A565762">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6AAE25C2">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485F827D">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p>
        </w:tc>
        <w:tc>
          <w:tcPr>
            <w:tcW w:w="1174" w:type="dxa"/>
            <w:vMerge w:val="restart"/>
            <w:shd w:val="clear" w:color="auto" w:fill="auto"/>
            <w:noWrap w:val="0"/>
            <w:vAlign w:val="center"/>
          </w:tcPr>
          <w:p w14:paraId="099C4F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eastAsia" w:eastAsia="仿宋" w:cs="Times New Roman"/>
                <w:i w:val="0"/>
                <w:iCs w:val="0"/>
                <w:color w:val="auto"/>
                <w:kern w:val="0"/>
                <w:sz w:val="22"/>
                <w:szCs w:val="22"/>
                <w:highlight w:val="none"/>
                <w:u w:val="none"/>
                <w:lang w:val="en-US" w:eastAsia="zh-CN" w:bidi="ar"/>
              </w:rPr>
              <w:t>50.16</w:t>
            </w:r>
          </w:p>
        </w:tc>
        <w:tc>
          <w:tcPr>
            <w:tcW w:w="1728" w:type="dxa"/>
            <w:noWrap w:val="0"/>
            <w:vAlign w:val="center"/>
          </w:tcPr>
          <w:p w14:paraId="07ECF47B">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358F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44F19221">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安装</w:t>
            </w:r>
          </w:p>
          <w:p w14:paraId="43118252">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工程</w:t>
            </w:r>
          </w:p>
        </w:tc>
        <w:tc>
          <w:tcPr>
            <w:tcW w:w="738" w:type="dxa"/>
            <w:noWrap w:val="0"/>
            <w:vAlign w:val="center"/>
          </w:tcPr>
          <w:p w14:paraId="2FADD224">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2235946">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0EC00598">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4024E077">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22B66756">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741169E1">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06270831">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p>
        </w:tc>
        <w:tc>
          <w:tcPr>
            <w:tcW w:w="1174" w:type="dxa"/>
            <w:vMerge w:val="continue"/>
            <w:noWrap w:val="0"/>
            <w:vAlign w:val="center"/>
          </w:tcPr>
          <w:p w14:paraId="4AFD1308">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1728" w:type="dxa"/>
            <w:noWrap w:val="0"/>
            <w:vAlign w:val="center"/>
          </w:tcPr>
          <w:p w14:paraId="7DFEE9A8">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6835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159C16D1">
            <w:pPr>
              <w:spacing w:line="0" w:lineRule="atLeast"/>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设备</w:t>
            </w:r>
          </w:p>
        </w:tc>
        <w:tc>
          <w:tcPr>
            <w:tcW w:w="738" w:type="dxa"/>
            <w:noWrap w:val="0"/>
            <w:vAlign w:val="center"/>
          </w:tcPr>
          <w:p w14:paraId="58202F42">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5F1D6006">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6C4E0F80">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7ECD9FB8">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737850EC">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16BE5627">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6C1A9E61">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p>
        </w:tc>
        <w:tc>
          <w:tcPr>
            <w:tcW w:w="1174" w:type="dxa"/>
            <w:vMerge w:val="continue"/>
            <w:noWrap w:val="0"/>
            <w:vAlign w:val="center"/>
          </w:tcPr>
          <w:p w14:paraId="5A8EDE2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4"/>
                <w:szCs w:val="24"/>
                <w:highlight w:val="none"/>
                <w:u w:val="none"/>
                <w:lang w:val="en-US" w:eastAsia="zh-CN" w:bidi="ar-SA"/>
              </w:rPr>
            </w:pPr>
          </w:p>
        </w:tc>
        <w:tc>
          <w:tcPr>
            <w:tcW w:w="1728" w:type="dxa"/>
            <w:noWrap w:val="0"/>
            <w:vAlign w:val="center"/>
          </w:tcPr>
          <w:p w14:paraId="32286651">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0E8E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34DB56EF">
            <w:pPr>
              <w:spacing w:line="0" w:lineRule="atLeast"/>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监理</w:t>
            </w:r>
          </w:p>
        </w:tc>
        <w:tc>
          <w:tcPr>
            <w:tcW w:w="738" w:type="dxa"/>
            <w:noWrap w:val="0"/>
            <w:vAlign w:val="center"/>
          </w:tcPr>
          <w:p w14:paraId="4AA91BC0">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5EBDFA32">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78AC128">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6115D5E7">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0A304469">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1B3A4654">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4E732214">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p>
        </w:tc>
        <w:tc>
          <w:tcPr>
            <w:tcW w:w="1174" w:type="dxa"/>
            <w:shd w:val="clear" w:color="auto" w:fill="auto"/>
            <w:noWrap w:val="0"/>
            <w:vAlign w:val="center"/>
          </w:tcPr>
          <w:p w14:paraId="1CB86C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eastAsia" w:eastAsia="仿宋" w:cs="Times New Roman"/>
                <w:i w:val="0"/>
                <w:iCs w:val="0"/>
                <w:color w:val="auto"/>
                <w:kern w:val="0"/>
                <w:sz w:val="22"/>
                <w:szCs w:val="22"/>
                <w:highlight w:val="none"/>
                <w:u w:val="none"/>
                <w:lang w:val="en-US" w:eastAsia="zh-CN" w:bidi="ar"/>
              </w:rPr>
              <w:t>1.41</w:t>
            </w:r>
          </w:p>
        </w:tc>
        <w:tc>
          <w:tcPr>
            <w:tcW w:w="1728" w:type="dxa"/>
            <w:noWrap w:val="0"/>
            <w:vAlign w:val="center"/>
          </w:tcPr>
          <w:p w14:paraId="58B3D7A6">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4CBE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2725346D">
            <w:pPr>
              <w:spacing w:line="0" w:lineRule="atLeast"/>
              <w:ind w:firstLine="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重要</w:t>
            </w:r>
          </w:p>
          <w:p w14:paraId="30444370">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材料</w:t>
            </w:r>
          </w:p>
        </w:tc>
        <w:tc>
          <w:tcPr>
            <w:tcW w:w="738" w:type="dxa"/>
            <w:noWrap w:val="0"/>
            <w:vAlign w:val="center"/>
          </w:tcPr>
          <w:p w14:paraId="7194080D">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401A14FE">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724D1935">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0DD15141">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19416B2A">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32FAB193">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04DF11AF">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1174" w:type="dxa"/>
            <w:noWrap w:val="0"/>
            <w:vAlign w:val="center"/>
          </w:tcPr>
          <w:p w14:paraId="6B9B9694">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1728" w:type="dxa"/>
            <w:noWrap w:val="0"/>
            <w:vAlign w:val="center"/>
          </w:tcPr>
          <w:p w14:paraId="46A5D53C">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2854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2" w:type="dxa"/>
            <w:noWrap w:val="0"/>
            <w:vAlign w:val="center"/>
          </w:tcPr>
          <w:p w14:paraId="4CE89E3B">
            <w:pPr>
              <w:spacing w:line="0" w:lineRule="atLeast"/>
              <w:ind w:firstLine="0" w:firstLineChars="0"/>
              <w:jc w:val="center"/>
              <w:rPr>
                <w:rFonts w:hint="default" w:ascii="Times New Roman" w:hAnsi="Times New Roman" w:eastAsia="仿宋" w:cs="Times New Roman"/>
                <w:color w:val="auto"/>
                <w:sz w:val="24"/>
                <w:szCs w:val="24"/>
                <w:highlight w:val="none"/>
              </w:rPr>
            </w:pPr>
            <w:r>
              <w:rPr>
                <w:rFonts w:hint="eastAsia" w:eastAsia="仿宋" w:cs="Times New Roman"/>
                <w:color w:val="auto"/>
                <w:sz w:val="24"/>
                <w:szCs w:val="24"/>
                <w:highlight w:val="none"/>
                <w:lang w:eastAsia="zh-CN"/>
              </w:rPr>
              <w:t>其他</w:t>
            </w:r>
          </w:p>
        </w:tc>
        <w:tc>
          <w:tcPr>
            <w:tcW w:w="738" w:type="dxa"/>
            <w:noWrap w:val="0"/>
            <w:vAlign w:val="center"/>
          </w:tcPr>
          <w:p w14:paraId="0FE7F73F">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4BF4CE4">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40C215F">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564AFE1A">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2" w:type="dxa"/>
            <w:noWrap w:val="0"/>
            <w:vAlign w:val="center"/>
          </w:tcPr>
          <w:p w14:paraId="31AD867E">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755" w:type="dxa"/>
            <w:noWrap w:val="0"/>
            <w:vAlign w:val="center"/>
          </w:tcPr>
          <w:p w14:paraId="50759763">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877" w:type="dxa"/>
            <w:noWrap w:val="0"/>
            <w:vAlign w:val="center"/>
          </w:tcPr>
          <w:p w14:paraId="649C8C84">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1174" w:type="dxa"/>
            <w:noWrap w:val="0"/>
            <w:vAlign w:val="center"/>
          </w:tcPr>
          <w:p w14:paraId="0053E75E">
            <w:pPr>
              <w:spacing w:line="0" w:lineRule="atLeast"/>
              <w:ind w:firstLine="0" w:firstLineChars="0"/>
              <w:jc w:val="center"/>
              <w:rPr>
                <w:rFonts w:hint="default" w:ascii="Times New Roman" w:hAnsi="Times New Roman" w:eastAsia="仿宋" w:cs="Times New Roman"/>
                <w:color w:val="auto"/>
                <w:sz w:val="24"/>
                <w:szCs w:val="24"/>
                <w:highlight w:val="none"/>
              </w:rPr>
            </w:pPr>
          </w:p>
        </w:tc>
        <w:tc>
          <w:tcPr>
            <w:tcW w:w="1728" w:type="dxa"/>
            <w:noWrap w:val="0"/>
            <w:vAlign w:val="center"/>
          </w:tcPr>
          <w:p w14:paraId="267515CF">
            <w:pPr>
              <w:spacing w:line="0" w:lineRule="atLeast"/>
              <w:ind w:firstLine="0" w:firstLineChars="0"/>
              <w:jc w:val="center"/>
              <w:rPr>
                <w:rFonts w:hint="default" w:ascii="Times New Roman" w:hAnsi="Times New Roman" w:eastAsia="仿宋" w:cs="Times New Roman"/>
                <w:color w:val="auto"/>
                <w:sz w:val="24"/>
                <w:szCs w:val="24"/>
                <w:highlight w:val="none"/>
              </w:rPr>
            </w:pPr>
          </w:p>
        </w:tc>
      </w:tr>
      <w:tr w14:paraId="5663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9055" w:type="dxa"/>
            <w:gridSpan w:val="10"/>
            <w:noWrap w:val="0"/>
            <w:vAlign w:val="center"/>
          </w:tcPr>
          <w:p w14:paraId="751F0FF8">
            <w:pPr>
              <w:spacing w:line="0" w:lineRule="atLeast"/>
              <w:ind w:firstLine="0"/>
              <w:jc w:val="lef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情况说明：</w:t>
            </w:r>
          </w:p>
          <w:p w14:paraId="7DCA3D3A">
            <w:pPr>
              <w:spacing w:line="0" w:lineRule="atLeast"/>
              <w:ind w:firstLine="0" w:firstLineChars="0"/>
              <w:jc w:val="lef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该工程</w:t>
            </w:r>
            <w:r>
              <w:rPr>
                <w:rFonts w:hint="default" w:ascii="Times New Roman" w:hAnsi="Times New Roman" w:eastAsia="仿宋" w:cs="Times New Roman"/>
                <w:color w:val="auto"/>
                <w:sz w:val="24"/>
                <w:szCs w:val="24"/>
                <w:highlight w:val="none"/>
                <w:lang w:val="en-US" w:eastAsia="zh-CN"/>
              </w:rPr>
              <w:t>剩余</w:t>
            </w:r>
            <w:r>
              <w:rPr>
                <w:rFonts w:hint="eastAsia" w:eastAsia="仿宋" w:cs="Times New Roman"/>
                <w:color w:val="auto"/>
                <w:sz w:val="24"/>
                <w:szCs w:val="24"/>
                <w:highlight w:val="none"/>
                <w:lang w:val="en-US" w:eastAsia="zh-CN"/>
              </w:rPr>
              <w:t>其他</w:t>
            </w:r>
            <w:r>
              <w:rPr>
                <w:rFonts w:hint="default" w:ascii="Times New Roman" w:hAnsi="Times New Roman" w:eastAsia="仿宋" w:cs="Times New Roman"/>
                <w:color w:val="auto"/>
                <w:sz w:val="24"/>
                <w:szCs w:val="24"/>
                <w:highlight w:val="none"/>
              </w:rPr>
              <w:t>费用包括：</w:t>
            </w:r>
            <w:r>
              <w:rPr>
                <w:rFonts w:hint="default" w:ascii="Times New Roman" w:hAnsi="Times New Roman" w:eastAsia="仿宋" w:cs="Times New Roman"/>
                <w:color w:val="auto"/>
                <w:sz w:val="24"/>
                <w:szCs w:val="24"/>
                <w:highlight w:val="none"/>
                <w:lang w:val="en-US" w:eastAsia="zh-CN"/>
              </w:rPr>
              <w:t>建设单位管理费，0.81万元；工程保险费，0.23万元；全过程造价咨询费，0.48万元；工程检验监测费，0.30万元；基本预备费，2.82万元。</w:t>
            </w:r>
          </w:p>
        </w:tc>
      </w:tr>
    </w:tbl>
    <w:p w14:paraId="5B8D53EA">
      <w:pPr>
        <w:rPr>
          <w:rFonts w:hint="default" w:ascii="Times New Roman" w:hAnsi="Times New Roman" w:eastAsia="仿宋" w:cs="Times New Roman"/>
          <w:color w:val="auto"/>
          <w:highlight w:val="none"/>
        </w:rPr>
      </w:pPr>
    </w:p>
    <w:p w14:paraId="12C3DC1F">
      <w:pPr>
        <w:rPr>
          <w:rFonts w:hint="default" w:ascii="Times New Roman" w:hAnsi="Times New Roman" w:eastAsia="仿宋" w:cs="Times New Roman"/>
          <w:color w:val="auto"/>
          <w:highlight w:val="none"/>
        </w:rPr>
      </w:pPr>
    </w:p>
    <w:p w14:paraId="71E2B578">
      <w:pPr>
        <w:rPr>
          <w:rFonts w:hint="default" w:ascii="Times New Roman" w:hAnsi="Times New Roman" w:eastAsia="仿宋" w:cs="Times New Roman"/>
          <w:color w:val="auto"/>
          <w:highlight w:val="none"/>
        </w:rPr>
      </w:pPr>
    </w:p>
    <w:p w14:paraId="036B9129">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default" w:ascii="Times New Roman" w:hAnsi="Times New Roman" w:eastAsia="仿宋" w:cs="Times New Roman"/>
          <w:b/>
          <w:bCs w:val="0"/>
          <w:color w:val="auto"/>
          <w:sz w:val="28"/>
          <w:szCs w:val="28"/>
          <w:highlight w:val="none"/>
          <w:lang w:val="en-US" w:eastAsia="zh-CN"/>
        </w:rPr>
      </w:pPr>
      <w:bookmarkStart w:id="55" w:name="_Toc6269"/>
      <w:bookmarkStart w:id="56" w:name="_Toc22562"/>
      <w:bookmarkStart w:id="57" w:name="_Toc29629"/>
      <w:bookmarkStart w:id="58" w:name="_Toc28209"/>
      <w:r>
        <w:rPr>
          <w:rFonts w:hint="default" w:ascii="Times New Roman" w:hAnsi="Times New Roman" w:eastAsia="仿宋" w:cs="Times New Roman"/>
          <w:b/>
          <w:bCs w:val="0"/>
          <w:color w:val="auto"/>
          <w:sz w:val="28"/>
          <w:szCs w:val="28"/>
          <w:highlight w:val="none"/>
          <w:lang w:val="en-US" w:eastAsia="zh-CN"/>
        </w:rPr>
        <w:t>效益分析</w:t>
      </w:r>
      <w:bookmarkEnd w:id="55"/>
    </w:p>
    <w:p w14:paraId="12E2168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1、保护生物多样性</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人居环境整治美化亮化可以增加绿地面积种植各种植物，提供更多的栖息地和食物，吸引鸟类、昆虫等生物的栖息和繁衍，促进生物多样性的保护。</w:t>
      </w:r>
    </w:p>
    <w:p w14:paraId="5E5BBDB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2、净化空气和水质</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人居环境整治美化亮化可以增加绿化覆盖率，提供更多的植物进行光合作用，吸收二氧化碳，释放氧气减少空气中的有害气体含量</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同时，植物根系可以过滤土壤中的污染物，减少土壤侵蚀，改善水质。</w:t>
      </w:r>
    </w:p>
    <w:p w14:paraId="5035287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3、调节气候和改善环境</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人居环境整治美化亮化可以提高城市的绿色覆盖率，增加植物的蒸腾作用，降低城市的气温，缓解城市热岛效应，改善城市气候环境</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同时，美化亮化工程还可以改善城市的景观品质，提高居民的生活质量和幸福感。</w:t>
      </w:r>
    </w:p>
    <w:p w14:paraId="091D464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4、保护生态系统服务功能</w:t>
      </w:r>
      <w:r>
        <w:rPr>
          <w:rFonts w:hint="eastAsia" w:eastAsia="仿宋" w:cs="Times New Roman"/>
          <w:color w:val="auto"/>
          <w:kern w:val="0"/>
          <w:sz w:val="24"/>
          <w:szCs w:val="24"/>
          <w:highlight w:val="none"/>
          <w:lang w:val="en-US" w:eastAsia="zh-CN" w:bidi="ar-SA"/>
        </w:rPr>
        <w:t>：</w:t>
      </w:r>
      <w:r>
        <w:rPr>
          <w:rFonts w:hint="default" w:ascii="Times New Roman" w:hAnsi="Times New Roman" w:eastAsia="仿宋" w:cs="Times New Roman"/>
          <w:color w:val="auto"/>
          <w:kern w:val="0"/>
          <w:sz w:val="24"/>
          <w:szCs w:val="24"/>
          <w:highlight w:val="none"/>
          <w:lang w:val="en-US" w:eastAsia="zh-CN" w:bidi="ar-SA"/>
        </w:rPr>
        <w:t>人居环境整治美化亮化可以提供各种生态系统服务，如土壤保持、水源涵养、风沙防护等，维护生物多样性和生态平衡，为人类提供稳定和可持续的生态系统服务。</w:t>
      </w:r>
    </w:p>
    <w:p w14:paraId="0D5793C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lang w:val="en-US" w:eastAsia="zh-CN"/>
        </w:rPr>
      </w:pPr>
      <w:r>
        <w:rPr>
          <w:rFonts w:hint="default" w:ascii="Times New Roman" w:hAnsi="Times New Roman" w:eastAsia="仿宋" w:cs="Times New Roman"/>
          <w:color w:val="auto"/>
          <w:kern w:val="0"/>
          <w:sz w:val="24"/>
          <w:szCs w:val="24"/>
          <w:highlight w:val="none"/>
          <w:lang w:val="en-US" w:eastAsia="zh-CN" w:bidi="ar-SA"/>
        </w:rPr>
        <w:t>综上所述，人居环境整治美化亮化的生态效益主要体现在保护生物多样性、净化空气和水质、调节气候和改善环境、保护生态系统服务功能等方面。它不仅能够改善居民的生活质量，还能够为城市的可持续发展做出贡献。</w:t>
      </w:r>
    </w:p>
    <w:p w14:paraId="4B6B1F40">
      <w:pPr>
        <w:rPr>
          <w:rFonts w:hint="default" w:ascii="Times New Roman" w:hAnsi="Times New Roman" w:eastAsia="仿宋" w:cs="Times New Roman"/>
          <w:b/>
          <w:bCs w:val="0"/>
          <w:color w:val="auto"/>
          <w:sz w:val="28"/>
          <w:szCs w:val="28"/>
          <w:highlight w:val="none"/>
          <w:lang w:val="en-US" w:eastAsia="zh-CN"/>
        </w:rPr>
      </w:pPr>
      <w:r>
        <w:rPr>
          <w:rFonts w:hint="default" w:ascii="Times New Roman" w:hAnsi="Times New Roman" w:eastAsia="仿宋" w:cs="Times New Roman"/>
          <w:b/>
          <w:bCs w:val="0"/>
          <w:color w:val="auto"/>
          <w:sz w:val="28"/>
          <w:szCs w:val="28"/>
          <w:highlight w:val="none"/>
          <w:lang w:val="en-US" w:eastAsia="zh-CN"/>
        </w:rPr>
        <w:br w:type="page"/>
      </w:r>
    </w:p>
    <w:p w14:paraId="0D52616F">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default" w:ascii="Times New Roman" w:hAnsi="Times New Roman" w:eastAsia="仿宋" w:cs="Times New Roman"/>
          <w:b/>
          <w:bCs w:val="0"/>
          <w:color w:val="auto"/>
          <w:sz w:val="28"/>
          <w:szCs w:val="28"/>
          <w:highlight w:val="none"/>
          <w:lang w:val="en-US" w:eastAsia="zh-CN"/>
        </w:rPr>
      </w:pPr>
      <w:bookmarkStart w:id="59" w:name="_Toc18757"/>
      <w:r>
        <w:rPr>
          <w:rFonts w:hint="default" w:ascii="Times New Roman" w:hAnsi="Times New Roman" w:eastAsia="仿宋" w:cs="Times New Roman"/>
          <w:b/>
          <w:bCs w:val="0"/>
          <w:color w:val="auto"/>
          <w:sz w:val="28"/>
          <w:szCs w:val="28"/>
          <w:highlight w:val="none"/>
          <w:lang w:val="en-US" w:eastAsia="zh-CN"/>
        </w:rPr>
        <w:t>保障措施</w:t>
      </w:r>
      <w:bookmarkEnd w:id="59"/>
    </w:p>
    <w:bookmarkEnd w:id="56"/>
    <w:bookmarkEnd w:id="57"/>
    <w:bookmarkEnd w:id="58"/>
    <w:p w14:paraId="56D65B6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人居环境是指人类生活和活动的空间环境。一个良好的人居环境对于促进居民的生活质量、健康和幸福感至关重要。因此，保障人居环境的措施非常重要。本文将重点介绍以下几个方面的措施保障人居环境</w:t>
      </w:r>
      <w:r>
        <w:rPr>
          <w:rFonts w:hint="eastAsia" w:eastAsia="仿宋" w:cs="Times New Roman"/>
          <w:color w:val="auto"/>
          <w:kern w:val="0"/>
          <w:sz w:val="24"/>
          <w:szCs w:val="24"/>
          <w:highlight w:val="none"/>
          <w:lang w:val="zh-CN" w:eastAsia="zh-CN" w:bidi="ar-SA"/>
        </w:rPr>
        <w:t>：</w:t>
      </w:r>
    </w:p>
    <w:p w14:paraId="3983EA4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首先，建立健全的城市规划和建设体系。城市规划是确保人居环境的一个重要途径。通过合理规划城市功能分区，合理布局公共服务设施和居住区，可以有效地避免城市拥堵、污染等问题。同时，要加强城市建设管理，严格执行建设规划，保证建筑物的安全和质量，防止出现低质量建筑和破坏景观的行为。</w:t>
      </w:r>
    </w:p>
    <w:p w14:paraId="346B452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其次，加强环境保护和污染治理。环境保护是保障人居环境的关键要加强环境监测和污染源排放的控制，严格执行环保法律法规，坚决打击环境污染行为。同时，要推动清洁能源的发展和利用，减少对传统能源的依赖，降低污染物排放。此外，要加强生态文明建设，保护和修复自然生态系统，增加绿色空间和植被覆盖率。</w:t>
      </w:r>
    </w:p>
    <w:p w14:paraId="48C16EF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再次，提供优质的公共服务设施和基础设施。优质的公共服务设施是提高人居环境的重要保障。政府应加大对教育、医疗、交通、水电等基础设施的投入，提高服务质量和覆盖范围。此外，要加强对城乡结合部的投资，改善农村居民的基础设施条件，缩小城乡差距，保证农民享受到与城市居民相当的公共服务。</w:t>
      </w:r>
    </w:p>
    <w:p w14:paraId="7EC3047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另外，加强社区建设和居民参与。社区建设是保障人居环境的重要组成部分。要加强社区的管理和服务能力，提供良好的社区环境和公共设施组织居民积极参与社区事务，共同维护社区的整洁和治安。同时，要加强居民的环保意识和素质教育，让每个人都成为环保行动的参与者和推动者。</w:t>
      </w:r>
    </w:p>
    <w:p w14:paraId="7FCCC653">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最后，加强政府的监管和执法力度。政府是保障人居环境的主要责任方。要加大对环境保护和城市建设的监管力度，加强执法力量和能力，对违法行为进行严厉处罚和处理。同时，要加强信息公开和公众参与，让公民能够有效地监督和参与环境保护和城市建设的过程</w:t>
      </w:r>
    </w:p>
    <w:p w14:paraId="31B14FE0">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bottom"/>
        <w:rPr>
          <w:rFonts w:hint="default" w:ascii="Times New Roman" w:hAnsi="Times New Roman" w:eastAsia="仿宋" w:cs="Times New Roman"/>
          <w:color w:val="auto"/>
          <w:highlight w:val="none"/>
          <w:lang w:val="zh-CN"/>
        </w:rPr>
      </w:pPr>
      <w:r>
        <w:rPr>
          <w:rFonts w:hint="default" w:ascii="Times New Roman" w:hAnsi="Times New Roman" w:eastAsia="仿宋" w:cs="Times New Roman"/>
          <w:color w:val="auto"/>
          <w:kern w:val="0"/>
          <w:sz w:val="24"/>
          <w:szCs w:val="24"/>
          <w:highlight w:val="none"/>
          <w:lang w:val="zh-CN" w:eastAsia="zh-CN" w:bidi="ar-SA"/>
        </w:rPr>
        <w:t>总之，保障人居环境的措施是多方面的，需要政府、居民和社会各界的共同努力。只有通过合作和共同努力，才能够建立起一个良好的人居环境，提高人们的生活质量和幸福感。</w:t>
      </w:r>
    </w:p>
    <w:p w14:paraId="15F775E6">
      <w:pPr>
        <w:rPr>
          <w:rFonts w:hint="default" w:ascii="Times New Roman" w:hAnsi="Times New Roman" w:eastAsia="仿宋" w:cs="Times New Roman"/>
          <w:b/>
          <w:bCs w:val="0"/>
          <w:color w:val="auto"/>
          <w:sz w:val="28"/>
          <w:szCs w:val="28"/>
          <w:highlight w:val="none"/>
          <w:lang w:val="en-US" w:eastAsia="zh-CN"/>
        </w:rPr>
      </w:pPr>
      <w:bookmarkStart w:id="60" w:name="_Toc9990"/>
      <w:r>
        <w:rPr>
          <w:rFonts w:hint="default" w:ascii="Times New Roman" w:hAnsi="Times New Roman" w:eastAsia="仿宋" w:cs="Times New Roman"/>
          <w:b/>
          <w:bCs w:val="0"/>
          <w:color w:val="auto"/>
          <w:sz w:val="28"/>
          <w:szCs w:val="28"/>
          <w:highlight w:val="none"/>
          <w:lang w:val="en-US" w:eastAsia="zh-CN"/>
        </w:rPr>
        <w:br w:type="page"/>
      </w:r>
    </w:p>
    <w:p w14:paraId="7296A1B0">
      <w:pPr>
        <w:pStyle w:val="33"/>
        <w:keepNext w:val="0"/>
        <w:keepLines w:val="0"/>
        <w:pageBreakBefore w:val="0"/>
        <w:widowControl w:val="0"/>
        <w:numPr>
          <w:ilvl w:val="0"/>
          <w:numId w:val="4"/>
        </w:numPr>
        <w:kinsoku/>
        <w:wordWrap/>
        <w:overflowPunct/>
        <w:topLinePunct w:val="0"/>
        <w:autoSpaceDE/>
        <w:autoSpaceDN/>
        <w:bidi w:val="0"/>
        <w:adjustRightInd/>
        <w:snapToGrid w:val="0"/>
        <w:spacing w:before="0" w:beforeLines="0" w:after="0" w:afterLines="0" w:line="360" w:lineRule="auto"/>
        <w:ind w:leftChars="200"/>
        <w:jc w:val="center"/>
        <w:textAlignment w:val="bottom"/>
        <w:rPr>
          <w:rFonts w:hint="default" w:ascii="Times New Roman" w:hAnsi="Times New Roman" w:eastAsia="仿宋" w:cs="Times New Roman"/>
          <w:b/>
          <w:bCs w:val="0"/>
          <w:color w:val="auto"/>
          <w:sz w:val="28"/>
          <w:szCs w:val="28"/>
          <w:highlight w:val="none"/>
          <w:lang w:val="en-US" w:eastAsia="zh-CN"/>
        </w:rPr>
      </w:pPr>
      <w:bookmarkStart w:id="61" w:name="_Toc24693"/>
      <w:r>
        <w:rPr>
          <w:rFonts w:hint="default" w:ascii="Times New Roman" w:hAnsi="Times New Roman" w:eastAsia="仿宋" w:cs="Times New Roman"/>
          <w:b/>
          <w:bCs w:val="0"/>
          <w:color w:val="auto"/>
          <w:sz w:val="28"/>
          <w:szCs w:val="28"/>
          <w:highlight w:val="none"/>
          <w:lang w:val="en-US" w:eastAsia="zh-CN"/>
        </w:rPr>
        <w:t>附件</w:t>
      </w:r>
      <w:bookmarkEnd w:id="60"/>
      <w:bookmarkEnd w:id="61"/>
    </w:p>
    <w:p w14:paraId="60B17617">
      <w:pPr>
        <w:keepNext w:val="0"/>
        <w:keepLines w:val="0"/>
        <w:pageBreakBefore w:val="0"/>
        <w:widowControl w:val="0"/>
        <w:kinsoku/>
        <w:wordWrap/>
        <w:overflowPunct/>
        <w:topLinePunct w:val="0"/>
        <w:autoSpaceDE/>
        <w:autoSpaceDN/>
        <w:bidi w:val="0"/>
        <w:adjustRightInd/>
        <w:snapToGrid w:val="0"/>
        <w:spacing w:line="360" w:lineRule="auto"/>
        <w:textAlignment w:val="bottom"/>
        <w:outlineLvl w:val="0"/>
        <w:rPr>
          <w:rFonts w:hint="default" w:ascii="Times New Roman" w:hAnsi="Times New Roman" w:eastAsia="仿宋" w:cs="Times New Roman"/>
          <w:b/>
          <w:bCs/>
          <w:i w:val="0"/>
          <w:iCs w:val="0"/>
          <w:color w:val="auto"/>
          <w:kern w:val="0"/>
          <w:sz w:val="20"/>
          <w:szCs w:val="20"/>
          <w:highlight w:val="none"/>
          <w:u w:val="none"/>
          <w:lang w:val="en-US" w:eastAsia="zh-CN" w:bidi="ar"/>
        </w:rPr>
      </w:pPr>
      <w:bookmarkStart w:id="62" w:name="_Toc15548"/>
      <w:bookmarkStart w:id="63" w:name="_Toc29366"/>
      <w:bookmarkStart w:id="64" w:name="_Toc3169"/>
      <w:bookmarkStart w:id="65" w:name="_Toc12175"/>
      <w:bookmarkStart w:id="66" w:name="_Toc52"/>
      <w:bookmarkStart w:id="67" w:name="_Toc7572"/>
      <w:bookmarkStart w:id="68" w:name="_Toc5487"/>
      <w:bookmarkStart w:id="69" w:name="_Toc32501"/>
      <w:r>
        <w:rPr>
          <w:rFonts w:hint="default" w:ascii="Times New Roman" w:hAnsi="Times New Roman" w:eastAsia="仿宋" w:cs="Times New Roman"/>
          <w:b/>
          <w:bCs/>
          <w:i w:val="0"/>
          <w:iCs w:val="0"/>
          <w:color w:val="auto"/>
          <w:kern w:val="0"/>
          <w:sz w:val="20"/>
          <w:szCs w:val="20"/>
          <w:highlight w:val="none"/>
          <w:u w:val="none"/>
          <w:lang w:val="en-US" w:eastAsia="zh-CN" w:bidi="ar"/>
        </w:rPr>
        <w:t>附件1</w:t>
      </w:r>
      <w:r>
        <w:rPr>
          <w:rFonts w:hint="eastAsia" w:eastAsia="仿宋" w:cs="Times New Roman"/>
          <w:b/>
          <w:bCs/>
          <w:i w:val="0"/>
          <w:iCs w:val="0"/>
          <w:color w:val="auto"/>
          <w:kern w:val="0"/>
          <w:sz w:val="20"/>
          <w:szCs w:val="20"/>
          <w:highlight w:val="none"/>
          <w:u w:val="none"/>
          <w:lang w:val="en-US" w:eastAsia="zh-CN" w:bidi="ar"/>
        </w:rPr>
        <w:t xml:space="preserve"> </w:t>
      </w:r>
      <w:r>
        <w:rPr>
          <w:rFonts w:hint="default" w:ascii="Times New Roman" w:hAnsi="Times New Roman" w:eastAsia="仿宋" w:cs="Times New Roman"/>
          <w:b/>
          <w:bCs/>
          <w:i w:val="0"/>
          <w:iCs w:val="0"/>
          <w:color w:val="auto"/>
          <w:kern w:val="0"/>
          <w:sz w:val="20"/>
          <w:szCs w:val="20"/>
          <w:highlight w:val="none"/>
          <w:u w:val="none"/>
          <w:lang w:val="en-US" w:eastAsia="zh-CN" w:bidi="ar"/>
        </w:rPr>
        <w:t>道路平面图</w:t>
      </w:r>
      <w:bookmarkEnd w:id="62"/>
      <w:bookmarkEnd w:id="63"/>
      <w:bookmarkEnd w:id="64"/>
      <w:bookmarkEnd w:id="65"/>
      <w:bookmarkEnd w:id="66"/>
      <w:bookmarkEnd w:id="67"/>
      <w:bookmarkEnd w:id="68"/>
      <w:bookmarkEnd w:id="69"/>
    </w:p>
    <w:p w14:paraId="00AEB834">
      <w:pPr>
        <w:keepNext w:val="0"/>
        <w:keepLines w:val="0"/>
        <w:pageBreakBefore w:val="0"/>
        <w:widowControl w:val="0"/>
        <w:kinsoku/>
        <w:wordWrap/>
        <w:overflowPunct/>
        <w:topLinePunct w:val="0"/>
        <w:autoSpaceDE/>
        <w:autoSpaceDN/>
        <w:bidi w:val="0"/>
        <w:adjustRightInd/>
        <w:snapToGrid w:val="0"/>
        <w:spacing w:line="360" w:lineRule="auto"/>
        <w:jc w:val="both"/>
        <w:textAlignment w:val="bottom"/>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drawing>
          <wp:inline distT="0" distB="0" distL="114300" distR="114300">
            <wp:extent cx="5044440" cy="3568065"/>
            <wp:effectExtent l="0" t="0" r="3810" b="13335"/>
            <wp:docPr id="5" name="图片 5" descr="新沙道路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沙道路_00"/>
                    <pic:cNvPicPr>
                      <a:picLocks noChangeAspect="1"/>
                    </pic:cNvPicPr>
                  </pic:nvPicPr>
                  <pic:blipFill>
                    <a:blip r:embed="rId15"/>
                    <a:stretch>
                      <a:fillRect/>
                    </a:stretch>
                  </pic:blipFill>
                  <pic:spPr>
                    <a:xfrm>
                      <a:off x="0" y="0"/>
                      <a:ext cx="5044440" cy="3568065"/>
                    </a:xfrm>
                    <a:prstGeom prst="rect">
                      <a:avLst/>
                    </a:prstGeom>
                  </pic:spPr>
                </pic:pic>
              </a:graphicData>
            </a:graphic>
          </wp:inline>
        </w:drawing>
      </w:r>
    </w:p>
    <w:p w14:paraId="3D000A66">
      <w:pPr>
        <w:keepNext w:val="0"/>
        <w:keepLines w:val="0"/>
        <w:pageBreakBefore w:val="0"/>
        <w:widowControl w:val="0"/>
        <w:kinsoku/>
        <w:wordWrap/>
        <w:overflowPunct/>
        <w:topLinePunct w:val="0"/>
        <w:autoSpaceDE/>
        <w:autoSpaceDN/>
        <w:bidi w:val="0"/>
        <w:adjustRightInd/>
        <w:snapToGrid w:val="0"/>
        <w:spacing w:line="360" w:lineRule="auto"/>
        <w:textAlignment w:val="bottom"/>
        <w:outlineLvl w:val="0"/>
        <w:rPr>
          <w:rFonts w:hint="default" w:ascii="Times New Roman" w:hAnsi="Times New Roman" w:eastAsia="仿宋" w:cs="Times New Roman"/>
          <w:b/>
          <w:bCs/>
          <w:i w:val="0"/>
          <w:iCs w:val="0"/>
          <w:color w:val="auto"/>
          <w:kern w:val="0"/>
          <w:sz w:val="20"/>
          <w:szCs w:val="20"/>
          <w:highlight w:val="none"/>
          <w:u w:val="none"/>
          <w:lang w:val="en-US" w:eastAsia="zh-CN" w:bidi="ar"/>
        </w:rPr>
      </w:pPr>
      <w:bookmarkStart w:id="70" w:name="_Toc28117"/>
      <w:bookmarkStart w:id="71" w:name="_Toc3702"/>
      <w:bookmarkStart w:id="72" w:name="_Toc26794"/>
      <w:bookmarkStart w:id="73" w:name="_Toc4343"/>
      <w:bookmarkStart w:id="74" w:name="_Toc4296"/>
      <w:bookmarkStart w:id="75" w:name="_Toc4422"/>
      <w:bookmarkStart w:id="76" w:name="_Toc1816"/>
      <w:bookmarkStart w:id="77" w:name="_Toc30513"/>
      <w:r>
        <w:rPr>
          <w:rFonts w:hint="default" w:ascii="Times New Roman" w:hAnsi="Times New Roman" w:eastAsia="仿宋" w:cs="Times New Roman"/>
          <w:b/>
          <w:bCs/>
          <w:i w:val="0"/>
          <w:iCs w:val="0"/>
          <w:color w:val="auto"/>
          <w:kern w:val="0"/>
          <w:sz w:val="20"/>
          <w:szCs w:val="20"/>
          <w:highlight w:val="none"/>
          <w:u w:val="none"/>
          <w:lang w:val="en-US" w:eastAsia="zh-CN" w:bidi="ar"/>
        </w:rPr>
        <w:t>附件2</w:t>
      </w:r>
      <w:r>
        <w:rPr>
          <w:rFonts w:hint="eastAsia" w:eastAsia="仿宋" w:cs="Times New Roman"/>
          <w:b/>
          <w:bCs/>
          <w:i w:val="0"/>
          <w:iCs w:val="0"/>
          <w:color w:val="auto"/>
          <w:kern w:val="0"/>
          <w:sz w:val="20"/>
          <w:szCs w:val="20"/>
          <w:highlight w:val="none"/>
          <w:u w:val="none"/>
          <w:lang w:val="en-US" w:eastAsia="zh-CN" w:bidi="ar"/>
        </w:rPr>
        <w:t xml:space="preserve"> </w:t>
      </w:r>
      <w:r>
        <w:rPr>
          <w:rFonts w:hint="default" w:ascii="Times New Roman" w:hAnsi="Times New Roman" w:eastAsia="仿宋" w:cs="Times New Roman"/>
          <w:b/>
          <w:bCs/>
          <w:i w:val="0"/>
          <w:iCs w:val="0"/>
          <w:color w:val="auto"/>
          <w:kern w:val="0"/>
          <w:sz w:val="20"/>
          <w:szCs w:val="20"/>
          <w:highlight w:val="none"/>
          <w:u w:val="none"/>
          <w:lang w:val="en-US" w:eastAsia="zh-CN" w:bidi="ar"/>
        </w:rPr>
        <w:t>道路位置图</w:t>
      </w:r>
      <w:bookmarkEnd w:id="70"/>
      <w:bookmarkEnd w:id="71"/>
      <w:bookmarkEnd w:id="72"/>
      <w:bookmarkEnd w:id="73"/>
      <w:bookmarkEnd w:id="74"/>
      <w:bookmarkEnd w:id="75"/>
      <w:bookmarkEnd w:id="76"/>
      <w:bookmarkEnd w:id="77"/>
    </w:p>
    <w:p w14:paraId="7BD3A171">
      <w:pPr>
        <w:keepNext w:val="0"/>
        <w:keepLines w:val="0"/>
        <w:pageBreakBefore w:val="0"/>
        <w:widowControl w:val="0"/>
        <w:kinsoku/>
        <w:wordWrap/>
        <w:overflowPunct/>
        <w:topLinePunct w:val="0"/>
        <w:autoSpaceDE/>
        <w:autoSpaceDN/>
        <w:bidi w:val="0"/>
        <w:adjustRightInd/>
        <w:snapToGrid w:val="0"/>
        <w:spacing w:line="360" w:lineRule="auto"/>
        <w:textAlignment w:val="bottom"/>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drawing>
          <wp:inline distT="0" distB="0" distL="114300" distR="114300">
            <wp:extent cx="5076190" cy="3590290"/>
            <wp:effectExtent l="0" t="0" r="10160" b="10160"/>
            <wp:docPr id="6" name="图片 6" descr="道路地理位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道路地理位置图_00"/>
                    <pic:cNvPicPr>
                      <a:picLocks noChangeAspect="1"/>
                    </pic:cNvPicPr>
                  </pic:nvPicPr>
                  <pic:blipFill>
                    <a:blip r:embed="rId16"/>
                    <a:stretch>
                      <a:fillRect/>
                    </a:stretch>
                  </pic:blipFill>
                  <pic:spPr>
                    <a:xfrm>
                      <a:off x="0" y="0"/>
                      <a:ext cx="5076190" cy="3590290"/>
                    </a:xfrm>
                    <a:prstGeom prst="rect">
                      <a:avLst/>
                    </a:prstGeom>
                  </pic:spPr>
                </pic:pic>
              </a:graphicData>
            </a:graphic>
          </wp:inline>
        </w:drawing>
      </w:r>
      <w:bookmarkStart w:id="78" w:name="_GoBack"/>
      <w:bookmarkEnd w:id="78"/>
    </w:p>
    <w:sectPr>
      <w:headerReference r:id="rId5" w:type="default"/>
      <w:footerReference r:id="rId6"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roman"/>
    <w:pitch w:val="default"/>
    <w:sig w:usb0="800002BF" w:usb1="38CF7CFA" w:usb2="00000016" w:usb3="00000000" w:csb0="00040001" w:csb1="00000000"/>
  </w:font>
  <w:font w:name="方正小标宋简体">
    <w:panose1 w:val="02000000000000000000"/>
    <w:charset w:val="86"/>
    <w:family w:val="script"/>
    <w:pitch w:val="default"/>
    <w:sig w:usb0="00000001" w:usb1="080E0000" w:usb2="00000000" w:usb3="00000000" w:csb0="00040000" w:csb1="00000000"/>
    <w:embedRegular r:id="rId1" w:fontKey="{149926E8-14C5-4CD1-8316-7E05AC5F83EB}"/>
  </w:font>
  <w:font w:name="仿宋">
    <w:panose1 w:val="02010609060101010101"/>
    <w:charset w:val="86"/>
    <w:family w:val="modern"/>
    <w:pitch w:val="default"/>
    <w:sig w:usb0="800002BF" w:usb1="38CF7CFA" w:usb2="00000016" w:usb3="00000000" w:csb0="00040001" w:csb1="00000000"/>
    <w:embedRegular r:id="rId2" w:fontKey="{F8CFABD6-1C2A-411F-A01E-71162604544E}"/>
  </w:font>
  <w:font w:name="Calibri Light">
    <w:panose1 w:val="020F0302020204030204"/>
    <w:charset w:val="00"/>
    <w:family w:val="auto"/>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2F00F873-2811-47EE-A4DE-DA142B4D3639}"/>
  </w:font>
  <w:font w:name="华文中宋D...">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89164">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8E72A">
    <w:pPr>
      <w:pStyle w:val="1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5D433">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085D433">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7A336">
    <w:pPr>
      <w:pStyle w:val="15"/>
      <w:pBdr>
        <w:bottom w:val="none" w:color="auto" w:sz="0" w:space="1"/>
      </w:pBdr>
      <w:jc w:val="right"/>
      <w:rPr>
        <w:rFonts w:hint="eastAsia" w:ascii="仿宋" w:hAnsi="仿宋" w:eastAsia="仿宋" w:cs="仿宋"/>
        <w:b/>
        <w:bCs/>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C318">
    <w:pP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913419"/>
    <w:multiLevelType w:val="multilevel"/>
    <w:tmpl w:val="F7913419"/>
    <w:lvl w:ilvl="0" w:tentative="0">
      <w:start w:val="1"/>
      <w:numFmt w:val="decimal"/>
      <w:pStyle w:val="33"/>
      <w:lvlText w:val="第%1章 "/>
      <w:lvlJc w:val="left"/>
      <w:pPr>
        <w:tabs>
          <w:tab w:val="left" w:pos="425"/>
        </w:tabs>
        <w:ind w:left="425" w:hanging="425"/>
      </w:pPr>
      <w:rPr>
        <w:rFonts w:hint="eastAsia"/>
      </w:rPr>
    </w:lvl>
    <w:lvl w:ilvl="1" w:tentative="0">
      <w:start w:val="1"/>
      <w:numFmt w:val="decimal"/>
      <w:pStyle w:val="34"/>
      <w:lvlText w:val="%1.%2 "/>
      <w:lvlJc w:val="left"/>
      <w:pPr>
        <w:tabs>
          <w:tab w:val="left" w:pos="420"/>
        </w:tabs>
        <w:ind w:left="987" w:hanging="567"/>
      </w:pPr>
      <w:rPr>
        <w:rFonts w:hint="eastAsia"/>
      </w:rPr>
    </w:lvl>
    <w:lvl w:ilvl="2" w:tentative="0">
      <w:start w:val="1"/>
      <w:numFmt w:val="decimal"/>
      <w:pStyle w:val="35"/>
      <w:lvlText w:val="%1.%2.%3 "/>
      <w:lvlJc w:val="left"/>
      <w:pPr>
        <w:tabs>
          <w:tab w:val="left" w:pos="420"/>
        </w:tabs>
        <w:ind w:left="993" w:hanging="709"/>
      </w:pPr>
      <w:rPr>
        <w:rFonts w:hint="eastAsia"/>
      </w:rPr>
    </w:lvl>
    <w:lvl w:ilvl="3" w:tentative="0">
      <w:start w:val="1"/>
      <w:numFmt w:val="decimal"/>
      <w:pStyle w:val="36"/>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ECD789D"/>
    <w:multiLevelType w:val="multilevel"/>
    <w:tmpl w:val="0ECD789D"/>
    <w:lvl w:ilvl="0" w:tentative="0">
      <w:start w:val="1"/>
      <w:numFmt w:val="decimal"/>
      <w:lvlText w:val="第%1章"/>
      <w:lvlJc w:val="center"/>
      <w:pPr>
        <w:ind w:left="0" w:firstLine="0"/>
      </w:pPr>
      <w:rPr>
        <w:b w:val="0"/>
        <w:bCs w:val="0"/>
        <w:i w:val="0"/>
        <w:iCs w:val="0"/>
        <w:caps w:val="0"/>
        <w:smallCaps w:val="0"/>
        <w:strike w:val="0"/>
        <w:dstrike w:val="0"/>
        <w:vanish w:val="0"/>
        <w:spacing w:val="0"/>
        <w:position w:val="0"/>
        <w:u w:val="none"/>
        <w:vertAlign w:val="baseline"/>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3001892D"/>
    <w:multiLevelType w:val="singleLevel"/>
    <w:tmpl w:val="3001892D"/>
    <w:lvl w:ilvl="0" w:tentative="0">
      <w:start w:val="1"/>
      <w:numFmt w:val="chineseCounting"/>
      <w:suff w:val="space"/>
      <w:lvlText w:val="第%1章"/>
      <w:lvlJc w:val="left"/>
      <w:rPr>
        <w:rFonts w:hint="eastAsia"/>
      </w:rPr>
    </w:lvl>
  </w:abstractNum>
  <w:abstractNum w:abstractNumId="3">
    <w:nsid w:val="453E0FD4"/>
    <w:multiLevelType w:val="multilevel"/>
    <w:tmpl w:val="453E0FD4"/>
    <w:lvl w:ilvl="0" w:tentative="0">
      <w:start w:val="1"/>
      <w:numFmt w:val="upperRoman"/>
      <w:lvlText w:val="第 %1 条"/>
      <w:lvlJc w:val="left"/>
      <w:pPr>
        <w:ind w:left="0" w:firstLine="0"/>
      </w:pPr>
    </w:lvl>
    <w:lvl w:ilvl="1" w:tentative="0">
      <w:start w:val="1"/>
      <w:numFmt w:val="decimalZero"/>
      <w:isLgl/>
      <w:lvlText w:val="节 %1.%2"/>
      <w:lvlJc w:val="left"/>
      <w:pPr>
        <w:ind w:left="0" w:firstLine="0"/>
      </w:pPr>
    </w:lvl>
    <w:lvl w:ilvl="2" w:tentative="0">
      <w:start w:val="1"/>
      <w:numFmt w:val="lowerLetter"/>
      <w:pStyle w:val="4"/>
      <w:lvlText w:val="(%3)"/>
      <w:lvlJc w:val="left"/>
      <w:pPr>
        <w:ind w:left="720" w:hanging="432"/>
      </w:pPr>
    </w:lvl>
    <w:lvl w:ilvl="3" w:tentative="0">
      <w:start w:val="1"/>
      <w:numFmt w:val="lowerRoman"/>
      <w:lvlText w:val="(%4)"/>
      <w:lvlJc w:val="right"/>
      <w:pPr>
        <w:ind w:left="864" w:hanging="144"/>
      </w:pPr>
    </w:lvl>
    <w:lvl w:ilvl="4" w:tentative="0">
      <w:start w:val="1"/>
      <w:numFmt w:val="decimal"/>
      <w:lvlText w:val="%5)"/>
      <w:lvlJc w:val="left"/>
      <w:pPr>
        <w:ind w:left="1008" w:hanging="432"/>
      </w:pPr>
    </w:lvl>
    <w:lvl w:ilvl="5" w:tentative="0">
      <w:start w:val="1"/>
      <w:numFmt w:val="lowerLetter"/>
      <w:lvlText w:val="%6)"/>
      <w:lvlJc w:val="left"/>
      <w:pPr>
        <w:ind w:left="1152" w:hanging="432"/>
      </w:pPr>
    </w:lvl>
    <w:lvl w:ilvl="6" w:tentative="0">
      <w:start w:val="1"/>
      <w:numFmt w:val="lowerRoman"/>
      <w:lvlText w:val="%7)"/>
      <w:lvlJc w:val="right"/>
      <w:pPr>
        <w:ind w:left="1296" w:hanging="288"/>
      </w:pPr>
    </w:lvl>
    <w:lvl w:ilvl="7" w:tentative="0">
      <w:start w:val="1"/>
      <w:numFmt w:val="lowerLetter"/>
      <w:lvlText w:val="%8."/>
      <w:lvlJc w:val="left"/>
      <w:pPr>
        <w:ind w:left="1440" w:hanging="432"/>
      </w:pPr>
    </w:lvl>
    <w:lvl w:ilvl="8" w:tentative="0">
      <w:start w:val="1"/>
      <w:numFmt w:val="lowerRoman"/>
      <w:lvlText w:val="%9."/>
      <w:lvlJc w:val="right"/>
      <w:pPr>
        <w:ind w:left="1584" w:hanging="144"/>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29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3NzgzNmFhZDUxOTdjM2E0NTRjYWI5N2JiNTQ2ZWEifQ=="/>
  </w:docVars>
  <w:rsids>
    <w:rsidRoot w:val="10FC7ABD"/>
    <w:rsid w:val="000C798F"/>
    <w:rsid w:val="001125E9"/>
    <w:rsid w:val="001D4206"/>
    <w:rsid w:val="002235CA"/>
    <w:rsid w:val="00B2494E"/>
    <w:rsid w:val="01074154"/>
    <w:rsid w:val="010D7DD7"/>
    <w:rsid w:val="01544DDD"/>
    <w:rsid w:val="01727323"/>
    <w:rsid w:val="017E0CD4"/>
    <w:rsid w:val="01A7022B"/>
    <w:rsid w:val="01ED777C"/>
    <w:rsid w:val="01F83CA1"/>
    <w:rsid w:val="02E37041"/>
    <w:rsid w:val="03547EE0"/>
    <w:rsid w:val="03BE7AAE"/>
    <w:rsid w:val="041C6DF3"/>
    <w:rsid w:val="04357D70"/>
    <w:rsid w:val="04387860"/>
    <w:rsid w:val="04446205"/>
    <w:rsid w:val="04844854"/>
    <w:rsid w:val="04983177"/>
    <w:rsid w:val="0512299B"/>
    <w:rsid w:val="05137986"/>
    <w:rsid w:val="051C2CDE"/>
    <w:rsid w:val="05B64EE1"/>
    <w:rsid w:val="062E0F1B"/>
    <w:rsid w:val="06862B05"/>
    <w:rsid w:val="06C47189"/>
    <w:rsid w:val="06C62F02"/>
    <w:rsid w:val="06E64589"/>
    <w:rsid w:val="078D7EC3"/>
    <w:rsid w:val="079F1F65"/>
    <w:rsid w:val="07C80EFB"/>
    <w:rsid w:val="0800364A"/>
    <w:rsid w:val="08103916"/>
    <w:rsid w:val="08471E20"/>
    <w:rsid w:val="08EC575D"/>
    <w:rsid w:val="08EF5300"/>
    <w:rsid w:val="09524F1F"/>
    <w:rsid w:val="09573DFC"/>
    <w:rsid w:val="096D58B6"/>
    <w:rsid w:val="09974A68"/>
    <w:rsid w:val="0998776D"/>
    <w:rsid w:val="09AA4D5C"/>
    <w:rsid w:val="09B554AF"/>
    <w:rsid w:val="09D42A2A"/>
    <w:rsid w:val="0A157CFC"/>
    <w:rsid w:val="0A2C39C3"/>
    <w:rsid w:val="0A90740F"/>
    <w:rsid w:val="0AC07D57"/>
    <w:rsid w:val="0AF53DB5"/>
    <w:rsid w:val="0B386398"/>
    <w:rsid w:val="0B621AB9"/>
    <w:rsid w:val="0BAA1044"/>
    <w:rsid w:val="0C0A0C3E"/>
    <w:rsid w:val="0C595F1C"/>
    <w:rsid w:val="0C5C1C12"/>
    <w:rsid w:val="0CAC4948"/>
    <w:rsid w:val="0CBD45E3"/>
    <w:rsid w:val="0D383046"/>
    <w:rsid w:val="0D70006B"/>
    <w:rsid w:val="0DA71AA9"/>
    <w:rsid w:val="0DF01E5A"/>
    <w:rsid w:val="0E8042DE"/>
    <w:rsid w:val="0F2C7427"/>
    <w:rsid w:val="0F307AB2"/>
    <w:rsid w:val="0F580DB7"/>
    <w:rsid w:val="0F626A77"/>
    <w:rsid w:val="0FA83C5A"/>
    <w:rsid w:val="0FB8338B"/>
    <w:rsid w:val="0FEF387A"/>
    <w:rsid w:val="0FFE4711"/>
    <w:rsid w:val="10285587"/>
    <w:rsid w:val="10364244"/>
    <w:rsid w:val="104430E9"/>
    <w:rsid w:val="10477D9C"/>
    <w:rsid w:val="10CB3E30"/>
    <w:rsid w:val="10FC7ABD"/>
    <w:rsid w:val="118C11EC"/>
    <w:rsid w:val="11AA6B98"/>
    <w:rsid w:val="11B03D9D"/>
    <w:rsid w:val="11CB4176"/>
    <w:rsid w:val="11F320DD"/>
    <w:rsid w:val="125E784D"/>
    <w:rsid w:val="128B3251"/>
    <w:rsid w:val="12B453E3"/>
    <w:rsid w:val="12DD5F4A"/>
    <w:rsid w:val="13435CAD"/>
    <w:rsid w:val="137F28FC"/>
    <w:rsid w:val="138228A6"/>
    <w:rsid w:val="13C70EBA"/>
    <w:rsid w:val="13D425A7"/>
    <w:rsid w:val="14757D15"/>
    <w:rsid w:val="14ED01F3"/>
    <w:rsid w:val="14EF3F6B"/>
    <w:rsid w:val="14F46B5F"/>
    <w:rsid w:val="15451DDD"/>
    <w:rsid w:val="155B2C6C"/>
    <w:rsid w:val="15CC7E09"/>
    <w:rsid w:val="16184DFC"/>
    <w:rsid w:val="16230824"/>
    <w:rsid w:val="16247C45"/>
    <w:rsid w:val="16262435"/>
    <w:rsid w:val="16315EBE"/>
    <w:rsid w:val="16730284"/>
    <w:rsid w:val="17390F09"/>
    <w:rsid w:val="17AF79E2"/>
    <w:rsid w:val="17EE0FBD"/>
    <w:rsid w:val="181066D2"/>
    <w:rsid w:val="1845588C"/>
    <w:rsid w:val="18980476"/>
    <w:rsid w:val="18BC23B6"/>
    <w:rsid w:val="18EF453A"/>
    <w:rsid w:val="19167A3B"/>
    <w:rsid w:val="19921375"/>
    <w:rsid w:val="19A12CBE"/>
    <w:rsid w:val="19A4086C"/>
    <w:rsid w:val="19B75568"/>
    <w:rsid w:val="1A002777"/>
    <w:rsid w:val="1A09162B"/>
    <w:rsid w:val="1A4B3B56"/>
    <w:rsid w:val="1A4C776A"/>
    <w:rsid w:val="1A7D3400"/>
    <w:rsid w:val="1AB217D3"/>
    <w:rsid w:val="1AC9700C"/>
    <w:rsid w:val="1AE16104"/>
    <w:rsid w:val="1B0A06C2"/>
    <w:rsid w:val="1CB566AF"/>
    <w:rsid w:val="1CDB1CD4"/>
    <w:rsid w:val="1CF64599"/>
    <w:rsid w:val="1D172F83"/>
    <w:rsid w:val="1D4956B8"/>
    <w:rsid w:val="1D4B1849"/>
    <w:rsid w:val="1D561B78"/>
    <w:rsid w:val="1D835251"/>
    <w:rsid w:val="1DBC4C07"/>
    <w:rsid w:val="1DDB2A93"/>
    <w:rsid w:val="1E432C32"/>
    <w:rsid w:val="1E480248"/>
    <w:rsid w:val="1E917E41"/>
    <w:rsid w:val="1E967206"/>
    <w:rsid w:val="1F503046"/>
    <w:rsid w:val="1FA0658E"/>
    <w:rsid w:val="1FA931F0"/>
    <w:rsid w:val="1FB96D18"/>
    <w:rsid w:val="1FBE07C2"/>
    <w:rsid w:val="1FC24650"/>
    <w:rsid w:val="1FD04999"/>
    <w:rsid w:val="1FDC3F0E"/>
    <w:rsid w:val="1FF00C9C"/>
    <w:rsid w:val="20172063"/>
    <w:rsid w:val="202A22FB"/>
    <w:rsid w:val="204A474C"/>
    <w:rsid w:val="20A26336"/>
    <w:rsid w:val="20A8191F"/>
    <w:rsid w:val="20C341B2"/>
    <w:rsid w:val="20EA3839"/>
    <w:rsid w:val="21224C83"/>
    <w:rsid w:val="213D14CE"/>
    <w:rsid w:val="21590BF5"/>
    <w:rsid w:val="217A6CAB"/>
    <w:rsid w:val="21F7620D"/>
    <w:rsid w:val="221571FD"/>
    <w:rsid w:val="22162B37"/>
    <w:rsid w:val="22484CBB"/>
    <w:rsid w:val="22A5210D"/>
    <w:rsid w:val="22A77C33"/>
    <w:rsid w:val="230C55A2"/>
    <w:rsid w:val="231E73D8"/>
    <w:rsid w:val="23CD5478"/>
    <w:rsid w:val="23E26A49"/>
    <w:rsid w:val="2450541A"/>
    <w:rsid w:val="247B467E"/>
    <w:rsid w:val="24822706"/>
    <w:rsid w:val="24A44305"/>
    <w:rsid w:val="250C0222"/>
    <w:rsid w:val="253C7A40"/>
    <w:rsid w:val="25D616BE"/>
    <w:rsid w:val="25D6462C"/>
    <w:rsid w:val="264C75C8"/>
    <w:rsid w:val="2677791D"/>
    <w:rsid w:val="2688586E"/>
    <w:rsid w:val="26F15413"/>
    <w:rsid w:val="2752510C"/>
    <w:rsid w:val="27B05EC9"/>
    <w:rsid w:val="27C6290A"/>
    <w:rsid w:val="27D74B17"/>
    <w:rsid w:val="28734492"/>
    <w:rsid w:val="28795BCE"/>
    <w:rsid w:val="28E55011"/>
    <w:rsid w:val="29143B49"/>
    <w:rsid w:val="293145B7"/>
    <w:rsid w:val="293B12C6"/>
    <w:rsid w:val="296A3769"/>
    <w:rsid w:val="2A6D3AAE"/>
    <w:rsid w:val="2A834AE2"/>
    <w:rsid w:val="2B42499D"/>
    <w:rsid w:val="2B5225FA"/>
    <w:rsid w:val="2B5A55FB"/>
    <w:rsid w:val="2B960845"/>
    <w:rsid w:val="2B97636B"/>
    <w:rsid w:val="2BAB13D2"/>
    <w:rsid w:val="2BD15D21"/>
    <w:rsid w:val="2C063C1D"/>
    <w:rsid w:val="2C32240E"/>
    <w:rsid w:val="2C42277B"/>
    <w:rsid w:val="2C7212B2"/>
    <w:rsid w:val="2CB3174D"/>
    <w:rsid w:val="2CEB696E"/>
    <w:rsid w:val="2CFEB467"/>
    <w:rsid w:val="2D087520"/>
    <w:rsid w:val="2D381875"/>
    <w:rsid w:val="2D862A59"/>
    <w:rsid w:val="2DA83ACA"/>
    <w:rsid w:val="2DE55AB4"/>
    <w:rsid w:val="2E4368E3"/>
    <w:rsid w:val="2E9372BE"/>
    <w:rsid w:val="2F4843A6"/>
    <w:rsid w:val="2FA572A9"/>
    <w:rsid w:val="2FBE65BC"/>
    <w:rsid w:val="2FDB3803"/>
    <w:rsid w:val="30330D58"/>
    <w:rsid w:val="303348B4"/>
    <w:rsid w:val="3071415C"/>
    <w:rsid w:val="30D616E4"/>
    <w:rsid w:val="30F71D86"/>
    <w:rsid w:val="30F73B34"/>
    <w:rsid w:val="31512AC0"/>
    <w:rsid w:val="31AA504A"/>
    <w:rsid w:val="31AD3EA0"/>
    <w:rsid w:val="31B80CF8"/>
    <w:rsid w:val="324B4A69"/>
    <w:rsid w:val="326A4C2A"/>
    <w:rsid w:val="338531C9"/>
    <w:rsid w:val="33F00D0E"/>
    <w:rsid w:val="34192013"/>
    <w:rsid w:val="342E1F62"/>
    <w:rsid w:val="343C7FF9"/>
    <w:rsid w:val="344A041F"/>
    <w:rsid w:val="34687623"/>
    <w:rsid w:val="348A4CBF"/>
    <w:rsid w:val="34E22D4D"/>
    <w:rsid w:val="359C114E"/>
    <w:rsid w:val="36637F1B"/>
    <w:rsid w:val="366A4DA8"/>
    <w:rsid w:val="36CD016C"/>
    <w:rsid w:val="37476E97"/>
    <w:rsid w:val="37DC5BD7"/>
    <w:rsid w:val="37E05875"/>
    <w:rsid w:val="3871155C"/>
    <w:rsid w:val="388B6865"/>
    <w:rsid w:val="388F0AF6"/>
    <w:rsid w:val="38B44A00"/>
    <w:rsid w:val="38B73B6D"/>
    <w:rsid w:val="38CF6EAD"/>
    <w:rsid w:val="38FB43DD"/>
    <w:rsid w:val="399F6070"/>
    <w:rsid w:val="39B11A4B"/>
    <w:rsid w:val="39DC5FBD"/>
    <w:rsid w:val="39F5444A"/>
    <w:rsid w:val="3A1F234D"/>
    <w:rsid w:val="3A6B6B40"/>
    <w:rsid w:val="3A816B64"/>
    <w:rsid w:val="3A9E4853"/>
    <w:rsid w:val="3AAB572F"/>
    <w:rsid w:val="3AB11832"/>
    <w:rsid w:val="3AB807D8"/>
    <w:rsid w:val="3B0E77E7"/>
    <w:rsid w:val="3B1149A0"/>
    <w:rsid w:val="3B247C1B"/>
    <w:rsid w:val="3B44206B"/>
    <w:rsid w:val="3B5E50EE"/>
    <w:rsid w:val="3B785911"/>
    <w:rsid w:val="3B8775E7"/>
    <w:rsid w:val="3B9A4C60"/>
    <w:rsid w:val="3B9D79CE"/>
    <w:rsid w:val="3BA40D5C"/>
    <w:rsid w:val="3BC316AC"/>
    <w:rsid w:val="3C6165D5"/>
    <w:rsid w:val="3C720E5A"/>
    <w:rsid w:val="3CE90E35"/>
    <w:rsid w:val="3D235CB1"/>
    <w:rsid w:val="3D4554AA"/>
    <w:rsid w:val="3D712EC0"/>
    <w:rsid w:val="3DDF7E2A"/>
    <w:rsid w:val="3E2F0D7C"/>
    <w:rsid w:val="3E877550"/>
    <w:rsid w:val="3E9A1FA2"/>
    <w:rsid w:val="3EAB1FCD"/>
    <w:rsid w:val="3EB63280"/>
    <w:rsid w:val="3EEA6FA4"/>
    <w:rsid w:val="3EFE3157"/>
    <w:rsid w:val="3F5D7BA0"/>
    <w:rsid w:val="3F9115F7"/>
    <w:rsid w:val="3FC45529"/>
    <w:rsid w:val="400A14FF"/>
    <w:rsid w:val="401B7113"/>
    <w:rsid w:val="40236800"/>
    <w:rsid w:val="40C77DA0"/>
    <w:rsid w:val="41025F08"/>
    <w:rsid w:val="413C5593"/>
    <w:rsid w:val="416C21F2"/>
    <w:rsid w:val="419E7FA1"/>
    <w:rsid w:val="41A3659C"/>
    <w:rsid w:val="41A945B9"/>
    <w:rsid w:val="41CD07B6"/>
    <w:rsid w:val="41FA176A"/>
    <w:rsid w:val="42770F78"/>
    <w:rsid w:val="428C02B6"/>
    <w:rsid w:val="4320516C"/>
    <w:rsid w:val="434D3A87"/>
    <w:rsid w:val="43601655"/>
    <w:rsid w:val="43614A2D"/>
    <w:rsid w:val="43655275"/>
    <w:rsid w:val="43CF1C85"/>
    <w:rsid w:val="43E508A5"/>
    <w:rsid w:val="43F16B09"/>
    <w:rsid w:val="44366C11"/>
    <w:rsid w:val="443F7115"/>
    <w:rsid w:val="44736BF2"/>
    <w:rsid w:val="4490003A"/>
    <w:rsid w:val="45050ABD"/>
    <w:rsid w:val="462907DC"/>
    <w:rsid w:val="471D2703"/>
    <w:rsid w:val="4764309A"/>
    <w:rsid w:val="479E37F5"/>
    <w:rsid w:val="47C016D8"/>
    <w:rsid w:val="48286871"/>
    <w:rsid w:val="482A083B"/>
    <w:rsid w:val="48301787"/>
    <w:rsid w:val="486F752A"/>
    <w:rsid w:val="48763A80"/>
    <w:rsid w:val="4919583C"/>
    <w:rsid w:val="494B6CBB"/>
    <w:rsid w:val="494F73CE"/>
    <w:rsid w:val="49790E7F"/>
    <w:rsid w:val="49C425C9"/>
    <w:rsid w:val="4A7A7858"/>
    <w:rsid w:val="4A8D6256"/>
    <w:rsid w:val="4ADB5E1D"/>
    <w:rsid w:val="4B0615B6"/>
    <w:rsid w:val="4B2B2900"/>
    <w:rsid w:val="4B2E17A2"/>
    <w:rsid w:val="4B58121B"/>
    <w:rsid w:val="4BF278C2"/>
    <w:rsid w:val="4C1635B0"/>
    <w:rsid w:val="4C1C3BD7"/>
    <w:rsid w:val="4C8B4D74"/>
    <w:rsid w:val="4CA17BB8"/>
    <w:rsid w:val="4CC71B4B"/>
    <w:rsid w:val="4CD86AB8"/>
    <w:rsid w:val="4CF66F3E"/>
    <w:rsid w:val="4D2B308B"/>
    <w:rsid w:val="4D3F764C"/>
    <w:rsid w:val="4D4E28D6"/>
    <w:rsid w:val="4DA9559E"/>
    <w:rsid w:val="4E4B5067"/>
    <w:rsid w:val="4E5008D0"/>
    <w:rsid w:val="4E726A98"/>
    <w:rsid w:val="4E880069"/>
    <w:rsid w:val="4E9D724F"/>
    <w:rsid w:val="4E9E5ADF"/>
    <w:rsid w:val="4ED0764A"/>
    <w:rsid w:val="4F2558B8"/>
    <w:rsid w:val="4F766114"/>
    <w:rsid w:val="4F7A5C04"/>
    <w:rsid w:val="4FAC6329"/>
    <w:rsid w:val="4FE237A9"/>
    <w:rsid w:val="500631F0"/>
    <w:rsid w:val="502E69EF"/>
    <w:rsid w:val="50CC06E1"/>
    <w:rsid w:val="51145BE4"/>
    <w:rsid w:val="51782617"/>
    <w:rsid w:val="518A74AB"/>
    <w:rsid w:val="51AA02F7"/>
    <w:rsid w:val="51AC0E48"/>
    <w:rsid w:val="51DC3D53"/>
    <w:rsid w:val="522307D5"/>
    <w:rsid w:val="52554706"/>
    <w:rsid w:val="527C7EE5"/>
    <w:rsid w:val="5292555D"/>
    <w:rsid w:val="52C13B4A"/>
    <w:rsid w:val="52C3361D"/>
    <w:rsid w:val="52E922FB"/>
    <w:rsid w:val="52E964BA"/>
    <w:rsid w:val="53004672"/>
    <w:rsid w:val="53235BF3"/>
    <w:rsid w:val="53876B42"/>
    <w:rsid w:val="544D5DBC"/>
    <w:rsid w:val="549E28BC"/>
    <w:rsid w:val="54E30A9C"/>
    <w:rsid w:val="54EF499E"/>
    <w:rsid w:val="558A03EC"/>
    <w:rsid w:val="55947FBF"/>
    <w:rsid w:val="55C776C9"/>
    <w:rsid w:val="55D16F8A"/>
    <w:rsid w:val="56377791"/>
    <w:rsid w:val="563E6E7F"/>
    <w:rsid w:val="56512B8C"/>
    <w:rsid w:val="566C55D7"/>
    <w:rsid w:val="567F5DB8"/>
    <w:rsid w:val="56CB4CE1"/>
    <w:rsid w:val="56FA2452"/>
    <w:rsid w:val="57174680"/>
    <w:rsid w:val="57C54229"/>
    <w:rsid w:val="57D2021D"/>
    <w:rsid w:val="57D4431F"/>
    <w:rsid w:val="57E42883"/>
    <w:rsid w:val="57F81DBC"/>
    <w:rsid w:val="57F87DC0"/>
    <w:rsid w:val="58767185"/>
    <w:rsid w:val="590A5C63"/>
    <w:rsid w:val="59301A29"/>
    <w:rsid w:val="595879A2"/>
    <w:rsid w:val="59643FFD"/>
    <w:rsid w:val="599C7FEE"/>
    <w:rsid w:val="59AA3D8B"/>
    <w:rsid w:val="59F40CA9"/>
    <w:rsid w:val="5A1E0716"/>
    <w:rsid w:val="5AF328A2"/>
    <w:rsid w:val="5B2A2BD4"/>
    <w:rsid w:val="5B4B48F9"/>
    <w:rsid w:val="5B57329D"/>
    <w:rsid w:val="5B631C42"/>
    <w:rsid w:val="5BB072D5"/>
    <w:rsid w:val="5BC07095"/>
    <w:rsid w:val="5C3B671B"/>
    <w:rsid w:val="5C566DF3"/>
    <w:rsid w:val="5CB930D5"/>
    <w:rsid w:val="5CBF10FA"/>
    <w:rsid w:val="5D156F6C"/>
    <w:rsid w:val="5D50269A"/>
    <w:rsid w:val="5D6E48CE"/>
    <w:rsid w:val="5D740E54"/>
    <w:rsid w:val="5DA87DE0"/>
    <w:rsid w:val="5DB03139"/>
    <w:rsid w:val="5DFE20F6"/>
    <w:rsid w:val="5E6D3E6E"/>
    <w:rsid w:val="5E9345EC"/>
    <w:rsid w:val="5F1B3D0B"/>
    <w:rsid w:val="5FA42829"/>
    <w:rsid w:val="5FC30F01"/>
    <w:rsid w:val="5FCD59FB"/>
    <w:rsid w:val="5FDF5717"/>
    <w:rsid w:val="6009054C"/>
    <w:rsid w:val="603D5158"/>
    <w:rsid w:val="60673F83"/>
    <w:rsid w:val="606E6E1C"/>
    <w:rsid w:val="60A800F7"/>
    <w:rsid w:val="60AE1239"/>
    <w:rsid w:val="60D01B55"/>
    <w:rsid w:val="6131633F"/>
    <w:rsid w:val="61477910"/>
    <w:rsid w:val="61DE0274"/>
    <w:rsid w:val="623C31ED"/>
    <w:rsid w:val="62B0558C"/>
    <w:rsid w:val="62D578C9"/>
    <w:rsid w:val="62FB00A1"/>
    <w:rsid w:val="63495BC1"/>
    <w:rsid w:val="640B731B"/>
    <w:rsid w:val="644545DB"/>
    <w:rsid w:val="646A6D79"/>
    <w:rsid w:val="64E04304"/>
    <w:rsid w:val="65183A9D"/>
    <w:rsid w:val="652A6B0B"/>
    <w:rsid w:val="656B62C3"/>
    <w:rsid w:val="656C4A50"/>
    <w:rsid w:val="65984BDE"/>
    <w:rsid w:val="66336209"/>
    <w:rsid w:val="664F7993"/>
    <w:rsid w:val="66996E60"/>
    <w:rsid w:val="669F0EF7"/>
    <w:rsid w:val="66C7577B"/>
    <w:rsid w:val="67066474"/>
    <w:rsid w:val="672D1356"/>
    <w:rsid w:val="67473459"/>
    <w:rsid w:val="674E19F8"/>
    <w:rsid w:val="676A194F"/>
    <w:rsid w:val="68AA0EB0"/>
    <w:rsid w:val="68DE6DAC"/>
    <w:rsid w:val="6939281C"/>
    <w:rsid w:val="694C1F68"/>
    <w:rsid w:val="69574D0D"/>
    <w:rsid w:val="69590983"/>
    <w:rsid w:val="69694595"/>
    <w:rsid w:val="6991496C"/>
    <w:rsid w:val="69F22DFC"/>
    <w:rsid w:val="6A0751BF"/>
    <w:rsid w:val="6A813DB0"/>
    <w:rsid w:val="6A9736B6"/>
    <w:rsid w:val="6B947BF6"/>
    <w:rsid w:val="6BB76897"/>
    <w:rsid w:val="6BE50451"/>
    <w:rsid w:val="6C4E4249"/>
    <w:rsid w:val="6CB467A2"/>
    <w:rsid w:val="6CD52274"/>
    <w:rsid w:val="6D0B2A34"/>
    <w:rsid w:val="6D4C20E6"/>
    <w:rsid w:val="6D7D7DB4"/>
    <w:rsid w:val="6DCA3C63"/>
    <w:rsid w:val="6DCC7B1B"/>
    <w:rsid w:val="6E3A4A84"/>
    <w:rsid w:val="6E5C0E9F"/>
    <w:rsid w:val="6EE60768"/>
    <w:rsid w:val="6EFA06B8"/>
    <w:rsid w:val="6F341C7B"/>
    <w:rsid w:val="6F6D4C84"/>
    <w:rsid w:val="6F7F13B9"/>
    <w:rsid w:val="6FE729EA"/>
    <w:rsid w:val="6FF944CB"/>
    <w:rsid w:val="704F058F"/>
    <w:rsid w:val="707773BB"/>
    <w:rsid w:val="708B2D7F"/>
    <w:rsid w:val="7091168B"/>
    <w:rsid w:val="709A3F00"/>
    <w:rsid w:val="70D2369A"/>
    <w:rsid w:val="70D96A46"/>
    <w:rsid w:val="70EE19F1"/>
    <w:rsid w:val="714300F4"/>
    <w:rsid w:val="71A17BDA"/>
    <w:rsid w:val="71A42811"/>
    <w:rsid w:val="72225F5B"/>
    <w:rsid w:val="725540ED"/>
    <w:rsid w:val="72785B7B"/>
    <w:rsid w:val="72D4166B"/>
    <w:rsid w:val="735A7977"/>
    <w:rsid w:val="7370125E"/>
    <w:rsid w:val="73AF7CC3"/>
    <w:rsid w:val="73C372CA"/>
    <w:rsid w:val="742B5985"/>
    <w:rsid w:val="747F58E7"/>
    <w:rsid w:val="748F1C7A"/>
    <w:rsid w:val="74A23383"/>
    <w:rsid w:val="74C83B0D"/>
    <w:rsid w:val="75345FBE"/>
    <w:rsid w:val="75840BC2"/>
    <w:rsid w:val="75954C96"/>
    <w:rsid w:val="76AF150B"/>
    <w:rsid w:val="76D57A40"/>
    <w:rsid w:val="76EC7021"/>
    <w:rsid w:val="7703269C"/>
    <w:rsid w:val="77211CD1"/>
    <w:rsid w:val="77222814"/>
    <w:rsid w:val="779C230C"/>
    <w:rsid w:val="77B5517C"/>
    <w:rsid w:val="77C93E3B"/>
    <w:rsid w:val="77F50909"/>
    <w:rsid w:val="77F57C6E"/>
    <w:rsid w:val="782665A2"/>
    <w:rsid w:val="787B0173"/>
    <w:rsid w:val="78925530"/>
    <w:rsid w:val="7894140D"/>
    <w:rsid w:val="789D27E0"/>
    <w:rsid w:val="79005E33"/>
    <w:rsid w:val="7938049A"/>
    <w:rsid w:val="795A5654"/>
    <w:rsid w:val="796559DA"/>
    <w:rsid w:val="79C127D1"/>
    <w:rsid w:val="79C542E2"/>
    <w:rsid w:val="79C8563A"/>
    <w:rsid w:val="79ED068D"/>
    <w:rsid w:val="7A911ED0"/>
    <w:rsid w:val="7AC202DC"/>
    <w:rsid w:val="7AFE6E3A"/>
    <w:rsid w:val="7B364826"/>
    <w:rsid w:val="7B407452"/>
    <w:rsid w:val="7B767318"/>
    <w:rsid w:val="7BDD535C"/>
    <w:rsid w:val="7C1A7CA3"/>
    <w:rsid w:val="7CB73744"/>
    <w:rsid w:val="7CF8762D"/>
    <w:rsid w:val="7D3B33F0"/>
    <w:rsid w:val="7D7325DC"/>
    <w:rsid w:val="7D7610C2"/>
    <w:rsid w:val="7D891F78"/>
    <w:rsid w:val="7D8C4BD1"/>
    <w:rsid w:val="7DCE6F97"/>
    <w:rsid w:val="7E2412AD"/>
    <w:rsid w:val="7E88183C"/>
    <w:rsid w:val="7F0569E9"/>
    <w:rsid w:val="7F0C6039"/>
    <w:rsid w:val="7F4A08A0"/>
    <w:rsid w:val="7F645E05"/>
    <w:rsid w:val="7F6B0FA7"/>
    <w:rsid w:val="7F953113"/>
    <w:rsid w:val="7FB165EB"/>
    <w:rsid w:val="7FC44AF6"/>
    <w:rsid w:val="7FD85EAB"/>
    <w:rsid w:val="7FFF4D86"/>
    <w:rsid w:val="AF5B4F25"/>
    <w:rsid w:val="DDFF0378"/>
    <w:rsid w:val="F6FDC282"/>
    <w:rsid w:val="FBFF2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adjustRightInd w:val="0"/>
      <w:snapToGrid w:val="0"/>
      <w:ind w:left="0" w:firstLine="0" w:firstLineChars="0"/>
      <w:jc w:val="center"/>
      <w:outlineLvl w:val="0"/>
    </w:pPr>
    <w:rPr>
      <w:rFonts w:ascii="楷体" w:hAnsi="楷体" w:eastAsia="方正小标宋简体" w:cs="楷体"/>
      <w:bCs/>
      <w:sz w:val="44"/>
      <w:szCs w:val="32"/>
    </w:rPr>
  </w:style>
  <w:style w:type="paragraph" w:styleId="2">
    <w:name w:val="heading 2"/>
    <w:basedOn w:val="1"/>
    <w:next w:val="1"/>
    <w:unhideWhenUsed/>
    <w:qFormat/>
    <w:uiPriority w:val="0"/>
    <w:pPr>
      <w:ind w:firstLine="0" w:firstLineChars="0"/>
      <w:outlineLvl w:val="1"/>
    </w:pPr>
    <w:rPr>
      <w:rFonts w:ascii="楷体" w:hAnsi="楷体" w:cs="楷体"/>
      <w:b/>
      <w:bCs/>
      <w:sz w:val="30"/>
      <w:szCs w:val="30"/>
    </w:rPr>
  </w:style>
  <w:style w:type="paragraph" w:styleId="4">
    <w:name w:val="heading 3"/>
    <w:basedOn w:val="1"/>
    <w:next w:val="1"/>
    <w:unhideWhenUsed/>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1"/>
    <w:unhideWhenUsed/>
    <w:qFormat/>
    <w:uiPriority w:val="0"/>
    <w:pPr>
      <w:keepNext/>
      <w:keepLines/>
      <w:numPr>
        <w:ilvl w:val="3"/>
        <w:numId w:val="2"/>
      </w:numPr>
      <w:ind w:firstLineChars="0"/>
      <w:outlineLvl w:val="3"/>
    </w:pPr>
    <w:rPr>
      <w:rFonts w:cstheme="majorBidi"/>
      <w:b/>
      <w:bCs/>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rFonts w:eastAsia="仿宋"/>
      <w:kern w:val="32"/>
      <w:szCs w:val="28"/>
      <w:lang w:eastAsia="en-US"/>
    </w:rPr>
  </w:style>
  <w:style w:type="paragraph" w:styleId="8">
    <w:name w:val="caption"/>
    <w:basedOn w:val="1"/>
    <w:next w:val="1"/>
    <w:unhideWhenUsed/>
    <w:qFormat/>
    <w:uiPriority w:val="0"/>
    <w:rPr>
      <w:rFonts w:asciiTheme="majorHAnsi" w:hAnsiTheme="majorHAnsi" w:cstheme="majorBidi"/>
      <w:szCs w:val="20"/>
    </w:rPr>
  </w:style>
  <w:style w:type="paragraph" w:styleId="9">
    <w:name w:val="annotation text"/>
    <w:basedOn w:val="1"/>
    <w:qFormat/>
    <w:uiPriority w:val="0"/>
    <w:pPr>
      <w:jc w:val="left"/>
    </w:pPr>
  </w:style>
  <w:style w:type="paragraph" w:styleId="10">
    <w:name w:val="Body Text"/>
    <w:basedOn w:val="1"/>
    <w:qFormat/>
    <w:uiPriority w:val="0"/>
    <w:pPr>
      <w:spacing w:before="1200" w:line="20" w:lineRule="exact"/>
    </w:pPr>
    <w:rPr>
      <w:rFonts w:ascii="仿宋_GB2312" w:eastAsia="仿宋_GB2312"/>
      <w:sz w:val="30"/>
    </w:rPr>
  </w:style>
  <w:style w:type="paragraph" w:styleId="11">
    <w:name w:val="Body Text Indent"/>
    <w:basedOn w:val="1"/>
    <w:qFormat/>
    <w:uiPriority w:val="0"/>
    <w:pPr>
      <w:widowControl/>
      <w:spacing w:line="360" w:lineRule="auto"/>
      <w:ind w:left="492"/>
      <w:jc w:val="left"/>
    </w:pPr>
    <w:rPr>
      <w:rFonts w:ascii="仿宋_GB2312" w:hAnsi="宋体" w:eastAsia="仿宋_GB2312"/>
      <w:color w:val="000000"/>
      <w:kern w:val="0"/>
      <w:sz w:val="30"/>
    </w:rPr>
  </w:style>
  <w:style w:type="paragraph" w:styleId="12">
    <w:name w:val="toc 3"/>
    <w:basedOn w:val="1"/>
    <w:next w:val="1"/>
    <w:qFormat/>
    <w:uiPriority w:val="0"/>
    <w:pPr>
      <w:ind w:left="0" w:leftChars="0" w:firstLine="960" w:firstLineChars="400"/>
    </w:pPr>
    <w:rPr>
      <w:rFonts w:ascii="Times New Roman" w:hAnsi="Times New Roman" w:eastAsia="宋体"/>
    </w:rPr>
  </w:style>
  <w:style w:type="paragraph" w:styleId="13">
    <w:name w:val="Plain Text"/>
    <w:basedOn w:val="1"/>
    <w:qFormat/>
    <w:uiPriority w:val="0"/>
    <w:pPr>
      <w:adjustRightInd w:val="0"/>
      <w:snapToGrid w:val="0"/>
      <w:spacing w:line="360" w:lineRule="auto"/>
      <w:ind w:firstLine="640" w:firstLineChars="200"/>
    </w:pPr>
    <w:rPr>
      <w:rFonts w:ascii="宋体" w:hAnsi="Courier New" w:eastAsia="仿宋_GB2312" w:cs="Courier New"/>
      <w:sz w:val="32"/>
      <w:szCs w:val="21"/>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ind w:firstLine="0" w:firstLineChars="0"/>
    </w:pPr>
    <w:rPr>
      <w:rFonts w:ascii="Times New Roman" w:hAnsi="Times New Roman" w:eastAsia="宋体"/>
      <w:b/>
    </w:rPr>
  </w:style>
  <w:style w:type="paragraph" w:styleId="17">
    <w:name w:val="toc 2"/>
    <w:basedOn w:val="1"/>
    <w:next w:val="1"/>
    <w:qFormat/>
    <w:uiPriority w:val="0"/>
    <w:pPr>
      <w:ind w:left="0" w:leftChars="0"/>
    </w:pPr>
    <w:rPr>
      <w:rFonts w:ascii="Times New Roman" w:hAnsi="Times New Roman" w:eastAsia="宋体"/>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2"/>
    <w:basedOn w:val="11"/>
    <w:qFormat/>
    <w:uiPriority w:val="0"/>
    <w:pPr>
      <w:ind w:firstLine="420" w:firstLineChars="20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Hyperlink"/>
    <w:basedOn w:val="22"/>
    <w:qFormat/>
    <w:uiPriority w:val="0"/>
    <w:rPr>
      <w:color w:val="0000FF"/>
      <w:u w:val="single"/>
    </w:rPr>
  </w:style>
  <w:style w:type="character" w:styleId="25">
    <w:name w:val="footnote reference"/>
    <w:basedOn w:val="22"/>
    <w:qFormat/>
    <w:uiPriority w:val="0"/>
    <w:rPr>
      <w:vertAlign w:val="superscript"/>
    </w:rPr>
  </w:style>
  <w:style w:type="paragraph" w:customStyle="1" w:styleId="26">
    <w:name w:val="Default"/>
    <w:qFormat/>
    <w:uiPriority w:val="0"/>
    <w:pPr>
      <w:widowControl w:val="0"/>
      <w:autoSpaceDE w:val="0"/>
      <w:autoSpaceDN w:val="0"/>
      <w:adjustRightInd w:val="0"/>
    </w:pPr>
    <w:rPr>
      <w:rFonts w:ascii="华文中宋D..." w:hAnsi="Times New Roman" w:eastAsia="华文中宋D..." w:cs="华文中宋D..."/>
      <w:color w:val="000000"/>
      <w:sz w:val="24"/>
      <w:szCs w:val="24"/>
      <w:lang w:val="en-US" w:eastAsia="zh-CN" w:bidi="ar-SA"/>
    </w:rPr>
  </w:style>
  <w:style w:type="paragraph" w:customStyle="1" w:styleId="27">
    <w:name w:val="_Style 3"/>
    <w:basedOn w:val="1"/>
    <w:qFormat/>
    <w:uiPriority w:val="1"/>
    <w:pPr>
      <w:spacing w:before="136"/>
      <w:ind w:left="1680" w:hanging="600"/>
    </w:pPr>
  </w:style>
  <w:style w:type="paragraph" w:customStyle="1" w:styleId="28">
    <w:name w:val="表格文字"/>
    <w:basedOn w:val="1"/>
    <w:qFormat/>
    <w:uiPriority w:val="0"/>
    <w:pPr>
      <w:spacing w:line="240" w:lineRule="auto"/>
      <w:ind w:firstLine="0" w:firstLineChars="0"/>
      <w:jc w:val="center"/>
    </w:pPr>
    <w:rPr>
      <w:rFonts w:cs="宋体"/>
      <w:color w:val="000000"/>
      <w:sz w:val="18"/>
      <w:szCs w:val="18"/>
    </w:rPr>
  </w:style>
  <w:style w:type="paragraph" w:customStyle="1" w:styleId="29">
    <w:name w:val="表格标题"/>
    <w:basedOn w:val="1"/>
    <w:qFormat/>
    <w:uiPriority w:val="0"/>
    <w:pPr>
      <w:widowControl w:val="0"/>
      <w:tabs>
        <w:tab w:val="center" w:pos="480"/>
      </w:tabs>
      <w:spacing w:line="100" w:lineRule="atLeast"/>
      <w:ind w:firstLine="0" w:firstLineChars="0"/>
      <w:jc w:val="center"/>
    </w:pPr>
    <w:rPr>
      <w:rFonts w:hAnsi="宋体" w:eastAsia="黑体"/>
      <w:b/>
      <w:kern w:val="32"/>
      <w:sz w:val="24"/>
      <w:szCs w:val="28"/>
      <w:lang w:eastAsia="en-US"/>
    </w:rPr>
  </w:style>
  <w:style w:type="paragraph" w:customStyle="1" w:styleId="30">
    <w:name w:val="List Paragraph"/>
    <w:basedOn w:val="1"/>
    <w:qFormat/>
    <w:uiPriority w:val="34"/>
    <w:pPr>
      <w:ind w:firstLine="420"/>
    </w:pPr>
  </w:style>
  <w:style w:type="character" w:customStyle="1" w:styleId="31">
    <w:name w:val="标题 4 Char"/>
    <w:basedOn w:val="22"/>
    <w:link w:val="5"/>
    <w:qFormat/>
    <w:uiPriority w:val="9"/>
    <w:rPr>
      <w:rFonts w:cstheme="majorBidi"/>
      <w:b/>
      <w:bCs/>
      <w:szCs w:val="28"/>
    </w:rPr>
  </w:style>
  <w:style w:type="paragraph" w:customStyle="1" w:styleId="32">
    <w:name w:val="Table Paragraph"/>
    <w:basedOn w:val="1"/>
    <w:qFormat/>
    <w:uiPriority w:val="0"/>
    <w:pPr>
      <w:keepNext w:val="0"/>
      <w:keepLines w:val="0"/>
      <w:widowControl w:val="0"/>
      <w:suppressLineNumbers w:val="0"/>
      <w:autoSpaceDE w:val="0"/>
      <w:autoSpaceDN w:val="0"/>
      <w:spacing w:before="158" w:beforeAutospacing="0" w:after="0" w:afterAutospacing="0"/>
      <w:ind w:left="0" w:right="0"/>
      <w:jc w:val="center"/>
    </w:pPr>
    <w:rPr>
      <w:rFonts w:hint="eastAsia" w:ascii="仿宋" w:hAnsi="仿宋" w:eastAsia="仿宋" w:cs="仿宋"/>
      <w:kern w:val="0"/>
      <w:sz w:val="22"/>
      <w:szCs w:val="22"/>
      <w:lang w:val="en-US" w:eastAsia="zh-CN" w:bidi="ar"/>
    </w:rPr>
  </w:style>
  <w:style w:type="paragraph" w:customStyle="1" w:styleId="33">
    <w:name w:val="cucd-1"/>
    <w:next w:val="34"/>
    <w:qFormat/>
    <w:uiPriority w:val="0"/>
    <w:pPr>
      <w:numPr>
        <w:ilvl w:val="0"/>
        <w:numId w:val="3"/>
      </w:numPr>
      <w:spacing w:before="100" w:beforeLines="100" w:after="50" w:afterLines="50" w:line="360" w:lineRule="auto"/>
      <w:jc w:val="center"/>
      <w:outlineLvl w:val="0"/>
    </w:pPr>
    <w:rPr>
      <w:rFonts w:ascii="Calibri" w:hAnsi="Calibri" w:eastAsia="宋体" w:cs="Calibri"/>
      <w:b/>
      <w:kern w:val="2"/>
      <w:sz w:val="36"/>
      <w:szCs w:val="24"/>
      <w:lang w:val="en-US" w:eastAsia="zh-CN" w:bidi="ar-SA"/>
    </w:rPr>
  </w:style>
  <w:style w:type="paragraph" w:customStyle="1" w:styleId="34">
    <w:name w:val="cucd-2"/>
    <w:next w:val="35"/>
    <w:qFormat/>
    <w:uiPriority w:val="0"/>
    <w:pPr>
      <w:numPr>
        <w:ilvl w:val="1"/>
        <w:numId w:val="3"/>
      </w:numPr>
      <w:tabs>
        <w:tab w:val="left" w:pos="567"/>
      </w:tabs>
      <w:spacing w:line="360" w:lineRule="auto"/>
      <w:outlineLvl w:val="1"/>
    </w:pPr>
    <w:rPr>
      <w:rFonts w:ascii="Calibri" w:hAnsi="Calibri" w:eastAsia="宋体" w:cs="Calibri"/>
      <w:b/>
      <w:kern w:val="2"/>
      <w:sz w:val="30"/>
      <w:szCs w:val="24"/>
      <w:lang w:val="en-US" w:eastAsia="zh-CN" w:bidi="ar-SA"/>
    </w:rPr>
  </w:style>
  <w:style w:type="paragraph" w:customStyle="1" w:styleId="35">
    <w:name w:val="cucd-3"/>
    <w:next w:val="36"/>
    <w:qFormat/>
    <w:uiPriority w:val="0"/>
    <w:pPr>
      <w:numPr>
        <w:ilvl w:val="2"/>
        <w:numId w:val="3"/>
      </w:numPr>
      <w:tabs>
        <w:tab w:val="left" w:pos="993"/>
      </w:tabs>
      <w:spacing w:line="360" w:lineRule="auto"/>
      <w:outlineLvl w:val="2"/>
    </w:pPr>
    <w:rPr>
      <w:rFonts w:ascii="Calibri" w:hAnsi="Calibri" w:eastAsia="宋体" w:cs="Calibri"/>
      <w:b/>
      <w:kern w:val="2"/>
      <w:sz w:val="28"/>
      <w:szCs w:val="24"/>
      <w:lang w:val="en-US" w:eastAsia="zh-CN" w:bidi="ar-SA"/>
    </w:rPr>
  </w:style>
  <w:style w:type="paragraph" w:customStyle="1" w:styleId="36">
    <w:name w:val="cucd-4"/>
    <w:next w:val="37"/>
    <w:qFormat/>
    <w:uiPriority w:val="0"/>
    <w:pPr>
      <w:numPr>
        <w:ilvl w:val="3"/>
        <w:numId w:val="3"/>
      </w:numPr>
      <w:spacing w:line="360" w:lineRule="auto"/>
      <w:ind w:left="851" w:hanging="851" w:firstLineChars="0"/>
      <w:outlineLvl w:val="3"/>
    </w:pPr>
    <w:rPr>
      <w:rFonts w:ascii="Calibri" w:hAnsi="Calibri" w:eastAsia="宋体" w:cs="Calibri"/>
      <w:b/>
      <w:kern w:val="2"/>
      <w:sz w:val="24"/>
      <w:szCs w:val="24"/>
      <w:lang w:val="en-US" w:eastAsia="zh-CN" w:bidi="ar-SA"/>
    </w:rPr>
  </w:style>
  <w:style w:type="paragraph" w:customStyle="1" w:styleId="37">
    <w:name w:val="cucd-0"/>
    <w:qFormat/>
    <w:uiPriority w:val="0"/>
    <w:pPr>
      <w:spacing w:line="360" w:lineRule="auto"/>
      <w:ind w:firstLine="200" w:firstLineChars="200"/>
      <w:jc w:val="both"/>
    </w:pPr>
    <w:rPr>
      <w:rFonts w:ascii="Calibri" w:hAnsi="Calibri" w:eastAsia="宋体" w:cs="Calibri"/>
      <w:kern w:val="2"/>
      <w:sz w:val="24"/>
      <w:szCs w:val="24"/>
      <w:lang w:val="en-US" w:eastAsia="zh-CN" w:bidi="ar-SA"/>
    </w:rPr>
  </w:style>
  <w:style w:type="character" w:customStyle="1" w:styleId="38">
    <w:name w:val="font41"/>
    <w:qFormat/>
    <w:uiPriority w:val="0"/>
    <w:rPr>
      <w:rFonts w:hint="eastAsia" w:ascii="仿宋_GB2312" w:eastAsia="仿宋_GB2312" w:cs="仿宋_GB2312"/>
      <w:color w:val="000000"/>
      <w:sz w:val="22"/>
      <w:szCs w:val="22"/>
      <w:u w:val="none"/>
    </w:rPr>
  </w:style>
  <w:style w:type="paragraph" w:customStyle="1" w:styleId="39">
    <w:name w:val="正文文本缩进 31"/>
    <w:basedOn w:val="1"/>
    <w:qFormat/>
    <w:uiPriority w:val="0"/>
    <w:pPr>
      <w:adjustRightInd w:val="0"/>
      <w:snapToGrid w:val="0"/>
      <w:spacing w:line="300" w:lineRule="auto"/>
      <w:ind w:left="1260" w:hanging="1" w:firstLineChars="200"/>
    </w:pPr>
    <w:rPr>
      <w:rFonts w:ascii="宋体" w:eastAsia="仿宋_GB2312"/>
      <w:sz w:val="24"/>
      <w:szCs w:val="32"/>
    </w:rPr>
  </w:style>
  <w:style w:type="paragraph" w:customStyle="1" w:styleId="40">
    <w:name w:val="S正文"/>
    <w:basedOn w:val="7"/>
    <w:qFormat/>
    <w:uiPriority w:val="0"/>
    <w:pPr>
      <w:spacing w:line="560" w:lineRule="exact"/>
      <w:ind w:firstLine="560"/>
    </w:pPr>
    <w:rPr>
      <w:rFonts w:ascii="Times New Roman" w:hAnsi="Times New Roman"/>
      <w:color w:val="000000"/>
      <w:kern w:val="0"/>
      <w:sz w:val="28"/>
    </w:rPr>
  </w:style>
  <w:style w:type="paragraph" w:customStyle="1" w:styleId="41">
    <w:name w:val="我的正文"/>
    <w:basedOn w:val="1"/>
    <w:qFormat/>
    <w:uiPriority w:val="99"/>
    <w:pPr>
      <w:adjustRightInd w:val="0"/>
      <w:snapToGrid w:val="0"/>
      <w:ind w:firstLine="570"/>
    </w:pPr>
    <w:rPr>
      <w:rFonts w:ascii="Times New Roman" w:hAnsi="Times New Roman"/>
      <w:sz w:val="28"/>
      <w:szCs w:val="28"/>
    </w:rPr>
  </w:style>
  <w:style w:type="paragraph" w:customStyle="1" w:styleId="42">
    <w:name w:val="Body text|2"/>
    <w:basedOn w:val="1"/>
    <w:qFormat/>
    <w:uiPriority w:val="0"/>
    <w:pPr>
      <w:spacing w:after="220"/>
      <w:ind w:firstLine="600"/>
    </w:pPr>
    <w:rPr>
      <w:b/>
      <w:bCs/>
      <w:sz w:val="14"/>
      <w:szCs w:val="14"/>
      <w:lang w:val="zh-TW" w:eastAsia="zh-TW" w:bidi="zh-TW"/>
    </w:rPr>
  </w:style>
  <w:style w:type="paragraph" w:customStyle="1" w:styleId="43">
    <w:name w:val="1910正文"/>
    <w:basedOn w:val="1"/>
    <w:qFormat/>
    <w:uiPriority w:val="0"/>
    <w:pPr>
      <w:adjustRightInd w:val="0"/>
      <w:snapToGrid w:val="0"/>
    </w:pPr>
    <w:rPr>
      <w:szCs w:val="28"/>
    </w:rPr>
  </w:style>
  <w:style w:type="character" w:customStyle="1" w:styleId="44">
    <w:name w:val="font21"/>
    <w:basedOn w:val="22"/>
    <w:qFormat/>
    <w:uiPriority w:val="0"/>
    <w:rPr>
      <w:rFonts w:hint="default" w:ascii="Times New Roman" w:hAnsi="Times New Roman" w:cs="Times New Roman"/>
      <w:color w:val="000000"/>
      <w:sz w:val="24"/>
      <w:szCs w:val="24"/>
      <w:u w:val="none"/>
    </w:rPr>
  </w:style>
  <w:style w:type="character" w:customStyle="1" w:styleId="45">
    <w:name w:val="font11"/>
    <w:basedOn w:val="22"/>
    <w:qFormat/>
    <w:uiPriority w:val="0"/>
    <w:rPr>
      <w:rFonts w:hint="eastAsia" w:ascii="仿宋" w:hAnsi="仿宋" w:eastAsia="仿宋" w:cs="仿宋"/>
      <w:color w:val="000000"/>
      <w:sz w:val="24"/>
      <w:szCs w:val="24"/>
      <w:u w:val="none"/>
    </w:rPr>
  </w:style>
  <w:style w:type="character" w:customStyle="1" w:styleId="46">
    <w:name w:val="font31"/>
    <w:basedOn w:val="22"/>
    <w:qFormat/>
    <w:uiPriority w:val="0"/>
    <w:rPr>
      <w:rFonts w:hint="eastAsia" w:ascii="宋体" w:hAnsi="宋体" w:eastAsia="宋体" w:cs="宋体"/>
      <w:color w:val="000000"/>
      <w:sz w:val="24"/>
      <w:szCs w:val="24"/>
      <w:u w:val="none"/>
    </w:rPr>
  </w:style>
  <w:style w:type="character" w:customStyle="1" w:styleId="47">
    <w:name w:val="font51"/>
    <w:basedOn w:val="22"/>
    <w:qFormat/>
    <w:uiPriority w:val="0"/>
    <w:rPr>
      <w:rFonts w:hint="eastAsia" w:ascii="宋体" w:hAnsi="宋体" w:eastAsia="宋体" w:cs="宋体"/>
      <w:b/>
      <w:bCs/>
      <w:color w:val="000000"/>
      <w:sz w:val="20"/>
      <w:szCs w:val="20"/>
      <w:u w:val="none"/>
    </w:rPr>
  </w:style>
  <w:style w:type="character" w:customStyle="1" w:styleId="48">
    <w:name w:val="font61"/>
    <w:basedOn w:val="22"/>
    <w:qFormat/>
    <w:uiPriority w:val="0"/>
    <w:rPr>
      <w:rFonts w:hint="default" w:ascii="Times New Roman" w:hAnsi="Times New Roman" w:cs="Times New Roman"/>
      <w:color w:val="000000"/>
      <w:sz w:val="20"/>
      <w:szCs w:val="20"/>
      <w:u w:val="none"/>
    </w:rPr>
  </w:style>
  <w:style w:type="character" w:customStyle="1" w:styleId="49">
    <w:name w:val="font91"/>
    <w:basedOn w:val="22"/>
    <w:qFormat/>
    <w:uiPriority w:val="0"/>
    <w:rPr>
      <w:rFonts w:hint="default" w:ascii="Times New Roman" w:hAnsi="Times New Roman" w:cs="Times New Roman"/>
      <w:color w:val="000000"/>
      <w:sz w:val="20"/>
      <w:szCs w:val="20"/>
      <w:u w:val="none"/>
      <w:vertAlign w:val="superscript"/>
    </w:rPr>
  </w:style>
  <w:style w:type="paragraph" w:customStyle="1" w:styleId="5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省农业厅</Company>
  <Pages>41</Pages>
  <Words>18397</Words>
  <Characters>20335</Characters>
  <Lines>0</Lines>
  <Paragraphs>0</Paragraphs>
  <TotalTime>11</TotalTime>
  <ScaleCrop>false</ScaleCrop>
  <LinksUpToDate>false</LinksUpToDate>
  <CharactersWithSpaces>20472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2021-04-20T00:31:00Z</dcterms:created>
  <dc:creator>Zheng</dc:creator>
  <cp:lastModifiedBy>何宇齐</cp:lastModifiedBy>
  <cp:lastPrinted>2024-05-16T17:04:00Z</cp:lastPrinted>
  <dcterms:modified xsi:type="dcterms:W3CDTF">2025-01-23T00:50:41Z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216496598A744B12B8A29D5C7931900B_13</vt:lpwstr>
  </property>
  <property fmtid="{D5CDD505-2E9C-101B-9397-08002B2CF9AE}" pid="4" name="KSOTemplateDocerSaveRecord">
    <vt:lpwstr>eyJoZGlkIjoiNThkYWMyYjI5YTJhMzJmNzRhMmRkMmFiMDI0MGQ1YTkiLCJ1c2VySWQiOiIyNjQ5NTkxNzMifQ==</vt:lpwstr>
  </property>
</Properties>
</file>