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附件1-2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年广州市南沙区湾区实验学校就近入学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/>
        <w:jc w:val="center"/>
        <w:textAlignment w:val="auto"/>
        <w:rPr>
          <w:rFonts w:ascii="微软雅黑" w:hAnsi="仿宋" w:eastAsia="微软雅黑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1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" w:hAnsi="楷体" w:eastAsia="仿宋" w:cs="楷体"/>
          <w:color w:val="auto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</w:rPr>
        <w:t>灵山岛金茂湾、金科博翠明珠、越秀明珠天悦江湾、柳岸晓风、华润瑞府、大元村、义沙村、长沙村、七一村、花语阳光（属灵山安置区）</w:t>
      </w:r>
      <w:r>
        <w:rPr>
          <w:rFonts w:hint="eastAsia" w:ascii="仿宋" w:hAnsi="仿宋" w:eastAsia="仿宋"/>
          <w:color w:val="auto"/>
          <w:sz w:val="32"/>
          <w:szCs w:val="32"/>
        </w:rPr>
        <w:t>、新兴村、前进村、云水雅苑</w:t>
      </w:r>
      <w:r>
        <w:rPr>
          <w:rFonts w:ascii="仿宋" w:hAnsi="仿宋" w:eastAsia="仿宋"/>
          <w:color w:val="auto"/>
          <w:sz w:val="32"/>
          <w:szCs w:val="32"/>
        </w:rPr>
        <w:t>(</w:t>
      </w:r>
      <w:r>
        <w:rPr>
          <w:rFonts w:hint="eastAsia" w:ascii="仿宋" w:hAnsi="仿宋" w:eastAsia="仿宋"/>
          <w:color w:val="auto"/>
          <w:sz w:val="32"/>
          <w:szCs w:val="32"/>
        </w:rPr>
        <w:t>横沥安置区）、兆丰社区居委、冯马二村、前锋社区居委、灵山岛金茂湾二期、华发天珀、晓风印月、佳兆业悦江府、湾区金融城、江上沄启、曜玥湾、旭悦金湾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云秀幸福花园、晶荟湾、华丰金湾。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120" w:hanging="1120" w:hangingChars="400"/>
        <w:textAlignment w:val="auto"/>
        <w:rPr>
          <w:rFonts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备注：1.学校宿位有限，只能满足部分入读学生的住宿需求。</w:t>
      </w:r>
    </w:p>
    <w:p>
      <w:pPr>
        <w:keepNext w:val="0"/>
        <w:keepLines w:val="0"/>
        <w:pageBreakBefore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118" w:leftChars="399" w:hanging="280" w:hangingChars="100"/>
        <w:textAlignment w:val="auto"/>
        <w:rPr>
          <w:rFonts w:ascii="仿宋" w:hAnsi="仿宋" w:eastAsia="仿宋"/>
          <w:color w:val="auto"/>
          <w:sz w:val="28"/>
          <w:szCs w:val="22"/>
        </w:rPr>
      </w:pPr>
      <w:r>
        <w:rPr>
          <w:rFonts w:hint="eastAsia" w:ascii="仿宋" w:hAnsi="仿宋" w:eastAsia="仿宋"/>
          <w:color w:val="auto"/>
          <w:sz w:val="28"/>
          <w:szCs w:val="22"/>
        </w:rPr>
        <w:t>2.公办学校招生范围确定后原则上保持稳定，根据我区学校建设及学位承载能力适时进行调整。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楷体" w:hAnsi="楷体" w:eastAsia="楷体" w:cs="楷体"/>
          <w:color w:val="auto"/>
          <w:kern w:val="0"/>
          <w:sz w:val="32"/>
          <w:szCs w:val="32"/>
          <w:u w:val="single"/>
        </w:rPr>
      </w:pPr>
    </w:p>
    <w:p>
      <w:pPr>
        <w:spacing w:line="560" w:lineRule="exact"/>
        <w:ind w:right="382" w:rightChars="182" w:firstLine="274" w:firstLineChars="98"/>
        <w:rPr>
          <w:rFonts w:eastAsia="仿宋_GB2312"/>
          <w:sz w:val="28"/>
          <w:szCs w:val="28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D02A7C-030A-40F5-9995-27D234EFD7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F5418A-63C8-4128-BB0C-C6CE2BEDF4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6527C4-2248-49FF-BABA-F280BE1730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C2A175E-EBC8-4C41-AD36-5DB27D5789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016027-7225-4037-B890-C65126E102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97E3C48-F14C-4538-8865-3CEBB7BB551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DFB5F4FB-2B20-4AAC-8DA5-13D0E39DA88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A6286127-DD12-4121-95A1-D36401FD8D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324C3167-269E-4013-85C0-823547C79C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39CDC603-93F4-43D5-8826-D8EB3C0FF74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1" w:fontKey="{C3C524AD-64DC-4E56-B001-988BED9BF81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BC92DF5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2024-05-08T07:48:10Z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