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广州南沙新区（自贸片区）信贷风险补偿资金池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合作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  <w:lang w:eastAsia="zh-CN"/>
        </w:rPr>
        <w:t>银行机构资格预审</w:t>
      </w: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表</w:t>
      </w:r>
    </w:p>
    <w:tbl>
      <w:tblPr>
        <w:tblStyle w:val="3"/>
        <w:tblW w:w="14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1573"/>
        <w:gridCol w:w="1574"/>
        <w:gridCol w:w="1574"/>
        <w:gridCol w:w="1574"/>
        <w:gridCol w:w="1574"/>
        <w:gridCol w:w="1567"/>
        <w:gridCol w:w="1561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序号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银行名称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 w:eastAsia="宋体"/>
                <w:vertAlign w:val="baseline"/>
                <w:lang w:eastAsia="zh-CN"/>
              </w:rPr>
              <w:t>在南沙区设有分支机构，设有专门的普惠金融部门</w:t>
            </w:r>
            <w:r>
              <w:rPr>
                <w:rFonts w:hint="eastAsia"/>
                <w:vertAlign w:val="baseline"/>
                <w:lang w:val="en-US" w:eastAsia="zh-CN"/>
              </w:rPr>
              <w:t>或普惠金融工作团队</w:t>
            </w:r>
            <w:bookmarkStart w:id="0" w:name="_GoBack"/>
            <w:bookmarkEnd w:id="0"/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制定专门的普惠金融信贷政策，并开发专门的普惠金融信贷产品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运用再贷款、再贴现、金融债券、债务融资工具等政策支持中小微企业、个体工商户取得一定成效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完成金融监管部门规定的上年度普惠型小微企业金融服务指标任务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具备完善的风险管理系统，有良好的风险管控能力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无被责令停业整顿或吊销金融许可证等重大行政处罚记录，无虚报小微企业贷款统计数据行为，无其他重大违规违法行为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  <w:r>
              <w:rPr>
                <w:rFonts w:hint="eastAsia"/>
                <w:vertAlign w:val="baseline"/>
                <w:lang w:val="en-US" w:eastAsia="zh-CN"/>
              </w:rPr>
              <w:t>/否</w:t>
            </w:r>
            <w:r>
              <w:rPr>
                <w:rFonts w:hint="eastAsia"/>
                <w:vertAlign w:val="baseline"/>
              </w:rPr>
              <w:t>进入下一个遴选环节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7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55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备注：请按照实际情况填写“是”/“否”</w:t>
      </w:r>
    </w:p>
    <w:p>
      <w:pPr>
        <w:rPr>
          <w:rFonts w:hint="eastAsia"/>
          <w:color w:val="FF0000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kODhiMDMwZDYwYTVlY2ZkM2E4Mzk4NmQyZmFkZjUifQ=="/>
  </w:docVars>
  <w:rsids>
    <w:rsidRoot w:val="19383804"/>
    <w:rsid w:val="19383804"/>
    <w:rsid w:val="3CBC3F6C"/>
    <w:rsid w:val="435A0435"/>
    <w:rsid w:val="528A443C"/>
    <w:rsid w:val="53AB51A8"/>
    <w:rsid w:val="56864785"/>
    <w:rsid w:val="627B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284</Characters>
  <Lines>0</Lines>
  <Paragraphs>0</Paragraphs>
  <TotalTime>28</TotalTime>
  <ScaleCrop>false</ScaleCrop>
  <LinksUpToDate>false</LinksUpToDate>
  <CharactersWithSpaces>284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2022-12-28T06:55:00Z</dcterms:created>
  <dc:creator>Administrator</dc:creator>
  <cp:lastModifiedBy>何朋</cp:lastModifiedBy>
  <dcterms:modified xsi:type="dcterms:W3CDTF">2023-01-13T03:34:47Z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063A4B778EA348D6988642CFACF6F938</vt:lpwstr>
  </property>
</Properties>
</file>