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_GBK" w:eastAsia="方正小标宋简体" w:cs="方正小标宋_GBK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广州南沙新区（自贸片区）信贷风险补偿资金池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合作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融资担保公司资格预审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表</w:t>
      </w:r>
    </w:p>
    <w:tbl>
      <w:tblPr>
        <w:tblStyle w:val="3"/>
        <w:tblW w:w="12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1573"/>
        <w:gridCol w:w="1574"/>
        <w:gridCol w:w="1574"/>
        <w:gridCol w:w="1574"/>
        <w:gridCol w:w="1574"/>
        <w:gridCol w:w="1567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序号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融资担保公司名称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 w:eastAsia="宋体"/>
                <w:vertAlign w:val="baseline"/>
                <w:lang w:eastAsia="zh-CN"/>
              </w:rPr>
              <w:t>注册地在南沙区且具有独立法人资格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成立满2年及以上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由政府及其授权机构、国有企业出资并实际控制的政府性融资担保机构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以普惠业务为主业的，服务对象主要为实体经济的中小微企业、“三农”等市场主体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有建立健全风险评审、管控、预警、应急处置机制及资金补偿机制。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进入下一个遴选环节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ind w:firstLine="630" w:firstLineChars="300"/>
        <w:rPr>
          <w:rFonts w:hint="eastAsia"/>
          <w:lang w:eastAsia="zh-CN"/>
        </w:rPr>
      </w:pPr>
      <w:r>
        <w:rPr>
          <w:rFonts w:hint="eastAsia"/>
          <w:lang w:eastAsia="zh-CN"/>
        </w:rPr>
        <w:t>备注：请按照实际情况填写“是”</w:t>
      </w:r>
      <w:r>
        <w:rPr>
          <w:rFonts w:hint="eastAsia"/>
          <w:lang w:val="en-US" w:eastAsia="zh-CN"/>
        </w:rPr>
        <w:t>/</w:t>
      </w:r>
      <w:r>
        <w:rPr>
          <w:rFonts w:hint="eastAsia"/>
          <w:lang w:eastAsia="zh-CN"/>
        </w:rPr>
        <w:t>“否”</w:t>
      </w:r>
    </w:p>
    <w:p>
      <w:pPr>
        <w:ind w:firstLine="630" w:firstLineChars="300"/>
        <w:rPr>
          <w:rFonts w:hint="eastAsia"/>
          <w:color w:val="FF0000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kODhiMDMwZDYwYTVlY2ZkM2E4Mzk4NmQyZmFkZjUifQ=="/>
  </w:docVars>
  <w:rsids>
    <w:rsidRoot w:val="19383804"/>
    <w:rsid w:val="08E8623A"/>
    <w:rsid w:val="0DFB0773"/>
    <w:rsid w:val="19383804"/>
    <w:rsid w:val="1B114FED"/>
    <w:rsid w:val="1EA12D59"/>
    <w:rsid w:val="2730189C"/>
    <w:rsid w:val="2ADE2240"/>
    <w:rsid w:val="2B623748"/>
    <w:rsid w:val="34DD6A4C"/>
    <w:rsid w:val="35A16881"/>
    <w:rsid w:val="47D46BB6"/>
    <w:rsid w:val="61687ED2"/>
    <w:rsid w:val="627B1CC3"/>
    <w:rsid w:val="65445528"/>
    <w:rsid w:val="67025177"/>
    <w:rsid w:val="6B144F0F"/>
    <w:rsid w:val="6EF10BDD"/>
    <w:rsid w:val="748676EE"/>
    <w:rsid w:val="75B4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0</Lines>
  <Paragraphs>0</Paragraphs>
  <TotalTime>60</TotalTime>
  <ScaleCrop>false</ScaleCrop>
  <LinksUpToDate>false</LinksUpToDate>
  <CharactersWithSpaces>256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2022-12-28T06:55:00Z</dcterms:created>
  <dc:creator>Administrator</dc:creator>
  <cp:lastModifiedBy>何朋</cp:lastModifiedBy>
  <dcterms:modified xsi:type="dcterms:W3CDTF">2023-01-03T06:26:53Z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9007BEB43A3A4758B2362DC52D618EFF</vt:lpwstr>
  </property>
</Properties>
</file>