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2C559">
      <w:pPr>
        <w:spacing w:line="560" w:lineRule="exact"/>
        <w:jc w:val="center"/>
        <w:rPr>
          <w:rFonts w:hint="eastAsia" w:eastAsia="方正小标宋简体"/>
          <w:color w:val="000000"/>
          <w:w w:val="98"/>
          <w:sz w:val="44"/>
          <w:szCs w:val="44"/>
          <w:lang w:eastAsia="zh-CN"/>
        </w:rPr>
      </w:pPr>
      <w:r>
        <w:rPr>
          <w:rFonts w:hint="eastAsia" w:eastAsia="方正小标宋简体"/>
          <w:color w:val="000000"/>
          <w:w w:val="98"/>
          <w:sz w:val="44"/>
          <w:szCs w:val="44"/>
          <w:lang w:eastAsia="zh-CN"/>
        </w:rPr>
        <w:t>广州南沙开发区管委会</w:t>
      </w:r>
      <w:r>
        <w:rPr>
          <w:rFonts w:hint="eastAsia" w:eastAsia="方正小标宋简体"/>
          <w:color w:val="000000"/>
          <w:w w:val="98"/>
          <w:sz w:val="44"/>
          <w:szCs w:val="44"/>
          <w:lang w:val="en-US" w:eastAsia="zh-CN"/>
        </w:rPr>
        <w:t xml:space="preserve"> </w:t>
      </w:r>
      <w:r>
        <w:rPr>
          <w:rFonts w:hint="eastAsia" w:eastAsia="方正小标宋简体"/>
          <w:color w:val="000000"/>
          <w:w w:val="98"/>
          <w:sz w:val="44"/>
          <w:szCs w:val="44"/>
          <w:lang w:eastAsia="zh-CN"/>
        </w:rPr>
        <w:t>广州市南沙区人民政府</w:t>
      </w:r>
    </w:p>
    <w:p w14:paraId="66428BC8">
      <w:pPr>
        <w:spacing w:line="560" w:lineRule="exact"/>
        <w:jc w:val="center"/>
        <w:rPr>
          <w:rFonts w:eastAsia="方正小标宋简体"/>
          <w:color w:val="000000"/>
          <w:spacing w:val="-11"/>
          <w:sz w:val="44"/>
          <w:szCs w:val="44"/>
        </w:rPr>
      </w:pPr>
      <w:r>
        <w:rPr>
          <w:rFonts w:hint="eastAsia" w:eastAsia="方正小标宋简体"/>
          <w:color w:val="000000"/>
          <w:spacing w:val="-11"/>
          <w:sz w:val="44"/>
          <w:szCs w:val="44"/>
          <w:lang w:eastAsia="zh-CN"/>
        </w:rPr>
        <w:t>关于</w:t>
      </w:r>
      <w:r>
        <w:rPr>
          <w:rFonts w:hint="default" w:ascii="Times New Roman" w:hAnsi="Times New Roman" w:eastAsia="方正小标宋简体" w:cs="Times New Roman"/>
          <w:b w:val="0"/>
          <w:bCs/>
          <w:snapToGrid w:val="0"/>
          <w:spacing w:val="-11"/>
          <w:kern w:val="0"/>
          <w:sz w:val="44"/>
          <w:szCs w:val="44"/>
          <w:lang w:val="en-US" w:eastAsia="zh-CN"/>
        </w:rPr>
        <w:t>202</w:t>
      </w:r>
      <w:r>
        <w:rPr>
          <w:rFonts w:hint="eastAsia" w:eastAsia="方正小标宋简体" w:cs="Times New Roman"/>
          <w:b w:val="0"/>
          <w:bCs/>
          <w:snapToGrid w:val="0"/>
          <w:spacing w:val="-11"/>
          <w:kern w:val="0"/>
          <w:sz w:val="44"/>
          <w:szCs w:val="44"/>
          <w:lang w:val="en-US" w:eastAsia="zh-CN"/>
        </w:rPr>
        <w:t>3</w:t>
      </w:r>
      <w:r>
        <w:rPr>
          <w:rFonts w:hint="default" w:ascii="Times New Roman" w:hAnsi="Times New Roman" w:eastAsia="方正小标宋简体" w:cs="Times New Roman"/>
          <w:b w:val="0"/>
          <w:bCs/>
          <w:snapToGrid w:val="0"/>
          <w:spacing w:val="-11"/>
          <w:kern w:val="0"/>
          <w:sz w:val="44"/>
          <w:szCs w:val="44"/>
        </w:rPr>
        <w:t>年度</w:t>
      </w:r>
      <w:r>
        <w:rPr>
          <w:rFonts w:hint="default" w:ascii="Times New Roman" w:hAnsi="Times New Roman" w:eastAsia="方正小标宋简体" w:cs="Times New Roman"/>
          <w:b w:val="0"/>
          <w:bCs/>
          <w:snapToGrid w:val="0"/>
          <w:spacing w:val="-11"/>
          <w:kern w:val="0"/>
          <w:sz w:val="44"/>
          <w:szCs w:val="44"/>
          <w:lang w:val="en-US" w:eastAsia="zh-CN"/>
        </w:rPr>
        <w:t>区</w:t>
      </w:r>
      <w:r>
        <w:rPr>
          <w:rFonts w:hint="default" w:ascii="Times New Roman" w:hAnsi="Times New Roman" w:eastAsia="方正小标宋简体" w:cs="Times New Roman"/>
          <w:b w:val="0"/>
          <w:bCs/>
          <w:snapToGrid w:val="0"/>
          <w:spacing w:val="-11"/>
          <w:kern w:val="0"/>
          <w:sz w:val="44"/>
          <w:szCs w:val="44"/>
        </w:rPr>
        <w:t>本级财政支出绩效情况</w:t>
      </w:r>
      <w:r>
        <w:rPr>
          <w:rFonts w:hint="eastAsia" w:eastAsia="方正小标宋简体"/>
          <w:color w:val="000000"/>
          <w:spacing w:val="-11"/>
          <w:sz w:val="44"/>
          <w:szCs w:val="44"/>
          <w:lang w:eastAsia="zh-CN"/>
        </w:rPr>
        <w:t>的报告</w:t>
      </w:r>
    </w:p>
    <w:p w14:paraId="612F778C">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eastAsia="方正小标宋简体"/>
          <w:color w:val="000000"/>
          <w:sz w:val="44"/>
          <w:szCs w:val="44"/>
        </w:rPr>
      </w:pPr>
    </w:p>
    <w:p w14:paraId="73310436">
      <w:pPr>
        <w:keepNext w:val="0"/>
        <w:keepLines w:val="0"/>
        <w:pageBreakBefore w:val="0"/>
        <w:numPr>
          <w:ilvl w:val="0"/>
          <w:numId w:val="0"/>
        </w:numPr>
        <w:kinsoku/>
        <w:wordWrap/>
        <w:overflowPunct/>
        <w:topLinePunct w:val="0"/>
        <w:autoSpaceDN/>
        <w:bidi w:val="0"/>
        <w:spacing w:line="560" w:lineRule="exact"/>
        <w:ind w:firstLine="640" w:firstLineChars="200"/>
        <w:jc w:val="both"/>
        <w:textAlignment w:val="auto"/>
        <w:rPr>
          <w:rFonts w:hint="default" w:ascii="仿宋_GB2312" w:hAnsi="仿宋_GB2312" w:eastAsia="仿宋_GB2312" w:cs="仿宋_GB2312"/>
          <w:color w:val="auto"/>
          <w:sz w:val="32"/>
          <w:szCs w:val="40"/>
          <w:lang w:val="en-US" w:eastAsia="zh-CN"/>
        </w:rPr>
      </w:pPr>
      <w:r>
        <w:rPr>
          <w:rFonts w:hint="eastAsia" w:ascii="Times New Roman" w:eastAsia="仿宋_GB2312"/>
          <w:color w:val="auto"/>
          <w:sz w:val="32"/>
          <w:szCs w:val="32"/>
          <w:lang w:val="en-US" w:eastAsia="zh-CN"/>
        </w:rPr>
        <w:t>2023</w:t>
      </w:r>
      <w:r>
        <w:rPr>
          <w:rFonts w:hint="eastAsia" w:eastAsia="仿宋_GB2312"/>
          <w:color w:val="auto"/>
          <w:sz w:val="32"/>
          <w:szCs w:val="32"/>
          <w:highlight w:val="none"/>
          <w:lang w:val="en-US" w:eastAsia="zh-CN"/>
        </w:rPr>
        <w:t>年我区认真贯彻落实党中央、国务院关于全面实施预算绩效管理的决策部署，</w:t>
      </w:r>
      <w:r>
        <w:rPr>
          <w:rFonts w:hint="eastAsia" w:ascii="仿宋_GB2312" w:hAnsi="仿宋_GB2312" w:eastAsia="仿宋_GB2312" w:cs="仿宋_GB2312"/>
          <w:color w:val="auto"/>
          <w:sz w:val="32"/>
          <w:szCs w:val="40"/>
          <w:lang w:val="en-US" w:eastAsia="zh-CN"/>
        </w:rPr>
        <w:t>对省、市重点工作任务进行分工，落实各预算部门主体责任，</w:t>
      </w:r>
      <w:r>
        <w:rPr>
          <w:rFonts w:hint="eastAsia" w:ascii="仿宋_GB2312" w:hAnsi="宋体" w:eastAsia="仿宋_GB2312" w:cs="仿宋_GB2312"/>
          <w:color w:val="auto"/>
          <w:kern w:val="0"/>
          <w:sz w:val="32"/>
          <w:szCs w:val="32"/>
          <w:highlight w:val="none"/>
          <w:lang w:val="en-US" w:eastAsia="zh-CN" w:bidi="ar"/>
        </w:rPr>
        <w:t>推进我区预算绩效管理落实，稳扎稳打推动打造全区预算绩效管理</w:t>
      </w:r>
      <w:r>
        <w:rPr>
          <w:rFonts w:hint="default" w:ascii="Times New Roman" w:hAnsi="Times New Roman" w:eastAsia="仿宋_GB2312" w:cs="Times New Roman"/>
          <w:color w:val="auto"/>
          <w:kern w:val="0"/>
          <w:sz w:val="32"/>
          <w:szCs w:val="32"/>
          <w:highlight w:val="none"/>
          <w:lang w:val="en-US" w:eastAsia="zh-CN" w:bidi="ar"/>
        </w:rPr>
        <w:t>“</w:t>
      </w:r>
      <w:r>
        <w:rPr>
          <w:rFonts w:hint="eastAsia" w:ascii="仿宋_GB2312" w:hAnsi="宋体" w:eastAsia="仿宋_GB2312" w:cs="仿宋_GB2312"/>
          <w:color w:val="auto"/>
          <w:kern w:val="0"/>
          <w:sz w:val="32"/>
          <w:szCs w:val="32"/>
          <w:highlight w:val="none"/>
          <w:lang w:val="en-US" w:eastAsia="zh-CN" w:bidi="ar"/>
        </w:rPr>
        <w:t>一盘棋</w:t>
      </w:r>
      <w:r>
        <w:rPr>
          <w:rFonts w:hint="default" w:ascii="Times New Roman" w:hAnsi="Times New Roman" w:eastAsia="仿宋_GB2312" w:cs="Times New Roman"/>
          <w:color w:val="auto"/>
          <w:kern w:val="0"/>
          <w:sz w:val="32"/>
          <w:szCs w:val="32"/>
          <w:highlight w:val="none"/>
          <w:lang w:val="en-US" w:eastAsia="zh-CN" w:bidi="ar"/>
        </w:rPr>
        <w:t>”</w:t>
      </w:r>
      <w:r>
        <w:rPr>
          <w:rFonts w:hint="eastAsia" w:ascii="仿宋_GB2312" w:hAnsi="宋体" w:eastAsia="仿宋_GB2312" w:cs="仿宋_GB2312"/>
          <w:color w:val="auto"/>
          <w:kern w:val="0"/>
          <w:sz w:val="32"/>
          <w:szCs w:val="32"/>
          <w:highlight w:val="none"/>
          <w:lang w:val="en-US" w:eastAsia="zh-CN" w:bidi="ar"/>
        </w:rPr>
        <w:t>格局，</w:t>
      </w:r>
      <w:r>
        <w:rPr>
          <w:rFonts w:hint="default" w:ascii="Times New Roman" w:hAnsi="Times New Roman" w:eastAsia="仿宋_GB2312" w:cs="Times New Roman"/>
          <w:b w:val="0"/>
          <w:bCs/>
          <w:color w:val="auto"/>
          <w:sz w:val="32"/>
          <w:szCs w:val="32"/>
        </w:rPr>
        <w:t>现将有关情况报告如下：</w:t>
      </w:r>
    </w:p>
    <w:p w14:paraId="20486B77">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黑体" w:hAnsi="黑体" w:eastAsia="黑体" w:cs="黑体"/>
          <w:color w:val="auto"/>
          <w:sz w:val="32"/>
          <w:szCs w:val="32"/>
          <w:highlight w:val="none"/>
          <w:lang w:eastAsia="zh-CN"/>
        </w:rPr>
      </w:pPr>
      <w:r>
        <w:rPr>
          <w:rFonts w:hint="default"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lang w:val="en-US" w:eastAsia="zh-CN"/>
        </w:rPr>
        <w:t>2023</w:t>
      </w:r>
      <w:r>
        <w:rPr>
          <w:rFonts w:hint="default" w:ascii="黑体" w:hAnsi="黑体" w:eastAsia="黑体" w:cs="黑体"/>
          <w:color w:val="auto"/>
          <w:sz w:val="32"/>
          <w:szCs w:val="32"/>
          <w:highlight w:val="none"/>
          <w:lang w:eastAsia="zh-CN"/>
        </w:rPr>
        <w:t>年预算绩效管理工作开展情况</w:t>
      </w:r>
    </w:p>
    <w:p w14:paraId="3705C679">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我区积极探索、不断创新，通过进一步铸牢全过程预算绩效管理链条，聚力预算绩效管理一体化，不断提高财政资源配置效率和财政资金使用效益，促进财政可持续健康发展。</w:t>
      </w:r>
    </w:p>
    <w:p w14:paraId="2E0A1846">
      <w:pPr>
        <w:keepNext w:val="0"/>
        <w:keepLines w:val="0"/>
        <w:pageBreakBefore w:val="0"/>
        <w:widowControl/>
        <w:numPr>
          <w:ilvl w:val="0"/>
          <w:numId w:val="0"/>
        </w:numPr>
        <w:kinsoku/>
        <w:wordWrap/>
        <w:overflowPunct/>
        <w:topLinePunct w:val="0"/>
        <w:autoSpaceDN/>
        <w:bidi w:val="0"/>
        <w:adjustRightInd/>
        <w:snapToGrid/>
        <w:spacing w:line="560" w:lineRule="exact"/>
        <w:ind w:left="0" w:firstLine="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楷体_GB2312" w:hAnsi="等线" w:eastAsia="楷体_GB2312" w:cs="Times New Roman"/>
          <w:b/>
          <w:color w:val="auto"/>
          <w:sz w:val="32"/>
          <w:szCs w:val="32"/>
          <w:highlight w:val="none"/>
          <w:lang w:val="en-US" w:eastAsia="zh-CN"/>
        </w:rPr>
        <w:t xml:space="preserve"> </w:t>
      </w:r>
      <w:r>
        <w:rPr>
          <w:rFonts w:hint="eastAsia" w:ascii="楷体_GB2312" w:hAnsi="等线" w:eastAsia="楷体_GB2312" w:cs="Times New Roman"/>
          <w:b w:val="0"/>
          <w:bCs/>
          <w:color w:val="auto"/>
          <w:sz w:val="32"/>
          <w:szCs w:val="32"/>
          <w:highlight w:val="none"/>
          <w:lang w:val="en-US" w:eastAsia="zh-CN"/>
        </w:rPr>
        <w:t>（</w:t>
      </w:r>
      <w:r>
        <w:rPr>
          <w:rFonts w:hint="eastAsia" w:ascii="楷体_GB2312" w:eastAsia="楷体_GB2312" w:cs="Times New Roman"/>
          <w:b w:val="0"/>
          <w:bCs/>
          <w:color w:val="auto"/>
          <w:sz w:val="32"/>
          <w:szCs w:val="32"/>
          <w:highlight w:val="none"/>
          <w:lang w:val="en-US" w:eastAsia="zh-CN"/>
        </w:rPr>
        <w:t>一</w:t>
      </w:r>
      <w:r>
        <w:rPr>
          <w:rFonts w:hint="eastAsia" w:ascii="楷体_GB2312" w:hAnsi="等线" w:eastAsia="楷体_GB2312" w:cs="Times New Roman"/>
          <w:b w:val="0"/>
          <w:bCs/>
          <w:color w:val="auto"/>
          <w:sz w:val="32"/>
          <w:szCs w:val="32"/>
          <w:highlight w:val="none"/>
          <w:lang w:val="en-US" w:eastAsia="zh-CN"/>
        </w:rPr>
        <w:t>）有效推进事前绩效评估。</w:t>
      </w:r>
      <w:r>
        <w:rPr>
          <w:rFonts w:hint="eastAsia" w:ascii="仿宋_GB2312" w:hAnsi="仿宋_GB2312" w:eastAsia="仿宋_GB2312" w:cs="仿宋_GB2312"/>
          <w:b w:val="0"/>
          <w:bCs w:val="0"/>
          <w:color w:val="auto"/>
          <w:sz w:val="32"/>
          <w:szCs w:val="32"/>
          <w:highlight w:val="none"/>
          <w:lang w:val="en-US" w:eastAsia="zh-CN"/>
        </w:rPr>
        <w:t>将事前绩效评估列入预算编制要求，</w:t>
      </w:r>
      <w:r>
        <w:rPr>
          <w:rFonts w:hint="eastAsia" w:ascii="仿宋_GB2312" w:hAnsi="仿宋_GB2312" w:eastAsia="仿宋_GB2312" w:cs="仿宋_GB2312"/>
          <w:color w:val="auto"/>
          <w:sz w:val="32"/>
          <w:szCs w:val="32"/>
          <w:highlight w:val="none"/>
          <w:lang w:val="en-US" w:eastAsia="zh-CN"/>
        </w:rPr>
        <w:t>各部门对新出台重大政策、项目需开展财政立项预算评估，重点论证立项必要性、投入经济性、绩效目标合理性、筹资合规性等，评估结论作为预算安排的重要参考依据。同时，为提高预算编制合理性，区财政部门</w:t>
      </w:r>
      <w:r>
        <w:rPr>
          <w:rFonts w:hint="eastAsia" w:ascii="仿宋_GB2312" w:hAnsi="仿宋_GB2312" w:eastAsia="仿宋_GB2312" w:cs="仿宋_GB2312"/>
          <w:b w:val="0"/>
          <w:bCs w:val="0"/>
          <w:color w:val="auto"/>
          <w:sz w:val="32"/>
          <w:szCs w:val="32"/>
          <w:highlight w:val="none"/>
          <w:lang w:val="en-US" w:eastAsia="zh-CN"/>
        </w:rPr>
        <w:t>选取</w:t>
      </w:r>
      <w:r>
        <w:rPr>
          <w:rFonts w:hint="default" w:ascii="Times New Roman" w:hAnsi="Times New Roman" w:eastAsia="仿宋_GB2312" w:cs="Times New Roman"/>
          <w:b w:val="0"/>
          <w:bCs w:val="0"/>
          <w:color w:val="auto"/>
          <w:sz w:val="32"/>
          <w:szCs w:val="32"/>
          <w:highlight w:val="none"/>
          <w:lang w:val="en-US" w:eastAsia="zh-CN"/>
        </w:rPr>
        <w:t>19</w:t>
      </w:r>
      <w:r>
        <w:rPr>
          <w:rFonts w:hint="eastAsia" w:ascii="仿宋_GB2312" w:hAnsi="仿宋_GB2312" w:eastAsia="仿宋_GB2312" w:cs="仿宋_GB2312"/>
          <w:b w:val="0"/>
          <w:bCs w:val="0"/>
          <w:color w:val="auto"/>
          <w:sz w:val="32"/>
          <w:szCs w:val="32"/>
          <w:highlight w:val="none"/>
          <w:lang w:val="en-US" w:eastAsia="zh-CN"/>
        </w:rPr>
        <w:t>个预算单位申报的</w:t>
      </w:r>
      <w:r>
        <w:rPr>
          <w:rFonts w:hint="default" w:ascii="Times New Roman" w:hAnsi="Times New Roman" w:eastAsia="仿宋_GB2312" w:cs="Times New Roman"/>
          <w:b w:val="0"/>
          <w:bCs w:val="0"/>
          <w:color w:val="auto"/>
          <w:sz w:val="32"/>
          <w:szCs w:val="32"/>
          <w:highlight w:val="none"/>
          <w:lang w:val="en-US" w:eastAsia="zh-CN"/>
        </w:rPr>
        <w:t>41</w:t>
      </w:r>
      <w:r>
        <w:rPr>
          <w:rFonts w:hint="eastAsia" w:ascii="仿宋_GB2312" w:hAnsi="仿宋_GB2312" w:eastAsia="仿宋_GB2312" w:cs="仿宋_GB2312"/>
          <w:b w:val="0"/>
          <w:bCs w:val="0"/>
          <w:color w:val="auto"/>
          <w:sz w:val="32"/>
          <w:szCs w:val="32"/>
          <w:highlight w:val="none"/>
          <w:lang w:val="en-US" w:eastAsia="zh-CN"/>
        </w:rPr>
        <w:t>个</w:t>
      </w:r>
      <w:r>
        <w:rPr>
          <w:rFonts w:hint="default"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年预算支出项目开展事前绩效评审，送审金额约</w:t>
      </w:r>
      <w:r>
        <w:rPr>
          <w:rFonts w:hint="default" w:ascii="Times New Roman" w:hAnsi="Times New Roman" w:eastAsia="仿宋_GB2312" w:cs="Times New Roman"/>
          <w:b w:val="0"/>
          <w:bCs w:val="0"/>
          <w:color w:val="auto"/>
          <w:sz w:val="32"/>
          <w:szCs w:val="32"/>
          <w:highlight w:val="none"/>
          <w:lang w:val="en-US" w:eastAsia="zh-CN"/>
        </w:rPr>
        <w:t>4.79</w:t>
      </w:r>
      <w:r>
        <w:rPr>
          <w:rFonts w:hint="eastAsia" w:ascii="仿宋_GB2312" w:hAnsi="仿宋_GB2312" w:eastAsia="仿宋_GB2312" w:cs="仿宋_GB2312"/>
          <w:b w:val="0"/>
          <w:bCs w:val="0"/>
          <w:color w:val="auto"/>
          <w:sz w:val="32"/>
          <w:szCs w:val="32"/>
          <w:highlight w:val="none"/>
          <w:lang w:val="en-US" w:eastAsia="zh-CN"/>
        </w:rPr>
        <w:t>亿</w:t>
      </w:r>
      <w:r>
        <w:rPr>
          <w:rFonts w:hint="eastAsia" w:ascii="仿宋_GB2312" w:hAnsi="仿宋_GB2312" w:eastAsia="仿宋_GB2312" w:cs="仿宋_GB2312"/>
          <w:b w:val="0"/>
          <w:bCs w:val="0"/>
          <w:color w:val="auto"/>
          <w:sz w:val="32"/>
          <w:szCs w:val="32"/>
          <w:highlight w:val="none"/>
        </w:rPr>
        <w:t>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审定金额</w:t>
      </w:r>
      <w:r>
        <w:rPr>
          <w:rFonts w:hint="default" w:ascii="Times New Roman" w:hAnsi="Times New Roman" w:eastAsia="仿宋_GB2312" w:cs="Times New Roman"/>
          <w:b w:val="0"/>
          <w:bCs w:val="0"/>
          <w:color w:val="auto"/>
          <w:sz w:val="32"/>
          <w:szCs w:val="32"/>
          <w:highlight w:val="none"/>
          <w:lang w:val="en-US" w:eastAsia="zh-CN"/>
        </w:rPr>
        <w:t>1.99</w:t>
      </w:r>
      <w:r>
        <w:rPr>
          <w:rFonts w:hint="eastAsia" w:ascii="仿宋_GB2312" w:hAnsi="仿宋_GB2312" w:eastAsia="仿宋_GB2312" w:cs="仿宋_GB2312"/>
          <w:b w:val="0"/>
          <w:bCs w:val="0"/>
          <w:color w:val="auto"/>
          <w:sz w:val="32"/>
          <w:szCs w:val="32"/>
          <w:highlight w:val="none"/>
          <w:lang w:val="en-US" w:eastAsia="zh-CN"/>
        </w:rPr>
        <w:t>亿元，</w:t>
      </w:r>
      <w:r>
        <w:rPr>
          <w:rFonts w:hint="eastAsia" w:ascii="仿宋_GB2312" w:hAnsi="仿宋_GB2312" w:eastAsia="仿宋_GB2312" w:cs="仿宋_GB2312"/>
          <w:b w:val="0"/>
          <w:bCs w:val="0"/>
          <w:color w:val="auto"/>
          <w:sz w:val="32"/>
          <w:szCs w:val="32"/>
          <w:highlight w:val="none"/>
        </w:rPr>
        <w:t>核减不合理</w:t>
      </w:r>
      <w:r>
        <w:rPr>
          <w:rFonts w:hint="eastAsia" w:ascii="仿宋_GB2312" w:hAnsi="仿宋_GB2312" w:eastAsia="仿宋_GB2312" w:cs="仿宋_GB2312"/>
          <w:b w:val="0"/>
          <w:bCs w:val="0"/>
          <w:color w:val="auto"/>
          <w:sz w:val="32"/>
          <w:szCs w:val="32"/>
          <w:highlight w:val="none"/>
          <w:lang w:val="en-US" w:eastAsia="zh-CN"/>
        </w:rPr>
        <w:t>申报</w:t>
      </w:r>
      <w:r>
        <w:rPr>
          <w:rFonts w:hint="default" w:ascii="Times New Roman" w:hAnsi="Times New Roman" w:eastAsia="仿宋_GB2312" w:cs="Times New Roman"/>
          <w:b w:val="0"/>
          <w:bCs w:val="0"/>
          <w:color w:val="auto"/>
          <w:sz w:val="32"/>
          <w:szCs w:val="32"/>
          <w:highlight w:val="none"/>
          <w:lang w:val="en-US" w:eastAsia="zh-CN"/>
        </w:rPr>
        <w:t>2.81</w:t>
      </w:r>
      <w:r>
        <w:rPr>
          <w:rFonts w:hint="eastAsia" w:ascii="仿宋_GB2312" w:hAnsi="仿宋_GB2312" w:eastAsia="仿宋_GB2312" w:cs="仿宋_GB2312"/>
          <w:b w:val="0"/>
          <w:bCs w:val="0"/>
          <w:color w:val="auto"/>
          <w:sz w:val="32"/>
          <w:szCs w:val="32"/>
          <w:highlight w:val="none"/>
          <w:lang w:val="en-US" w:eastAsia="zh-CN"/>
        </w:rPr>
        <w:t>亿元</w:t>
      </w:r>
      <w:r>
        <w:rPr>
          <w:rFonts w:hint="eastAsia" w:ascii="仿宋_GB2312" w:hAnsi="仿宋_GB2312" w:eastAsia="仿宋_GB2312" w:cs="仿宋_GB2312"/>
          <w:b w:val="0"/>
          <w:bCs w:val="0"/>
          <w:color w:val="auto"/>
          <w:sz w:val="32"/>
          <w:szCs w:val="32"/>
          <w:highlight w:val="none"/>
        </w:rPr>
        <w:t>，核减率</w:t>
      </w:r>
      <w:r>
        <w:rPr>
          <w:rFonts w:hint="eastAsia" w:ascii="仿宋_GB2312" w:hAnsi="仿宋_GB2312" w:eastAsia="仿宋_GB2312" w:cs="仿宋_GB2312"/>
          <w:b w:val="0"/>
          <w:bCs w:val="0"/>
          <w:color w:val="auto"/>
          <w:sz w:val="32"/>
          <w:szCs w:val="32"/>
          <w:highlight w:val="none"/>
          <w:lang w:val="en-US" w:eastAsia="zh-CN"/>
        </w:rPr>
        <w:t>达到</w:t>
      </w:r>
      <w:r>
        <w:rPr>
          <w:rFonts w:hint="default" w:ascii="Times New Roman" w:hAnsi="Times New Roman" w:eastAsia="仿宋_GB2312" w:cs="Times New Roman"/>
          <w:b w:val="0"/>
          <w:bCs w:val="0"/>
          <w:color w:val="auto"/>
          <w:sz w:val="32"/>
          <w:szCs w:val="32"/>
          <w:highlight w:val="none"/>
          <w:lang w:val="en-US" w:eastAsia="zh-CN"/>
        </w:rPr>
        <w:t>58.66</w:t>
      </w:r>
      <w:r>
        <w:rPr>
          <w:rFonts w:hint="default" w:ascii="Times New Roman" w:hAnsi="Times New Roman" w:eastAsia="仿宋_GB2312" w:cs="Times New Roman"/>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大力压减</w:t>
      </w:r>
      <w:r>
        <w:rPr>
          <w:rFonts w:hint="eastAsia" w:ascii="仿宋_GB2312" w:hAnsi="仿宋_GB2312" w:eastAsia="仿宋_GB2312" w:cs="仿宋_GB2312"/>
          <w:i w:val="0"/>
          <w:iCs w:val="0"/>
          <w:caps w:val="0"/>
          <w:color w:val="auto"/>
          <w:spacing w:val="0"/>
          <w:sz w:val="32"/>
          <w:szCs w:val="32"/>
          <w:highlight w:val="none"/>
          <w:lang w:val="en-US" w:eastAsia="zh-CN"/>
        </w:rPr>
        <w:t>了</w:t>
      </w:r>
      <w:r>
        <w:rPr>
          <w:rFonts w:hint="eastAsia" w:ascii="仿宋_GB2312" w:hAnsi="仿宋_GB2312" w:eastAsia="仿宋_GB2312" w:cs="仿宋_GB2312"/>
          <w:i w:val="0"/>
          <w:iCs w:val="0"/>
          <w:caps w:val="0"/>
          <w:color w:val="auto"/>
          <w:spacing w:val="0"/>
          <w:sz w:val="32"/>
          <w:szCs w:val="32"/>
          <w:highlight w:val="none"/>
        </w:rPr>
        <w:t>非刚性支出</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rPr>
        <w:t>力争把财政资金每一分钱都花在刀刃上、用在紧要处</w:t>
      </w:r>
      <w:r>
        <w:rPr>
          <w:rFonts w:hint="eastAsia" w:ascii="仿宋_GB2312" w:hAnsi="仿宋_GB2312" w:eastAsia="仿宋_GB2312" w:cs="仿宋_GB2312"/>
          <w:b w:val="0"/>
          <w:bCs w:val="0"/>
          <w:color w:val="auto"/>
          <w:sz w:val="32"/>
          <w:szCs w:val="32"/>
          <w:highlight w:val="none"/>
          <w:lang w:val="en-US" w:eastAsia="zh-CN"/>
        </w:rPr>
        <w:t>。</w:t>
      </w:r>
    </w:p>
    <w:p w14:paraId="3BD3CB31">
      <w:pPr>
        <w:pStyle w:val="2"/>
        <w:keepNext w:val="0"/>
        <w:keepLines w:val="0"/>
        <w:pageBreakBefore w:val="0"/>
        <w:numPr>
          <w:ilvl w:val="0"/>
          <w:numId w:val="0"/>
        </w:numPr>
        <w:kinsoku/>
        <w:wordWrap/>
        <w:overflowPunct/>
        <w:topLinePunct w:val="0"/>
        <w:autoSpaceDN/>
        <w:bidi w:val="0"/>
        <w:spacing w:line="560" w:lineRule="exact"/>
        <w:ind w:firstLine="640" w:firstLineChars="200"/>
        <w:textAlignment w:val="auto"/>
        <w:rPr>
          <w:rFonts w:hint="eastAsia"/>
        </w:rPr>
      </w:pPr>
      <w:r>
        <w:rPr>
          <w:rFonts w:hint="eastAsia" w:ascii="楷体_GB2312" w:hAnsi="楷体_GB2312" w:eastAsia="楷体_GB2312" w:cs="楷体_GB2312"/>
          <w:b w:val="0"/>
          <w:bCs w:val="0"/>
          <w:color w:val="auto"/>
          <w:kern w:val="2"/>
          <w:sz w:val="32"/>
          <w:szCs w:val="32"/>
          <w:highlight w:val="none"/>
          <w:shd w:val="clear" w:color="auto" w:fill="auto"/>
          <w:lang w:val="en-US" w:eastAsia="zh-CN" w:bidi="ar"/>
        </w:rPr>
        <w:t>（二）加强绩效目标申报。</w:t>
      </w:r>
      <w:r>
        <w:rPr>
          <w:rFonts w:hint="eastAsia" w:ascii="仿宋_GB2312" w:hAnsi="仿宋_GB2312" w:eastAsia="仿宋_GB2312" w:cs="仿宋_GB2312"/>
          <w:b w:val="0"/>
          <w:bCs w:val="0"/>
          <w:color w:val="auto"/>
          <w:sz w:val="32"/>
          <w:szCs w:val="32"/>
          <w:highlight w:val="none"/>
          <w:lang w:val="en-US" w:eastAsia="zh-CN"/>
        </w:rPr>
        <w:t>全面编制政府预算、部门整体预算和项目预算绩效目标，未按规定填报绩效目标的项目不予安排预算。为提高部门绩效目标申报质量，</w:t>
      </w:r>
      <w:r>
        <w:rPr>
          <w:rFonts w:hint="default" w:ascii="Times New Roman" w:hAnsi="Times New Roman" w:eastAsia="仿宋_GB2312" w:cs="Times New Roman"/>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年继续选取</w:t>
      </w:r>
      <w:r>
        <w:rPr>
          <w:rFonts w:hint="default" w:ascii="Times New Roman" w:hAnsi="Times New Roman" w:eastAsia="仿宋_GB2312" w:cs="Times New Roman"/>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val="en-US" w:eastAsia="zh-CN"/>
        </w:rPr>
        <w:t>个部门及</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个项目开展了部门整体评审和项目绩效目标评审，</w:t>
      </w:r>
      <w:r>
        <w:rPr>
          <w:rFonts w:hint="eastAsia" w:ascii="仿宋_GB2312" w:hAnsi="仿宋_GB2312" w:eastAsia="仿宋_GB2312" w:cs="仿宋_GB2312"/>
          <w:color w:val="auto"/>
          <w:sz w:val="32"/>
          <w:szCs w:val="32"/>
          <w:highlight w:val="none"/>
          <w:lang w:val="en-US" w:eastAsia="zh-CN"/>
        </w:rPr>
        <w:t>通过评审和培训相结合的方式，从规范性、全面性和可衡量性等方面完善绩效目标并提炼充实关键指标。</w:t>
      </w:r>
    </w:p>
    <w:p w14:paraId="4B11CAB6">
      <w:pPr>
        <w:keepNext w:val="0"/>
        <w:keepLines w:val="0"/>
        <w:pageBreakBefore w:val="0"/>
        <w:widowControl w:val="0"/>
        <w:numPr>
          <w:ilvl w:val="0"/>
          <w:numId w:val="0"/>
        </w:numPr>
        <w:suppressLineNumbers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val="0"/>
          <w:color w:val="auto"/>
          <w:kern w:val="0"/>
          <w:sz w:val="32"/>
          <w:szCs w:val="32"/>
          <w:highlight w:val="none"/>
          <w:lang w:val="en-US" w:eastAsia="zh-CN" w:bidi="ar"/>
        </w:rPr>
      </w:pPr>
      <w:r>
        <w:rPr>
          <w:rFonts w:hint="eastAsia" w:ascii="楷体_GB2312" w:hAnsi="楷体_GB2312" w:eastAsia="楷体_GB2312" w:cs="楷体_GB2312"/>
          <w:b w:val="0"/>
          <w:bCs w:val="0"/>
          <w:color w:val="auto"/>
          <w:kern w:val="2"/>
          <w:sz w:val="32"/>
          <w:szCs w:val="32"/>
          <w:highlight w:val="none"/>
          <w:shd w:val="clear" w:color="auto" w:fill="auto"/>
          <w:lang w:val="en-US" w:eastAsia="zh-CN" w:bidi="ar"/>
        </w:rPr>
        <w:t>（三）扩大事中绩效运行监控。</w:t>
      </w:r>
      <w:r>
        <w:rPr>
          <w:rFonts w:hint="eastAsia" w:eastAsia="仿宋_GB2312"/>
          <w:b/>
          <w:bCs/>
          <w:color w:val="auto"/>
          <w:sz w:val="32"/>
          <w:szCs w:val="32"/>
          <w:highlight w:val="none"/>
        </w:rPr>
        <w:t>一</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bCs w:val="0"/>
          <w:snapToGrid w:val="0"/>
          <w:color w:val="auto"/>
          <w:kern w:val="0"/>
          <w:sz w:val="32"/>
          <w:szCs w:val="32"/>
          <w:highlight w:val="none"/>
          <w:lang w:val="en-US" w:eastAsia="zh-CN"/>
        </w:rPr>
        <w:t>所有部门对各项目</w:t>
      </w:r>
      <w:r>
        <w:rPr>
          <w:rFonts w:hint="default" w:ascii="Times New Roman" w:hAnsi="Times New Roman" w:eastAsia="仿宋_GB2312" w:cs="Times New Roman"/>
          <w:bCs w:val="0"/>
          <w:snapToGrid w:val="0"/>
          <w:color w:val="auto"/>
          <w:kern w:val="0"/>
          <w:sz w:val="32"/>
          <w:szCs w:val="32"/>
          <w:highlight w:val="none"/>
          <w:lang w:val="en-US" w:eastAsia="zh-CN"/>
        </w:rPr>
        <w:t>2023年1-6</w:t>
      </w:r>
      <w:r>
        <w:rPr>
          <w:rFonts w:hint="eastAsia" w:ascii="仿宋_GB2312" w:hAnsi="仿宋_GB2312" w:eastAsia="仿宋_GB2312" w:cs="仿宋_GB2312"/>
          <w:bCs w:val="0"/>
          <w:snapToGrid w:val="0"/>
          <w:color w:val="auto"/>
          <w:kern w:val="0"/>
          <w:sz w:val="32"/>
          <w:szCs w:val="32"/>
          <w:highlight w:val="none"/>
          <w:lang w:val="en-US" w:eastAsia="zh-CN"/>
        </w:rPr>
        <w:t>月财政支出运行开展自行监控，并要求部门将已纳入年初预算绩效评审且已批复立项项目的自行监控情况报财政部门备案。</w:t>
      </w:r>
      <w:r>
        <w:rPr>
          <w:rFonts w:hint="eastAsia" w:ascii="仿宋_GB2312" w:hAnsi="仿宋_GB2312" w:eastAsia="仿宋_GB2312" w:cs="仿宋_GB2312"/>
          <w:b/>
          <w:bCs/>
          <w:snapToGrid w:val="0"/>
          <w:color w:val="auto"/>
          <w:kern w:val="0"/>
          <w:sz w:val="32"/>
          <w:szCs w:val="32"/>
          <w:highlight w:val="none"/>
          <w:lang w:val="en-US" w:eastAsia="zh-CN"/>
        </w:rPr>
        <w:t>二是</w:t>
      </w:r>
      <w:r>
        <w:rPr>
          <w:rFonts w:hint="eastAsia" w:ascii="仿宋_GB2312" w:hAnsi="仿宋_GB2312" w:eastAsia="仿宋_GB2312" w:cs="仿宋_GB2312"/>
          <w:bCs w:val="0"/>
          <w:snapToGrid w:val="0"/>
          <w:color w:val="auto"/>
          <w:kern w:val="0"/>
          <w:sz w:val="32"/>
          <w:szCs w:val="32"/>
          <w:highlight w:val="none"/>
          <w:lang w:val="en-US" w:eastAsia="zh-CN"/>
        </w:rPr>
        <w:t>由区财政部门委托第三方机构对区人大</w:t>
      </w:r>
      <w:r>
        <w:rPr>
          <w:rFonts w:hint="default" w:ascii="Times New Roman" w:hAnsi="Times New Roman" w:eastAsia="仿宋_GB2312" w:cs="Times New Roman"/>
          <w:bCs w:val="0"/>
          <w:snapToGrid w:val="0"/>
          <w:color w:val="auto"/>
          <w:kern w:val="0"/>
          <w:sz w:val="32"/>
          <w:szCs w:val="32"/>
          <w:highlight w:val="none"/>
          <w:lang w:val="en-US" w:eastAsia="zh-CN"/>
        </w:rPr>
        <w:t>2023</w:t>
      </w:r>
      <w:r>
        <w:rPr>
          <w:rFonts w:hint="eastAsia" w:ascii="仿宋_GB2312" w:hAnsi="仿宋_GB2312" w:eastAsia="仿宋_GB2312" w:cs="仿宋_GB2312"/>
          <w:bCs w:val="0"/>
          <w:snapToGrid w:val="0"/>
          <w:color w:val="auto"/>
          <w:kern w:val="0"/>
          <w:sz w:val="32"/>
          <w:szCs w:val="32"/>
          <w:highlight w:val="none"/>
          <w:lang w:val="en-US" w:eastAsia="zh-CN"/>
        </w:rPr>
        <w:t>年专题审查的区应急管理局、区城管局、区工信局以及已纳入</w:t>
      </w:r>
      <w:r>
        <w:rPr>
          <w:rFonts w:hint="default" w:ascii="Times New Roman" w:hAnsi="Times New Roman" w:eastAsia="仿宋_GB2312" w:cs="Times New Roman"/>
          <w:bCs w:val="0"/>
          <w:snapToGrid w:val="0"/>
          <w:color w:val="auto"/>
          <w:kern w:val="0"/>
          <w:sz w:val="32"/>
          <w:szCs w:val="32"/>
          <w:highlight w:val="none"/>
          <w:lang w:val="en-US" w:eastAsia="zh-CN"/>
        </w:rPr>
        <w:t>2023</w:t>
      </w:r>
      <w:r>
        <w:rPr>
          <w:rFonts w:hint="eastAsia" w:ascii="仿宋_GB2312" w:hAnsi="仿宋_GB2312" w:eastAsia="仿宋_GB2312" w:cs="仿宋_GB2312"/>
          <w:bCs w:val="0"/>
          <w:snapToGrid w:val="0"/>
          <w:color w:val="auto"/>
          <w:kern w:val="0"/>
          <w:sz w:val="32"/>
          <w:szCs w:val="32"/>
          <w:highlight w:val="none"/>
          <w:lang w:val="en-US" w:eastAsia="zh-CN"/>
        </w:rPr>
        <w:t>年部门整体预算绩效评审的区行政办、区投促局、区残联、区信访局、区统计局、龙穴街、区综合执法局</w:t>
      </w:r>
      <w:r>
        <w:rPr>
          <w:rFonts w:hint="default" w:ascii="Times New Roman" w:hAnsi="Times New Roman" w:eastAsia="仿宋_GB2312" w:cs="Times New Roman"/>
          <w:bCs w:val="0"/>
          <w:snapToGrid w:val="0"/>
          <w:color w:val="auto"/>
          <w:kern w:val="0"/>
          <w:sz w:val="32"/>
          <w:szCs w:val="32"/>
          <w:highlight w:val="none"/>
          <w:lang w:val="en-US" w:eastAsia="zh-CN"/>
        </w:rPr>
        <w:t>10</w:t>
      </w:r>
      <w:r>
        <w:rPr>
          <w:rFonts w:hint="eastAsia" w:ascii="仿宋_GB2312" w:hAnsi="仿宋_GB2312" w:eastAsia="仿宋_GB2312" w:cs="仿宋_GB2312"/>
          <w:bCs w:val="0"/>
          <w:snapToGrid w:val="0"/>
          <w:color w:val="auto"/>
          <w:kern w:val="0"/>
          <w:sz w:val="32"/>
          <w:szCs w:val="32"/>
          <w:highlight w:val="none"/>
          <w:lang w:val="en-US" w:eastAsia="zh-CN"/>
        </w:rPr>
        <w:t>个部门开展部门</w:t>
      </w:r>
      <w:r>
        <w:rPr>
          <w:rFonts w:hint="eastAsia" w:ascii="仿宋_GB2312" w:hAnsi="仿宋_GB2312" w:eastAsia="仿宋_GB2312" w:cs="仿宋_GB2312"/>
          <w:snapToGrid w:val="0"/>
          <w:color w:val="auto"/>
          <w:kern w:val="0"/>
          <w:sz w:val="32"/>
          <w:szCs w:val="32"/>
          <w:highlight w:val="none"/>
        </w:rPr>
        <w:t>整</w:t>
      </w:r>
      <w:r>
        <w:rPr>
          <w:rFonts w:hint="eastAsia" w:ascii="仿宋_GB2312" w:hAnsi="仿宋_GB2312" w:eastAsia="仿宋_GB2312" w:cs="仿宋_GB2312"/>
          <w:snapToGrid/>
          <w:color w:val="auto"/>
          <w:kern w:val="2"/>
          <w:sz w:val="32"/>
          <w:szCs w:val="32"/>
          <w:highlight w:val="none"/>
        </w:rPr>
        <w:t>体</w:t>
      </w:r>
      <w:r>
        <w:rPr>
          <w:rFonts w:hint="eastAsia" w:ascii="仿宋_GB2312" w:hAnsi="仿宋_GB2312" w:eastAsia="仿宋_GB2312" w:cs="仿宋_GB2312"/>
          <w:snapToGrid/>
          <w:color w:val="auto"/>
          <w:kern w:val="2"/>
          <w:sz w:val="32"/>
          <w:szCs w:val="32"/>
          <w:highlight w:val="none"/>
          <w:lang w:val="en-US" w:eastAsia="zh-CN"/>
        </w:rPr>
        <w:t>支出</w:t>
      </w:r>
      <w:r>
        <w:rPr>
          <w:rFonts w:hint="eastAsia" w:ascii="仿宋_GB2312" w:hAnsi="仿宋_GB2312" w:eastAsia="仿宋_GB2312" w:cs="仿宋_GB2312"/>
          <w:snapToGrid/>
          <w:color w:val="auto"/>
          <w:kern w:val="2"/>
          <w:sz w:val="32"/>
          <w:szCs w:val="32"/>
          <w:highlight w:val="none"/>
        </w:rPr>
        <w:t>绩效运行监控，按照</w:t>
      </w:r>
      <w:r>
        <w:rPr>
          <w:rFonts w:hint="default" w:ascii="Times New Roman" w:hAnsi="Times New Roman" w:eastAsia="仿宋_GB2312" w:cs="Times New Roman"/>
          <w:snapToGrid/>
          <w:color w:val="auto"/>
          <w:kern w:val="2"/>
          <w:sz w:val="32"/>
          <w:szCs w:val="32"/>
          <w:highlight w:val="none"/>
        </w:rPr>
        <w:t>“1+1+X”</w:t>
      </w:r>
      <w:r>
        <w:rPr>
          <w:rFonts w:hint="eastAsia" w:ascii="仿宋_GB2312" w:hAnsi="仿宋_GB2312" w:eastAsia="仿宋_GB2312" w:cs="仿宋_GB2312"/>
          <w:snapToGrid/>
          <w:color w:val="auto"/>
          <w:kern w:val="2"/>
          <w:sz w:val="32"/>
          <w:szCs w:val="32"/>
          <w:highlight w:val="none"/>
        </w:rPr>
        <w:t>的部门整体</w:t>
      </w:r>
      <w:r>
        <w:rPr>
          <w:rFonts w:hint="eastAsia" w:ascii="仿宋_GB2312" w:hAnsi="仿宋_GB2312" w:eastAsia="仿宋_GB2312" w:cs="仿宋_GB2312"/>
          <w:snapToGrid/>
          <w:color w:val="auto"/>
          <w:kern w:val="2"/>
          <w:sz w:val="32"/>
          <w:szCs w:val="32"/>
          <w:highlight w:val="none"/>
          <w:lang w:val="en-US" w:eastAsia="zh-CN"/>
        </w:rPr>
        <w:t>支出</w:t>
      </w:r>
      <w:r>
        <w:rPr>
          <w:rFonts w:hint="eastAsia" w:ascii="仿宋_GB2312" w:hAnsi="仿宋_GB2312" w:eastAsia="仿宋_GB2312" w:cs="仿宋_GB2312"/>
          <w:snapToGrid/>
          <w:color w:val="auto"/>
          <w:kern w:val="2"/>
          <w:sz w:val="32"/>
          <w:szCs w:val="32"/>
          <w:highlight w:val="none"/>
        </w:rPr>
        <w:t>监控体系，对包括</w:t>
      </w:r>
      <w:r>
        <w:rPr>
          <w:rFonts w:hint="default" w:ascii="Times New Roman" w:hAnsi="Times New Roman" w:eastAsia="仿宋_GB2312" w:cs="Times New Roman"/>
          <w:snapToGrid/>
          <w:color w:val="auto"/>
          <w:kern w:val="2"/>
          <w:sz w:val="32"/>
          <w:szCs w:val="32"/>
          <w:highlight w:val="none"/>
        </w:rPr>
        <w:t>1</w:t>
      </w:r>
      <w:r>
        <w:rPr>
          <w:rFonts w:hint="eastAsia" w:ascii="仿宋_GB2312" w:hAnsi="仿宋_GB2312" w:eastAsia="仿宋_GB2312" w:cs="仿宋_GB2312"/>
          <w:snapToGrid/>
          <w:color w:val="auto"/>
          <w:kern w:val="2"/>
          <w:sz w:val="32"/>
          <w:szCs w:val="32"/>
          <w:highlight w:val="none"/>
        </w:rPr>
        <w:t>个部门整体支出、</w:t>
      </w:r>
      <w:r>
        <w:rPr>
          <w:rFonts w:hint="default" w:ascii="Times New Roman" w:hAnsi="Times New Roman" w:eastAsia="仿宋_GB2312" w:cs="Times New Roman"/>
          <w:snapToGrid/>
          <w:color w:val="auto"/>
          <w:kern w:val="2"/>
          <w:sz w:val="32"/>
          <w:szCs w:val="32"/>
          <w:highlight w:val="none"/>
          <w:lang w:val="en-US" w:eastAsia="zh-CN"/>
        </w:rPr>
        <w:t>1</w:t>
      </w:r>
      <w:r>
        <w:rPr>
          <w:rFonts w:hint="eastAsia" w:ascii="仿宋_GB2312" w:hAnsi="仿宋_GB2312" w:eastAsia="仿宋_GB2312" w:cs="仿宋_GB2312"/>
          <w:snapToGrid/>
          <w:color w:val="auto"/>
          <w:kern w:val="2"/>
          <w:sz w:val="32"/>
          <w:szCs w:val="32"/>
          <w:highlight w:val="none"/>
          <w:lang w:val="en-US" w:eastAsia="zh-CN"/>
        </w:rPr>
        <w:t>个</w:t>
      </w:r>
      <w:r>
        <w:rPr>
          <w:rFonts w:hint="eastAsia" w:ascii="仿宋_GB2312" w:hAnsi="仿宋_GB2312" w:eastAsia="仿宋_GB2312" w:cs="仿宋_GB2312"/>
          <w:snapToGrid/>
          <w:color w:val="auto"/>
          <w:kern w:val="2"/>
          <w:sz w:val="32"/>
          <w:szCs w:val="32"/>
          <w:highlight w:val="none"/>
        </w:rPr>
        <w:t>重点项目以及</w:t>
      </w:r>
      <w:r>
        <w:rPr>
          <w:rFonts w:hint="eastAsia" w:ascii="仿宋_GB2312" w:hAnsi="仿宋_GB2312" w:eastAsia="仿宋_GB2312" w:cs="仿宋_GB2312"/>
          <w:snapToGrid/>
          <w:color w:val="auto"/>
          <w:kern w:val="2"/>
          <w:sz w:val="32"/>
          <w:szCs w:val="32"/>
          <w:highlight w:val="none"/>
          <w:lang w:val="en-US" w:eastAsia="zh-CN"/>
        </w:rPr>
        <w:t>若干</w:t>
      </w:r>
      <w:r>
        <w:rPr>
          <w:rFonts w:hint="eastAsia" w:ascii="仿宋_GB2312" w:hAnsi="仿宋_GB2312" w:eastAsia="仿宋_GB2312" w:cs="仿宋_GB2312"/>
          <w:snapToGrid/>
          <w:color w:val="auto"/>
          <w:kern w:val="2"/>
          <w:sz w:val="32"/>
          <w:szCs w:val="32"/>
          <w:highlight w:val="none"/>
        </w:rPr>
        <w:t>关联项目的绩效实施情况开展整体监控。</w:t>
      </w:r>
      <w:r>
        <w:rPr>
          <w:rFonts w:hint="eastAsia" w:ascii="仿宋_GB2312" w:hAnsi="仿宋_GB2312" w:eastAsia="仿宋_GB2312" w:cs="仿宋_GB2312"/>
          <w:snapToGrid w:val="0"/>
          <w:color w:val="auto"/>
          <w:kern w:val="0"/>
          <w:sz w:val="32"/>
          <w:szCs w:val="32"/>
          <w:highlight w:val="none"/>
          <w:lang w:val="en-US" w:eastAsia="zh-CN"/>
        </w:rPr>
        <w:t>通过预算部门自行监控和财政部门重点监控，促使预算部门对绩效运行与预期目标发生偏离的情况及时分析原因并完善项目管理措施。</w:t>
      </w:r>
    </w:p>
    <w:p w14:paraId="1F8DB653">
      <w:pPr>
        <w:keepNext w:val="0"/>
        <w:keepLines w:val="0"/>
        <w:pageBreakBefore w:val="0"/>
        <w:widowControl w:val="0"/>
        <w:numPr>
          <w:ilvl w:val="0"/>
          <w:numId w:val="0"/>
        </w:numPr>
        <w:suppressLineNumbers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shd w:val="clear" w:color="auto" w:fill="auto"/>
          <w:lang w:val="en-US" w:eastAsia="zh-CN" w:bidi="ar"/>
        </w:rPr>
        <w:t>（四）扎实开展绩效评价。</w:t>
      </w:r>
      <w:r>
        <w:rPr>
          <w:rFonts w:hint="eastAsia" w:ascii="仿宋_GB2312" w:hAnsi="仿宋_GB2312" w:eastAsia="仿宋_GB2312" w:cs="仿宋_GB2312"/>
          <w:b/>
          <w:snapToGrid/>
          <w:color w:val="auto"/>
          <w:kern w:val="2"/>
          <w:sz w:val="32"/>
          <w:szCs w:val="32"/>
          <w:highlight w:val="none"/>
          <w:lang w:val="en-US" w:eastAsia="zh-CN" w:bidi="ar"/>
        </w:rPr>
        <w:t>一是</w:t>
      </w:r>
      <w:r>
        <w:rPr>
          <w:rFonts w:hint="eastAsia" w:ascii="仿宋_GB2312" w:hAnsi="仿宋_GB2312" w:eastAsia="仿宋_GB2312" w:cs="仿宋_GB2312"/>
          <w:sz w:val="32"/>
          <w:szCs w:val="32"/>
        </w:rPr>
        <w:t>预算主管部门本级及所属预算单位应对所有</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年年初部门预算批复项目、执行调整调剂新增项目的绩效目标执行情况开展绩效自评，项目支出绩效自评覆盖率应达到</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b/>
          <w:snapToGrid/>
          <w:color w:val="auto"/>
          <w:kern w:val="2"/>
          <w:sz w:val="32"/>
          <w:szCs w:val="32"/>
          <w:highlight w:val="none"/>
          <w:lang w:val="en-US" w:eastAsia="zh-CN" w:bidi="ar"/>
        </w:rPr>
        <w:t>二是</w:t>
      </w:r>
      <w:r>
        <w:rPr>
          <w:rFonts w:hint="eastAsia" w:ascii="仿宋_GB2312" w:hAnsi="仿宋_GB2312" w:eastAsia="仿宋_GB2312" w:cs="仿宋_GB2312"/>
          <w:snapToGrid w:val="0"/>
          <w:color w:val="auto"/>
          <w:kern w:val="0"/>
          <w:sz w:val="32"/>
          <w:szCs w:val="32"/>
          <w:highlight w:val="none"/>
          <w:lang w:val="en-US" w:eastAsia="zh-CN"/>
        </w:rPr>
        <w:t>聚焦区人大专题审查部门和重点项目，</w:t>
      </w:r>
      <w:r>
        <w:rPr>
          <w:rFonts w:hint="eastAsia" w:ascii="仿宋_GB2312" w:hAnsi="仿宋_GB2312" w:eastAsia="仿宋_GB2312" w:cs="仿宋_GB2312"/>
          <w:sz w:val="32"/>
          <w:szCs w:val="32"/>
        </w:rPr>
        <w:t>围绕区委、区政府中心工作和大事要事保障清单，结合实际工作情况，选取贯彻落实国家和省、市、区重大政策措施、重点民生领域、资金规模较大、社会关注度高的若干个项目实施重点绩效评价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val="0"/>
          <w:snapToGrid w:val="0"/>
          <w:color w:val="auto"/>
          <w:kern w:val="0"/>
          <w:sz w:val="32"/>
          <w:szCs w:val="32"/>
          <w:highlight w:val="none"/>
          <w:lang w:val="en-US" w:eastAsia="zh-CN" w:bidi="ar"/>
        </w:rPr>
        <w:t>对</w:t>
      </w:r>
      <w:r>
        <w:rPr>
          <w:rFonts w:hint="default" w:ascii="Times New Roman" w:hAnsi="Times New Roman" w:eastAsia="仿宋_GB2312" w:cs="Times New Roman"/>
          <w:bCs w:val="0"/>
          <w:snapToGrid w:val="0"/>
          <w:color w:val="auto"/>
          <w:kern w:val="0"/>
          <w:sz w:val="32"/>
          <w:szCs w:val="32"/>
          <w:highlight w:val="none"/>
          <w:lang w:val="en-US" w:eastAsia="zh-CN" w:bidi="ar"/>
        </w:rPr>
        <w:t>2023</w:t>
      </w:r>
      <w:r>
        <w:rPr>
          <w:rFonts w:hint="eastAsia" w:ascii="仿宋_GB2312" w:hAnsi="仿宋_GB2312" w:eastAsia="仿宋_GB2312" w:cs="仿宋_GB2312"/>
          <w:bCs w:val="0"/>
          <w:snapToGrid w:val="0"/>
          <w:color w:val="auto"/>
          <w:kern w:val="0"/>
          <w:sz w:val="32"/>
          <w:szCs w:val="32"/>
          <w:highlight w:val="none"/>
          <w:lang w:val="en-US" w:eastAsia="zh-CN" w:bidi="ar"/>
        </w:rPr>
        <w:t>年的</w:t>
      </w:r>
      <w:r>
        <w:rPr>
          <w:rFonts w:hint="default" w:ascii="Times New Roman" w:hAnsi="Times New Roman" w:eastAsia="仿宋_GB2312" w:cs="Times New Roman"/>
          <w:bCs w:val="0"/>
          <w:snapToGrid w:val="0"/>
          <w:color w:val="auto"/>
          <w:kern w:val="0"/>
          <w:sz w:val="32"/>
          <w:szCs w:val="32"/>
          <w:highlight w:val="none"/>
          <w:lang w:val="en-US" w:eastAsia="zh-CN" w:bidi="ar"/>
        </w:rPr>
        <w:t>22</w:t>
      </w:r>
      <w:r>
        <w:rPr>
          <w:rFonts w:hint="eastAsia" w:ascii="仿宋_GB2312" w:hAnsi="仿宋_GB2312" w:eastAsia="仿宋_GB2312" w:cs="仿宋_GB2312"/>
          <w:bCs w:val="0"/>
          <w:snapToGrid w:val="0"/>
          <w:color w:val="auto"/>
          <w:kern w:val="0"/>
          <w:sz w:val="32"/>
          <w:szCs w:val="32"/>
          <w:highlight w:val="none"/>
          <w:lang w:val="en-US" w:eastAsia="zh-CN" w:bidi="ar"/>
        </w:rPr>
        <w:t>个部门整体、</w:t>
      </w:r>
      <w:r>
        <w:rPr>
          <w:rFonts w:hint="default" w:ascii="Times New Roman" w:hAnsi="Times New Roman" w:eastAsia="仿宋_GB2312" w:cs="Times New Roman"/>
          <w:bCs w:val="0"/>
          <w:snapToGrid w:val="0"/>
          <w:color w:val="auto"/>
          <w:kern w:val="0"/>
          <w:sz w:val="32"/>
          <w:szCs w:val="32"/>
          <w:highlight w:val="none"/>
          <w:lang w:val="en-US" w:eastAsia="zh-CN" w:bidi="ar"/>
        </w:rPr>
        <w:t>22</w:t>
      </w:r>
      <w:r>
        <w:rPr>
          <w:rFonts w:hint="eastAsia" w:ascii="仿宋_GB2312" w:hAnsi="仿宋_GB2312" w:eastAsia="仿宋_GB2312" w:cs="仿宋_GB2312"/>
          <w:bCs w:val="0"/>
          <w:snapToGrid w:val="0"/>
          <w:color w:val="auto"/>
          <w:kern w:val="0"/>
          <w:sz w:val="32"/>
          <w:szCs w:val="32"/>
          <w:highlight w:val="none"/>
          <w:lang w:val="en-US" w:eastAsia="zh-CN" w:bidi="ar"/>
        </w:rPr>
        <w:t>个项目和</w:t>
      </w:r>
      <w:r>
        <w:rPr>
          <w:rFonts w:hint="default" w:ascii="Times New Roman" w:hAnsi="Times New Roman" w:eastAsia="仿宋_GB2312" w:cs="Times New Roman"/>
          <w:bCs w:val="0"/>
          <w:snapToGrid w:val="0"/>
          <w:color w:val="auto"/>
          <w:kern w:val="0"/>
          <w:sz w:val="32"/>
          <w:szCs w:val="32"/>
          <w:highlight w:val="none"/>
          <w:lang w:val="en-US" w:eastAsia="zh-CN" w:bidi="ar"/>
        </w:rPr>
        <w:t>1</w:t>
      </w:r>
      <w:r>
        <w:rPr>
          <w:rFonts w:hint="eastAsia" w:ascii="仿宋_GB2312" w:hAnsi="仿宋_GB2312" w:eastAsia="仿宋_GB2312" w:cs="仿宋_GB2312"/>
          <w:bCs w:val="0"/>
          <w:snapToGrid w:val="0"/>
          <w:color w:val="auto"/>
          <w:kern w:val="0"/>
          <w:sz w:val="32"/>
          <w:szCs w:val="32"/>
          <w:highlight w:val="none"/>
          <w:lang w:val="en-US" w:eastAsia="zh-CN" w:bidi="ar"/>
        </w:rPr>
        <w:t>个政策开展财政重点评价和财政自评复核</w:t>
      </w:r>
      <w:r>
        <w:rPr>
          <w:rFonts w:hint="eastAsia" w:ascii="仿宋_GB2312" w:hAnsi="仿宋_GB2312" w:eastAsia="仿宋_GB2312" w:cs="仿宋_GB2312"/>
          <w:bCs w:val="0"/>
          <w:snapToGrid w:val="0"/>
          <w:color w:val="auto"/>
          <w:kern w:val="0"/>
          <w:sz w:val="32"/>
          <w:szCs w:val="32"/>
          <w:highlight w:val="none"/>
          <w:lang w:val="en-US" w:eastAsia="zh-CN"/>
        </w:rPr>
        <w:t>，涉及财政资金</w:t>
      </w:r>
      <w:r>
        <w:rPr>
          <w:rFonts w:hint="default" w:ascii="Times New Roman" w:hAnsi="Times New Roman" w:eastAsia="仿宋_GB2312" w:cs="Times New Roman"/>
          <w:bCs w:val="0"/>
          <w:snapToGrid w:val="0"/>
          <w:color w:val="auto"/>
          <w:kern w:val="0"/>
          <w:sz w:val="32"/>
          <w:szCs w:val="32"/>
          <w:highlight w:val="none"/>
          <w:lang w:val="en-US" w:eastAsia="zh-CN"/>
        </w:rPr>
        <w:t>293.92</w:t>
      </w:r>
      <w:r>
        <w:rPr>
          <w:rFonts w:hint="eastAsia" w:ascii="仿宋_GB2312" w:hAnsi="仿宋_GB2312" w:eastAsia="仿宋_GB2312" w:cs="仿宋_GB2312"/>
          <w:bCs/>
          <w:color w:val="auto"/>
          <w:sz w:val="32"/>
          <w:szCs w:val="32"/>
          <w:highlight w:val="none"/>
          <w:lang w:val="en-US" w:eastAsia="zh-CN"/>
        </w:rPr>
        <w:t>亿元，其中被评项目的类型涵盖工程、信息化、债券、国有资本经营、政府采购以及政府购买服务等，丰富了绩效评价实践内涵。</w:t>
      </w:r>
    </w:p>
    <w:p w14:paraId="14D2EA3D">
      <w:pPr>
        <w:keepNext w:val="0"/>
        <w:keepLines w:val="0"/>
        <w:pageBreakBefore w:val="0"/>
        <w:widowControl w:val="0"/>
        <w:numPr>
          <w:ilvl w:val="0"/>
          <w:numId w:val="0"/>
        </w:numPr>
        <w:suppressLineNumbers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b/>
          <w:color w:val="auto"/>
          <w:kern w:val="2"/>
          <w:sz w:val="32"/>
          <w:szCs w:val="32"/>
          <w:highlight w:val="none"/>
          <w:lang w:val="en-US" w:eastAsia="zh-CN" w:bidi="ar"/>
        </w:rPr>
      </w:pPr>
      <w:r>
        <w:rPr>
          <w:rFonts w:hint="eastAsia" w:ascii="楷体_GB2312" w:hAnsi="楷体_GB2312" w:eastAsia="楷体_GB2312" w:cs="楷体_GB2312"/>
          <w:b w:val="0"/>
          <w:bCs w:val="0"/>
          <w:color w:val="auto"/>
          <w:kern w:val="2"/>
          <w:sz w:val="32"/>
          <w:szCs w:val="32"/>
          <w:highlight w:val="none"/>
          <w:shd w:val="clear" w:color="auto" w:fill="auto"/>
          <w:lang w:val="en-US" w:eastAsia="zh-CN" w:bidi="ar"/>
        </w:rPr>
        <w:t>（五）落实绩效评价结果应用。</w:t>
      </w:r>
      <w:r>
        <w:rPr>
          <w:rFonts w:hint="eastAsia" w:ascii="仿宋_GB2312" w:hAnsi="仿宋_GB2312" w:eastAsia="仿宋_GB2312" w:cs="仿宋_GB2312"/>
          <w:b/>
          <w:bCs w:val="0"/>
          <w:color w:val="auto"/>
          <w:sz w:val="32"/>
          <w:szCs w:val="32"/>
          <w:highlight w:val="none"/>
          <w:lang w:val="en-US" w:eastAsia="zh-CN" w:bidi="ar"/>
        </w:rPr>
        <w:t>一是</w:t>
      </w:r>
      <w:r>
        <w:rPr>
          <w:rFonts w:hint="eastAsia" w:ascii="仿宋_GB2312" w:hAnsi="仿宋_GB2312" w:eastAsia="仿宋_GB2312" w:cs="仿宋_GB2312"/>
          <w:b w:val="0"/>
          <w:bCs/>
          <w:color w:val="auto"/>
          <w:sz w:val="32"/>
          <w:szCs w:val="32"/>
          <w:highlight w:val="none"/>
        </w:rPr>
        <w:t>落实绩效评价结果与预算安排、政策调整挂钩机制</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对绩效评价等级评为</w:t>
      </w:r>
      <w:r>
        <w:rPr>
          <w:rFonts w:hint="default" w:ascii="Times New Roman" w:hAnsi="Times New Roman" w:eastAsia="仿宋_GB2312" w:cs="Times New Roman"/>
          <w:b w:val="0"/>
          <w:bCs/>
          <w:color w:val="auto"/>
          <w:sz w:val="32"/>
          <w:szCs w:val="32"/>
          <w:highlight w:val="none"/>
        </w:rPr>
        <w:t>“</w:t>
      </w:r>
      <w:r>
        <w:rPr>
          <w:rFonts w:hint="eastAsia" w:ascii="仿宋_GB2312" w:hAnsi="仿宋_GB2312" w:eastAsia="仿宋_GB2312" w:cs="仿宋_GB2312"/>
          <w:b w:val="0"/>
          <w:bCs/>
          <w:color w:val="auto"/>
          <w:sz w:val="32"/>
          <w:szCs w:val="32"/>
          <w:highlight w:val="none"/>
        </w:rPr>
        <w:t>中</w:t>
      </w:r>
      <w:r>
        <w:rPr>
          <w:rFonts w:hint="default" w:ascii="Times New Roman" w:hAnsi="Times New Roman" w:eastAsia="仿宋_GB2312" w:cs="Times New Roman"/>
          <w:b w:val="0"/>
          <w:bCs/>
          <w:color w:val="auto"/>
          <w:sz w:val="32"/>
          <w:szCs w:val="32"/>
          <w:highlight w:val="none"/>
        </w:rPr>
        <w:t>”</w:t>
      </w:r>
      <w:r>
        <w:rPr>
          <w:rFonts w:hint="eastAsia" w:ascii="仿宋_GB2312" w:hAnsi="仿宋_GB2312" w:eastAsia="仿宋_GB2312" w:cs="仿宋_GB2312"/>
          <w:b w:val="0"/>
          <w:bCs/>
          <w:color w:val="auto"/>
          <w:sz w:val="32"/>
          <w:szCs w:val="32"/>
          <w:highlight w:val="none"/>
        </w:rPr>
        <w:t>以下的项目，要求部门对该项目的立项必要性、资金合规性、投入经济性、绩效目标合理性等方面重新评估，财政部门在审核项目预算时将该项目重新评估结论作为财政预算安排的重要依据，从严从紧安排预算</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对部门整体绩效评价评分低于</w:t>
      </w:r>
      <w:r>
        <w:rPr>
          <w:rFonts w:hint="default" w:ascii="Times New Roman" w:hAnsi="Times New Roman" w:eastAsia="仿宋_GB2312" w:cs="Times New Roman"/>
          <w:b w:val="0"/>
          <w:bCs/>
          <w:color w:val="auto"/>
          <w:sz w:val="32"/>
          <w:szCs w:val="32"/>
          <w:highlight w:val="none"/>
          <w:lang w:val="en-US" w:eastAsia="zh-CN"/>
        </w:rPr>
        <w:t>80</w:t>
      </w:r>
      <w:r>
        <w:rPr>
          <w:rFonts w:hint="eastAsia" w:ascii="仿宋_GB2312" w:hAnsi="仿宋_GB2312" w:eastAsia="仿宋_GB2312" w:cs="仿宋_GB2312"/>
          <w:b w:val="0"/>
          <w:bCs/>
          <w:color w:val="auto"/>
          <w:sz w:val="32"/>
          <w:szCs w:val="32"/>
          <w:highlight w:val="none"/>
          <w:lang w:val="en-US" w:eastAsia="zh-CN"/>
        </w:rPr>
        <w:t>分的扣减公用经费综合定额</w:t>
      </w:r>
      <w:r>
        <w:rPr>
          <w:rFonts w:hint="default" w:ascii="Times New Roman" w:hAnsi="Times New Roman" w:eastAsia="仿宋_GB2312" w:cs="Times New Roman"/>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lang w:val="en-US" w:eastAsia="zh-CN"/>
        </w:rPr>
        <w:t>，低于</w:t>
      </w:r>
      <w:r>
        <w:rPr>
          <w:rFonts w:hint="default" w:ascii="Times New Roman" w:hAnsi="Times New Roman" w:eastAsia="仿宋_GB2312" w:cs="Times New Roman"/>
          <w:b w:val="0"/>
          <w:bCs/>
          <w:color w:val="auto"/>
          <w:sz w:val="32"/>
          <w:szCs w:val="32"/>
          <w:highlight w:val="none"/>
          <w:lang w:val="en-US" w:eastAsia="zh-CN"/>
        </w:rPr>
        <w:t>70</w:t>
      </w:r>
      <w:r>
        <w:rPr>
          <w:rFonts w:hint="eastAsia" w:ascii="仿宋_GB2312" w:hAnsi="仿宋_GB2312" w:eastAsia="仿宋_GB2312" w:cs="仿宋_GB2312"/>
          <w:b w:val="0"/>
          <w:bCs/>
          <w:color w:val="auto"/>
          <w:sz w:val="32"/>
          <w:szCs w:val="32"/>
          <w:highlight w:val="none"/>
          <w:lang w:val="en-US" w:eastAsia="zh-CN"/>
        </w:rPr>
        <w:t>分的扣减</w:t>
      </w:r>
      <w:r>
        <w:rPr>
          <w:rFonts w:hint="default" w:ascii="Times New Roman" w:hAnsi="Times New Roman" w:eastAsia="仿宋_GB2312" w:cs="Times New Roman"/>
          <w:b w:val="0"/>
          <w:bCs/>
          <w:color w:val="auto"/>
          <w:sz w:val="32"/>
          <w:szCs w:val="32"/>
          <w:highlight w:val="none"/>
          <w:lang w:val="en-US" w:eastAsia="zh-CN"/>
        </w:rPr>
        <w:t>10%</w:t>
      </w:r>
      <w:r>
        <w:rPr>
          <w:rFonts w:hint="eastAsia" w:ascii="仿宋_GB2312" w:hAnsi="仿宋_GB2312" w:eastAsia="仿宋_GB2312" w:cs="仿宋_GB2312"/>
          <w:b w:val="0"/>
          <w:bCs/>
          <w:color w:val="auto"/>
          <w:sz w:val="32"/>
          <w:szCs w:val="32"/>
          <w:highlight w:val="none"/>
        </w:rPr>
        <w:t>。</w:t>
      </w:r>
      <w:r>
        <w:rPr>
          <w:rFonts w:hint="default" w:ascii="仿宋_GB2312" w:hAnsi="仿宋_GB2312" w:eastAsia="仿宋_GB2312" w:cs="仿宋_GB2312"/>
          <w:b/>
          <w:bCs w:val="0"/>
          <w:color w:val="auto"/>
          <w:sz w:val="32"/>
          <w:szCs w:val="32"/>
          <w:highlight w:val="none"/>
          <w:lang w:val="en-US" w:eastAsia="zh-CN" w:bidi="ar"/>
        </w:rPr>
        <w:t>二</w:t>
      </w:r>
      <w:r>
        <w:rPr>
          <w:rFonts w:hint="eastAsia" w:ascii="仿宋_GB2312" w:hAnsi="仿宋_GB2312" w:eastAsia="仿宋_GB2312" w:cs="仿宋_GB2312"/>
          <w:b/>
          <w:bCs w:val="0"/>
          <w:color w:val="auto"/>
          <w:sz w:val="32"/>
          <w:szCs w:val="32"/>
          <w:highlight w:val="none"/>
          <w:lang w:val="en-US" w:eastAsia="zh-CN" w:bidi="ar"/>
        </w:rPr>
        <w:t>是</w:t>
      </w:r>
      <w:r>
        <w:rPr>
          <w:rFonts w:hint="eastAsia" w:ascii="仿宋_GB2312" w:hAnsi="仿宋_GB2312" w:eastAsia="仿宋_GB2312" w:cs="仿宋_GB2312"/>
          <w:b w:val="0"/>
          <w:bCs/>
          <w:color w:val="auto"/>
          <w:sz w:val="32"/>
          <w:szCs w:val="32"/>
          <w:highlight w:val="none"/>
          <w:lang w:val="en-US" w:eastAsia="zh-CN"/>
        </w:rPr>
        <w:t>将部门预算绩效管理工作纳入区机关绩效专项考核指标负面清单中的</w:t>
      </w:r>
      <w:r>
        <w:rPr>
          <w:rFonts w:hint="default" w:ascii="Times New Roman" w:hAnsi="Times New Roman" w:eastAsia="仿宋_GB2312" w:cs="Times New Roman"/>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财政管理工作</w:t>
      </w:r>
      <w:r>
        <w:rPr>
          <w:rFonts w:hint="default" w:ascii="Times New Roman" w:hAnsi="Times New Roman" w:eastAsia="仿宋_GB2312" w:cs="Times New Roman"/>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中，对因未在规定时间内，未按绩效管理要求或未配合财政部门委托的第三方机构开展相关预算绩效工作等情形，据实予以扣分。</w:t>
      </w:r>
    </w:p>
    <w:p w14:paraId="4E4C3BAD">
      <w:pPr>
        <w:keepNext w:val="0"/>
        <w:keepLines w:val="0"/>
        <w:pageBreakBefore w:val="0"/>
        <w:numPr>
          <w:ilvl w:val="0"/>
          <w:numId w:val="0"/>
        </w:numPr>
        <w:shd w:val="clea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shd w:val="clear" w:color="auto" w:fill="auto"/>
          <w:lang w:val="en-US" w:eastAsia="zh-CN" w:bidi="ar"/>
        </w:rPr>
        <w:t>（六）加快区、镇预算管理协同发展。</w:t>
      </w:r>
      <w:r>
        <w:rPr>
          <w:rFonts w:hint="eastAsia" w:ascii="仿宋_GB2312" w:hAnsi="仿宋_GB2312" w:eastAsia="仿宋_GB2312" w:cs="仿宋_GB2312"/>
          <w:b w:val="0"/>
          <w:bCs/>
          <w:color w:val="auto"/>
          <w:sz w:val="32"/>
          <w:szCs w:val="32"/>
          <w:highlight w:val="none"/>
          <w:lang w:val="en-US" w:eastAsia="zh-CN"/>
        </w:rPr>
        <w:t>结合中央、省级</w:t>
      </w:r>
      <w:r>
        <w:rPr>
          <w:rFonts w:hint="default" w:ascii="Times New Roman" w:hAnsi="Times New Roman" w:eastAsia="仿宋_GB2312" w:cs="Times New Roman"/>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全面实施预算绩效管理</w:t>
      </w:r>
      <w:r>
        <w:rPr>
          <w:rFonts w:hint="default" w:ascii="Times New Roman" w:hAnsi="Times New Roman" w:eastAsia="仿宋_GB2312" w:cs="Times New Roman"/>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工作要求，我区致力于加大区镇两级联动，打造</w:t>
      </w:r>
      <w:r>
        <w:rPr>
          <w:rFonts w:hint="default" w:ascii="Times New Roman" w:hAnsi="Times New Roman" w:eastAsia="仿宋_GB2312" w:cs="Times New Roman"/>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一盘棋</w:t>
      </w:r>
      <w:r>
        <w:rPr>
          <w:rFonts w:hint="default" w:ascii="Times New Roman" w:hAnsi="Times New Roman" w:eastAsia="仿宋_GB2312" w:cs="Times New Roman"/>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工作格局。围绕绩效目标管理、绩效运行监控、绩效评价、评价结果应用等重点环节，对各镇统一规范全面开展预算绩效管理提出明确的指导性意见。定期召开区镇预算绩效管理交流座谈会，深入学习全面实施预算绩效管理相关文件精神，总结我区各镇现行财政绩效管理工作有关情况，对镇财政绩效工作提出要求，并就各镇在预算绩效管理工作实践中存在的问题进行解答。</w:t>
      </w:r>
    </w:p>
    <w:p w14:paraId="46A701E7">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lang w:val="en-US" w:eastAsia="zh-CN"/>
        </w:rPr>
        <w:t>2023年财政支出绩效评价情况</w:t>
      </w:r>
    </w:p>
    <w:p w14:paraId="1CC7529D">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auto"/>
          <w:kern w:val="2"/>
          <w:sz w:val="32"/>
          <w:szCs w:val="32"/>
          <w:highlight w:val="none"/>
          <w:shd w:val="clear" w:color="auto" w:fill="auto"/>
          <w:lang w:val="en-US" w:eastAsia="zh-CN" w:bidi="ar"/>
        </w:rPr>
      </w:pPr>
      <w:r>
        <w:rPr>
          <w:rFonts w:hint="eastAsia" w:ascii="楷体_GB2312" w:hAnsi="楷体_GB2312" w:eastAsia="楷体_GB2312" w:cs="楷体_GB2312"/>
          <w:b w:val="0"/>
          <w:bCs w:val="0"/>
          <w:color w:val="auto"/>
          <w:kern w:val="2"/>
          <w:sz w:val="32"/>
          <w:szCs w:val="32"/>
          <w:highlight w:val="none"/>
          <w:shd w:val="clear" w:color="auto" w:fill="auto"/>
          <w:lang w:val="en-US" w:eastAsia="zh-CN" w:bidi="ar"/>
        </w:rPr>
        <w:t>（一）基本情况</w:t>
      </w:r>
    </w:p>
    <w:p w14:paraId="47DBB01B">
      <w:pPr>
        <w:tabs>
          <w:tab w:val="left" w:pos="7020"/>
        </w:tabs>
        <w:adjustRightInd w:val="0"/>
        <w:snapToGrid w:val="0"/>
        <w:spacing w:line="560" w:lineRule="exact"/>
        <w:ind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我区严格按照财政支出绩效评价有关管理制度和要求，在选取</w:t>
      </w:r>
      <w:r>
        <w:rPr>
          <w:rFonts w:hint="eastAsia" w:ascii="仿宋_GB2312" w:hAnsi="仿宋_GB2312" w:eastAsia="仿宋_GB2312" w:cs="仿宋_GB2312"/>
          <w:color w:val="auto"/>
          <w:sz w:val="32"/>
          <w:szCs w:val="32"/>
          <w:highlight w:val="none"/>
          <w:lang w:val="en-US" w:eastAsia="zh-CN"/>
        </w:rPr>
        <w:t>区农业农村局、区水务局、区民政局</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个区人大重点审议部门的基础上，再增加</w:t>
      </w:r>
      <w:r>
        <w:rPr>
          <w:rFonts w:hint="eastAsia" w:ascii="仿宋_GB2312" w:hAnsi="仿宋_GB2312" w:eastAsia="仿宋_GB2312" w:cs="仿宋_GB2312"/>
          <w:b w:val="0"/>
          <w:bCs/>
          <w:color w:val="auto"/>
          <w:sz w:val="32"/>
          <w:szCs w:val="32"/>
          <w:highlight w:val="none"/>
          <w:lang w:val="en-US" w:eastAsia="zh-CN"/>
        </w:rPr>
        <w:t>区司法局、区商务局、区文广旅体局、区科协、团区委、明珠湾管理局共</w:t>
      </w:r>
      <w:r>
        <w:rPr>
          <w:rFonts w:hint="default" w:ascii="Times New Roman" w:hAnsi="Times New Roman" w:eastAsia="仿宋_GB2312" w:cs="Times New Roman"/>
          <w:b w:val="0"/>
          <w:bCs/>
          <w:color w:val="auto"/>
          <w:sz w:val="32"/>
          <w:szCs w:val="32"/>
          <w:highlight w:val="none"/>
          <w:lang w:val="en-US" w:eastAsia="zh-CN"/>
        </w:rPr>
        <w:t>9</w:t>
      </w:r>
      <w:r>
        <w:rPr>
          <w:rFonts w:hint="eastAsia" w:ascii="仿宋_GB2312" w:hAnsi="仿宋_GB2312" w:eastAsia="仿宋_GB2312" w:cs="仿宋_GB2312"/>
          <w:b w:val="0"/>
          <w:bCs/>
          <w:color w:val="auto"/>
          <w:sz w:val="32"/>
          <w:szCs w:val="32"/>
          <w:highlight w:val="none"/>
          <w:lang w:val="en-US" w:eastAsia="zh-CN"/>
        </w:rPr>
        <w:t>个部门</w:t>
      </w:r>
      <w:r>
        <w:rPr>
          <w:rFonts w:hint="eastAsia" w:ascii="仿宋_GB2312" w:hAnsi="仿宋_GB2312" w:eastAsia="仿宋_GB2312" w:cs="仿宋_GB2312"/>
          <w:b w:val="0"/>
          <w:bCs/>
          <w:color w:val="auto"/>
          <w:sz w:val="32"/>
          <w:szCs w:val="32"/>
          <w:highlight w:val="none"/>
          <w:lang w:eastAsia="zh-CN"/>
        </w:rPr>
        <w:t>开展部门整体绩效评价。</w:t>
      </w:r>
      <w:r>
        <w:rPr>
          <w:rFonts w:hint="eastAsia" w:ascii="仿宋_GB2312" w:hAnsi="仿宋_GB2312" w:eastAsia="仿宋_GB2312" w:cs="仿宋_GB2312"/>
          <w:b w:val="0"/>
          <w:bCs/>
          <w:color w:val="auto"/>
          <w:sz w:val="32"/>
          <w:szCs w:val="32"/>
          <w:lang w:val="en-US" w:eastAsia="zh-CN"/>
        </w:rPr>
        <w:t>选取贯彻落实国家和省、市、区重大政策措施、重点民生领域、资金规模较大、社会关注度高的</w:t>
      </w:r>
      <w:r>
        <w:rPr>
          <w:rFonts w:hint="default" w:ascii="Times New Roman" w:hAnsi="Times New Roman" w:eastAsia="仿宋_GB2312" w:cs="Times New Roman"/>
          <w:b w:val="0"/>
          <w:bCs/>
          <w:color w:val="auto"/>
          <w:sz w:val="32"/>
          <w:szCs w:val="32"/>
          <w:lang w:val="en-US" w:eastAsia="zh-CN"/>
        </w:rPr>
        <w:t>18</w:t>
      </w:r>
      <w:r>
        <w:rPr>
          <w:rFonts w:hint="eastAsia" w:ascii="仿宋_GB2312" w:hAnsi="仿宋_GB2312" w:eastAsia="仿宋_GB2312" w:cs="仿宋_GB2312"/>
          <w:b w:val="0"/>
          <w:bCs/>
          <w:color w:val="auto"/>
          <w:sz w:val="32"/>
          <w:szCs w:val="32"/>
          <w:lang w:val="en-US" w:eastAsia="zh-CN"/>
        </w:rPr>
        <w:t>个项目及</w:t>
      </w:r>
      <w:r>
        <w:rPr>
          <w:rFonts w:hint="default" w:ascii="Times New Roman" w:hAnsi="Times New Roman" w:eastAsia="仿宋_GB2312" w:cs="Times New Roman"/>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个政策支出开展项目绩效评价</w:t>
      </w:r>
      <w:r>
        <w:rPr>
          <w:rFonts w:hint="eastAsia" w:ascii="仿宋_GB2312" w:hAnsi="仿宋_GB2312" w:eastAsia="仿宋_GB2312" w:cs="仿宋_GB2312"/>
          <w:bCs/>
          <w:color w:val="auto"/>
          <w:sz w:val="32"/>
          <w:szCs w:val="32"/>
          <w:highlight w:val="none"/>
          <w:lang w:val="en-US" w:eastAsia="zh-CN"/>
        </w:rPr>
        <w:t>。评价资金范围涵盖一般公共预算、政府性基金预算、国有资本经营预算，并参照省财政厅拟定的绩效指标就一个政府债券项目开展了专项评价。加强与审计、人大协同联动，选取审计关注的区市场监管局</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color w:val="auto"/>
          <w:sz w:val="32"/>
          <w:szCs w:val="32"/>
          <w:lang w:val="en-US" w:eastAsia="zh-CN"/>
        </w:rPr>
        <w:t>质量强区资助奖励资金管理办法</w:t>
      </w:r>
      <w:r>
        <w:rPr>
          <w:rFonts w:hint="default" w:ascii="Times New Roman" w:hAnsi="Times New Roman" w:eastAsia="仿宋_GB2312" w:cs="Times New Roman"/>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val="en-US" w:eastAsia="zh-CN"/>
        </w:rPr>
        <w:t>开展政策绩效评价、选取区人大关注且民众满意度低的区水务局</w:t>
      </w:r>
      <w:r>
        <w:rPr>
          <w:rFonts w:hint="default" w:ascii="Times New Roman" w:hAnsi="Times New Roman" w:eastAsia="仿宋_GB2312" w:cs="Times New Roman"/>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val="en-US" w:eastAsia="zh-CN"/>
        </w:rPr>
        <w:t>南沙区水浸黑点应急治理工程</w:t>
      </w:r>
      <w:r>
        <w:rPr>
          <w:rFonts w:hint="default" w:ascii="Times New Roman" w:hAnsi="Times New Roman" w:eastAsia="仿宋_GB2312" w:cs="Times New Roman"/>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val="en-US" w:eastAsia="zh-CN"/>
        </w:rPr>
        <w:t>项目开展重点评价。</w:t>
      </w:r>
    </w:p>
    <w:p w14:paraId="53C8076D">
      <w:pPr>
        <w:keepNext w:val="0"/>
        <w:keepLines w:val="0"/>
        <w:pageBreakBefore w:val="0"/>
        <w:tabs>
          <w:tab w:val="left" w:pos="7020"/>
        </w:tabs>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1.绩效自评复核情况。</w:t>
      </w:r>
      <w:r>
        <w:rPr>
          <w:rFonts w:hint="eastAsia" w:ascii="仿宋_GB2312" w:hAnsi="仿宋_GB2312" w:eastAsia="仿宋_GB2312" w:cs="仿宋_GB2312"/>
          <w:sz w:val="32"/>
          <w:szCs w:val="32"/>
        </w:rPr>
        <w:t>为提高绩效自评结果的客观性和准确性，在预算主管部门组织开展绩效自评的基础上，区财政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实施了</w:t>
      </w:r>
      <w:r>
        <w:rPr>
          <w:rFonts w:hint="default" w:ascii="Times New Roman" w:hAnsi="Times New Roman" w:eastAsia="仿宋_GB2312" w:cs="Times New Roman"/>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lang w:val="en-US" w:eastAsia="zh-CN"/>
        </w:rPr>
        <w:t>个部门的</w:t>
      </w:r>
      <w:r>
        <w:rPr>
          <w:rFonts w:hint="default" w:ascii="Times New Roman" w:hAnsi="Times New Roman" w:eastAsia="仿宋_GB2312" w:cs="Times New Roman"/>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lang w:val="en-US" w:eastAsia="zh-CN"/>
        </w:rPr>
        <w:t>个项目进行自评复核，涉及财政资金</w:t>
      </w:r>
      <w:r>
        <w:rPr>
          <w:rFonts w:hint="default" w:ascii="Times New Roman" w:hAnsi="Times New Roman" w:eastAsia="仿宋_GB2312" w:cs="Times New Roman"/>
          <w:bCs/>
          <w:color w:val="auto"/>
          <w:sz w:val="32"/>
          <w:szCs w:val="32"/>
          <w:highlight w:val="none"/>
          <w:lang w:val="en-US" w:eastAsia="zh-CN"/>
        </w:rPr>
        <w:t>6402.75</w:t>
      </w:r>
      <w:r>
        <w:rPr>
          <w:rFonts w:hint="eastAsia" w:ascii="仿宋_GB2312" w:hAnsi="仿宋_GB2312" w:eastAsia="仿宋_GB2312" w:cs="仿宋_GB2312"/>
          <w:bCs/>
          <w:color w:val="auto"/>
          <w:sz w:val="32"/>
          <w:szCs w:val="32"/>
          <w:highlight w:val="none"/>
          <w:lang w:val="en-US" w:eastAsia="zh-CN"/>
        </w:rPr>
        <w:t>万元。经评价，</w:t>
      </w:r>
      <w:r>
        <w:rPr>
          <w:rFonts w:hint="default" w:ascii="Times New Roman" w:hAnsi="Times New Roman" w:eastAsia="仿宋_GB2312" w:cs="Times New Roman"/>
          <w:bCs/>
          <w:color w:val="auto"/>
          <w:sz w:val="32"/>
          <w:szCs w:val="32"/>
          <w:highlight w:val="none"/>
          <w:lang w:val="en-US" w:eastAsia="zh-CN"/>
        </w:rPr>
        <w:t>12</w:t>
      </w:r>
      <w:r>
        <w:rPr>
          <w:rFonts w:hint="eastAsia" w:ascii="仿宋_GB2312" w:hAnsi="仿宋_GB2312" w:eastAsia="仿宋_GB2312" w:cs="仿宋_GB2312"/>
          <w:bCs/>
          <w:color w:val="auto"/>
          <w:sz w:val="32"/>
          <w:szCs w:val="32"/>
          <w:highlight w:val="none"/>
          <w:lang w:val="en-US" w:eastAsia="zh-CN"/>
        </w:rPr>
        <w:t>个项目绩效等级分别为</w:t>
      </w:r>
      <w:r>
        <w:rPr>
          <w:rFonts w:hint="eastAsia" w:eastAsia="仿宋_GB2312" w:cs="Times New Roman"/>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val="en-US" w:eastAsia="zh-CN"/>
        </w:rPr>
        <w:t>个优、</w:t>
      </w:r>
      <w:r>
        <w:rPr>
          <w:rFonts w:hint="eastAsia" w:eastAsia="仿宋_GB2312" w:cs="Times New Roman"/>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lang w:val="en-US" w:eastAsia="zh-CN"/>
        </w:rPr>
        <w:t>个良、</w:t>
      </w:r>
      <w:r>
        <w:rPr>
          <w:rFonts w:hint="eastAsia" w:eastAsia="仿宋_GB2312" w:cs="Times New Roman"/>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val="en-US" w:eastAsia="zh-CN"/>
        </w:rPr>
        <w:t>个中。</w:t>
      </w:r>
    </w:p>
    <w:p w14:paraId="2AE5E365">
      <w:pPr>
        <w:keepNext w:val="0"/>
        <w:keepLines w:val="0"/>
        <w:pageBreakBefore w:val="0"/>
        <w:tabs>
          <w:tab w:val="left" w:pos="7020"/>
        </w:tabs>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val="en-US" w:eastAsia="zh-CN"/>
        </w:rPr>
        <w:t>2.重点</w:t>
      </w:r>
      <w:r>
        <w:rPr>
          <w:rFonts w:hint="eastAsia" w:ascii="仿宋_GB2312" w:hAnsi="仿宋_GB2312" w:eastAsia="仿宋_GB2312" w:cs="仿宋_GB2312"/>
          <w:b/>
          <w:bCs w:val="0"/>
          <w:color w:val="auto"/>
          <w:sz w:val="32"/>
          <w:szCs w:val="32"/>
          <w:highlight w:val="none"/>
          <w:lang w:val="en-US" w:eastAsia="zh-CN"/>
        </w:rPr>
        <w:t>项目（政策）绩效评价情况。</w:t>
      </w:r>
      <w:r>
        <w:rPr>
          <w:rFonts w:hint="eastAsia" w:ascii="仿宋_GB2312" w:hAnsi="仿宋_GB2312" w:eastAsia="仿宋_GB2312" w:cs="仿宋_GB2312"/>
          <w:bCs/>
          <w:color w:val="auto"/>
          <w:sz w:val="32"/>
          <w:szCs w:val="32"/>
          <w:highlight w:val="none"/>
          <w:lang w:val="en-US" w:eastAsia="zh-CN"/>
        </w:rPr>
        <w:t>围绕区委、区政府中心工作和大事要事保障清单，结合实际工作情况，选取贯彻落实国家和省、市、区重大政策措施、重点民生领域、资金规模较大、社会关注度高的</w:t>
      </w:r>
      <w:r>
        <w:rPr>
          <w:rFonts w:hint="default" w:ascii="Times New Roman" w:hAnsi="Times New Roman" w:eastAsia="仿宋_GB2312" w:cs="Times New Roman"/>
          <w:bCs/>
          <w:color w:val="auto"/>
          <w:sz w:val="32"/>
          <w:szCs w:val="32"/>
          <w:highlight w:val="none"/>
          <w:lang w:val="en-US" w:eastAsia="zh-CN"/>
        </w:rPr>
        <w:t>11</w:t>
      </w:r>
      <w:r>
        <w:rPr>
          <w:rFonts w:hint="eastAsia" w:ascii="仿宋_GB2312" w:hAnsi="仿宋_GB2312" w:eastAsia="仿宋_GB2312" w:cs="仿宋_GB2312"/>
          <w:bCs/>
          <w:color w:val="auto"/>
          <w:sz w:val="32"/>
          <w:szCs w:val="32"/>
          <w:highlight w:val="none"/>
          <w:lang w:val="en-US" w:eastAsia="zh-CN"/>
        </w:rPr>
        <w:t>个重点项目和</w:t>
      </w:r>
      <w:r>
        <w:rPr>
          <w:rFonts w:hint="default" w:ascii="Times New Roman" w:hAnsi="Times New Roman" w:eastAsia="仿宋_GB2312" w:cs="Times New Roman"/>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val="en-US" w:eastAsia="zh-CN"/>
        </w:rPr>
        <w:t>项政策进行了第三方评价，涉及财政资金</w:t>
      </w:r>
      <w:r>
        <w:rPr>
          <w:rFonts w:hint="default" w:ascii="Times New Roman" w:hAnsi="Times New Roman" w:eastAsia="仿宋_GB2312" w:cs="Times New Roman"/>
          <w:bCs/>
          <w:color w:val="auto"/>
          <w:sz w:val="32"/>
          <w:szCs w:val="32"/>
          <w:highlight w:val="none"/>
          <w:lang w:val="en-US" w:eastAsia="zh-CN"/>
        </w:rPr>
        <w:t>13.29</w:t>
      </w:r>
      <w:r>
        <w:rPr>
          <w:rFonts w:hint="eastAsia" w:ascii="仿宋_GB2312" w:hAnsi="仿宋_GB2312" w:eastAsia="仿宋_GB2312" w:cs="仿宋_GB2312"/>
          <w:bCs/>
          <w:color w:val="auto"/>
          <w:sz w:val="32"/>
          <w:szCs w:val="32"/>
          <w:highlight w:val="none"/>
          <w:lang w:val="en-US" w:eastAsia="zh-CN"/>
        </w:rPr>
        <w:t>亿元。经评价，</w:t>
      </w:r>
      <w:r>
        <w:rPr>
          <w:rFonts w:hint="default" w:ascii="Times New Roman" w:hAnsi="Times New Roman" w:eastAsia="仿宋_GB2312" w:cs="Times New Roman"/>
          <w:bCs/>
          <w:color w:val="auto"/>
          <w:sz w:val="32"/>
          <w:szCs w:val="32"/>
          <w:highlight w:val="none"/>
          <w:lang w:val="en-US" w:eastAsia="zh-CN"/>
        </w:rPr>
        <w:t>11</w:t>
      </w:r>
      <w:r>
        <w:rPr>
          <w:rFonts w:hint="eastAsia" w:ascii="仿宋_GB2312" w:hAnsi="仿宋_GB2312" w:eastAsia="仿宋_GB2312" w:cs="仿宋_GB2312"/>
          <w:bCs/>
          <w:color w:val="auto"/>
          <w:sz w:val="32"/>
          <w:szCs w:val="32"/>
          <w:highlight w:val="none"/>
          <w:lang w:val="en-US" w:eastAsia="zh-CN"/>
        </w:rPr>
        <w:t>个项目评价等级分别为</w:t>
      </w:r>
      <w:r>
        <w:rPr>
          <w:rFonts w:hint="default" w:ascii="Times New Roman" w:hAnsi="Times New Roman" w:eastAsia="仿宋_GB2312" w:cs="Times New Roman"/>
          <w:bCs/>
          <w:color w:val="auto"/>
          <w:sz w:val="32"/>
          <w:szCs w:val="32"/>
          <w:highlight w:val="none"/>
          <w:lang w:val="en-US" w:eastAsia="zh-CN"/>
        </w:rPr>
        <w:t>8</w:t>
      </w:r>
      <w:r>
        <w:rPr>
          <w:rFonts w:hint="eastAsia" w:ascii="仿宋_GB2312" w:hAnsi="仿宋_GB2312" w:eastAsia="仿宋_GB2312" w:cs="仿宋_GB2312"/>
          <w:bCs/>
          <w:color w:val="auto"/>
          <w:sz w:val="32"/>
          <w:szCs w:val="32"/>
          <w:highlight w:val="none"/>
          <w:lang w:val="en-US" w:eastAsia="zh-CN"/>
        </w:rPr>
        <w:t>个良、</w:t>
      </w:r>
      <w:r>
        <w:rPr>
          <w:rFonts w:hint="default" w:ascii="Times New Roman" w:hAnsi="Times New Roman" w:eastAsia="仿宋_GB2312" w:cs="Times New Roman"/>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val="en-US" w:eastAsia="zh-CN"/>
        </w:rPr>
        <w:t>个中，</w:t>
      </w:r>
      <w:r>
        <w:rPr>
          <w:rFonts w:hint="default" w:ascii="Times New Roman" w:hAnsi="Times New Roman" w:eastAsia="仿宋_GB2312" w:cs="Times New Roman"/>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val="en-US" w:eastAsia="zh-CN"/>
        </w:rPr>
        <w:t>项政策评价等级为中。</w:t>
      </w:r>
    </w:p>
    <w:p w14:paraId="26BBA18D">
      <w:pPr>
        <w:keepNext w:val="0"/>
        <w:keepLines w:val="0"/>
        <w:pageBreakBefore w:val="0"/>
        <w:tabs>
          <w:tab w:val="left" w:pos="7020"/>
        </w:tabs>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default" w:ascii="Times New Roman" w:hAnsi="Times New Roman" w:eastAsia="仿宋_GB2312" w:cs="Times New Roman"/>
          <w:b/>
          <w:bCs w:val="0"/>
          <w:color w:val="auto"/>
          <w:sz w:val="32"/>
          <w:szCs w:val="32"/>
          <w:highlight w:val="none"/>
          <w:lang w:val="en-US" w:eastAsia="zh-CN"/>
        </w:rPr>
        <w:t>3.</w:t>
      </w:r>
      <w:r>
        <w:rPr>
          <w:rFonts w:hint="eastAsia" w:ascii="仿宋_GB2312" w:hAnsi="仿宋_GB2312" w:eastAsia="仿宋_GB2312" w:cs="仿宋_GB2312"/>
          <w:b/>
          <w:bCs w:val="0"/>
          <w:color w:val="auto"/>
          <w:sz w:val="32"/>
          <w:szCs w:val="32"/>
          <w:highlight w:val="none"/>
          <w:lang w:val="en-US" w:eastAsia="zh-CN"/>
        </w:rPr>
        <w:t>部门整体绩效评价情况。</w:t>
      </w:r>
      <w:r>
        <w:rPr>
          <w:rFonts w:hint="eastAsia" w:ascii="仿宋_GB2312" w:hAnsi="仿宋_GB2312" w:eastAsia="仿宋_GB2312" w:cs="仿宋_GB2312"/>
          <w:bCs/>
          <w:color w:val="auto"/>
          <w:sz w:val="32"/>
          <w:szCs w:val="32"/>
          <w:highlight w:val="none"/>
          <w:lang w:val="en-US" w:eastAsia="zh-CN"/>
        </w:rPr>
        <w:t>从部门预算决策、预算编制、资金使用、项目管理、履职产出和效益、绩效管理、转移支付管理等方面，对区工信局、区投促局、区财政局等</w:t>
      </w:r>
      <w:r>
        <w:rPr>
          <w:rFonts w:hint="default" w:ascii="Times New Roman" w:hAnsi="Times New Roman" w:eastAsia="仿宋_GB2312" w:cs="Times New Roman"/>
          <w:bCs/>
          <w:color w:val="auto"/>
          <w:sz w:val="32"/>
          <w:szCs w:val="32"/>
          <w:highlight w:val="none"/>
          <w:lang w:val="en-US" w:eastAsia="zh-CN"/>
        </w:rPr>
        <w:t>22</w:t>
      </w:r>
      <w:r>
        <w:rPr>
          <w:rFonts w:hint="eastAsia" w:ascii="仿宋_GB2312" w:hAnsi="仿宋_GB2312" w:eastAsia="仿宋_GB2312" w:cs="仿宋_GB2312"/>
          <w:bCs/>
          <w:color w:val="auto"/>
          <w:sz w:val="32"/>
          <w:szCs w:val="32"/>
          <w:highlight w:val="none"/>
          <w:lang w:val="en-US" w:eastAsia="zh-CN"/>
        </w:rPr>
        <w:t>个预算部门进行了部门整体评价，涉及财政资金</w:t>
      </w:r>
      <w:r>
        <w:rPr>
          <w:rFonts w:hint="default" w:ascii="Times New Roman" w:hAnsi="Times New Roman" w:eastAsia="仿宋_GB2312" w:cs="Times New Roman"/>
          <w:bCs/>
          <w:color w:val="auto"/>
          <w:sz w:val="32"/>
          <w:szCs w:val="32"/>
          <w:highlight w:val="none"/>
          <w:lang w:val="en-US" w:eastAsia="zh-CN"/>
        </w:rPr>
        <w:t>280.01</w:t>
      </w:r>
      <w:r>
        <w:rPr>
          <w:rFonts w:hint="eastAsia" w:ascii="仿宋_GB2312" w:hAnsi="仿宋_GB2312" w:eastAsia="仿宋_GB2312" w:cs="仿宋_GB2312"/>
          <w:bCs/>
          <w:color w:val="auto"/>
          <w:sz w:val="32"/>
          <w:szCs w:val="32"/>
          <w:highlight w:val="none"/>
          <w:lang w:val="en-US" w:eastAsia="zh-CN"/>
        </w:rPr>
        <w:t>亿元。经评价，</w:t>
      </w:r>
      <w:r>
        <w:rPr>
          <w:rFonts w:hint="default" w:ascii="Times New Roman" w:hAnsi="Times New Roman" w:eastAsia="仿宋_GB2312" w:cs="Times New Roman"/>
          <w:bCs/>
          <w:color w:val="auto"/>
          <w:sz w:val="32"/>
          <w:szCs w:val="32"/>
          <w:highlight w:val="none"/>
          <w:lang w:val="en-US" w:eastAsia="zh-CN"/>
        </w:rPr>
        <w:t>22</w:t>
      </w:r>
      <w:r>
        <w:rPr>
          <w:rFonts w:hint="eastAsia" w:ascii="仿宋_GB2312" w:hAnsi="仿宋_GB2312" w:eastAsia="仿宋_GB2312" w:cs="仿宋_GB2312"/>
          <w:bCs/>
          <w:color w:val="auto"/>
          <w:sz w:val="32"/>
          <w:szCs w:val="32"/>
          <w:highlight w:val="none"/>
          <w:lang w:val="en-US" w:eastAsia="zh-CN"/>
        </w:rPr>
        <w:t>个部门绩效等级分别为</w:t>
      </w:r>
      <w:r>
        <w:rPr>
          <w:rFonts w:hint="default" w:ascii="Times New Roman" w:hAnsi="Times New Roman" w:eastAsia="仿宋_GB2312" w:cs="Times New Roman"/>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val="en-US" w:eastAsia="zh-CN"/>
        </w:rPr>
        <w:t>个优、</w:t>
      </w:r>
      <w:r>
        <w:rPr>
          <w:rFonts w:hint="default" w:ascii="Times New Roman" w:hAnsi="Times New Roman" w:eastAsia="仿宋_GB2312" w:cs="Times New Roman"/>
          <w:bCs/>
          <w:color w:val="auto"/>
          <w:sz w:val="32"/>
          <w:szCs w:val="32"/>
          <w:highlight w:val="none"/>
          <w:lang w:val="en-US" w:eastAsia="zh-CN"/>
        </w:rPr>
        <w:t>18</w:t>
      </w:r>
      <w:r>
        <w:rPr>
          <w:rFonts w:hint="eastAsia" w:ascii="仿宋_GB2312" w:hAnsi="仿宋_GB2312" w:eastAsia="仿宋_GB2312" w:cs="仿宋_GB2312"/>
          <w:bCs/>
          <w:color w:val="auto"/>
          <w:sz w:val="32"/>
          <w:szCs w:val="32"/>
          <w:highlight w:val="none"/>
          <w:lang w:val="en-US" w:eastAsia="zh-CN"/>
        </w:rPr>
        <w:t>个良、</w:t>
      </w:r>
      <w:r>
        <w:rPr>
          <w:rFonts w:hint="default" w:ascii="Times New Roman" w:hAnsi="Times New Roman" w:eastAsia="仿宋_GB2312" w:cs="Times New Roman"/>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val="en-US" w:eastAsia="zh-CN"/>
        </w:rPr>
        <w:t>个中，预算平均完成率为</w:t>
      </w:r>
      <w:r>
        <w:rPr>
          <w:rFonts w:hint="default" w:ascii="Times New Roman" w:hAnsi="Times New Roman" w:eastAsia="仿宋_GB2312" w:cs="Times New Roman"/>
          <w:bCs/>
          <w:color w:val="auto"/>
          <w:sz w:val="32"/>
          <w:szCs w:val="32"/>
          <w:highlight w:val="none"/>
          <w:lang w:val="en-US" w:eastAsia="zh-CN"/>
        </w:rPr>
        <w:t>94.29%</w:t>
      </w:r>
      <w:r>
        <w:rPr>
          <w:rFonts w:hint="eastAsia" w:ascii="仿宋_GB2312" w:hAnsi="仿宋_GB2312" w:eastAsia="仿宋_GB2312" w:cs="仿宋_GB2312"/>
          <w:bCs/>
          <w:color w:val="auto"/>
          <w:sz w:val="32"/>
          <w:szCs w:val="32"/>
          <w:highlight w:val="none"/>
          <w:lang w:val="en-US" w:eastAsia="zh-CN"/>
        </w:rPr>
        <w:t>。</w:t>
      </w:r>
    </w:p>
    <w:p w14:paraId="0DD6DB22">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2"/>
          <w:sz w:val="32"/>
          <w:szCs w:val="32"/>
          <w:highlight w:val="none"/>
          <w:shd w:val="clear" w:color="auto" w:fill="auto"/>
          <w:lang w:val="en-US" w:eastAsia="zh-CN" w:bidi="ar"/>
        </w:rPr>
      </w:pPr>
      <w:r>
        <w:rPr>
          <w:rFonts w:hint="eastAsia" w:ascii="楷体_GB2312" w:hAnsi="楷体_GB2312" w:eastAsia="楷体_GB2312" w:cs="楷体_GB2312"/>
          <w:b w:val="0"/>
          <w:bCs w:val="0"/>
          <w:color w:val="auto"/>
          <w:kern w:val="2"/>
          <w:sz w:val="32"/>
          <w:szCs w:val="32"/>
          <w:highlight w:val="none"/>
          <w:shd w:val="clear" w:color="auto" w:fill="auto"/>
          <w:lang w:val="en-US" w:eastAsia="zh-CN" w:bidi="ar"/>
        </w:rPr>
        <w:t>（二）取得的成效</w:t>
      </w:r>
    </w:p>
    <w:p w14:paraId="1D484270">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3" w:firstLineChars="200"/>
        <w:jc w:val="both"/>
        <w:textAlignment w:val="auto"/>
        <w:rPr>
          <w:rFonts w:hint="eastAsia" w:ascii="Times New Roman" w:hAnsi="Times New Roman" w:eastAsia="仿宋_GB2312"/>
          <w:snapToGrid w:val="0"/>
          <w:color w:val="auto"/>
          <w:kern w:val="0"/>
          <w:sz w:val="32"/>
          <w:szCs w:val="32"/>
        </w:rPr>
      </w:pPr>
      <w:r>
        <w:rPr>
          <w:rFonts w:hint="default" w:ascii="Times New Roman" w:hAnsi="Times New Roman" w:eastAsia="仿宋_GB2312" w:cs="Times New Roman"/>
          <w:b/>
          <w:bCs w:val="0"/>
          <w:color w:val="auto"/>
          <w:sz w:val="32"/>
          <w:szCs w:val="32"/>
          <w:highlight w:val="none"/>
          <w:lang w:val="en-US" w:eastAsia="zh-CN"/>
        </w:rPr>
        <w:t>1.</w:t>
      </w:r>
      <w:r>
        <w:rPr>
          <w:rFonts w:hint="eastAsia" w:ascii="仿宋_GB2312" w:hAnsi="仿宋_GB2312" w:eastAsia="仿宋_GB2312" w:cs="仿宋_GB2312"/>
          <w:b/>
          <w:bCs w:val="0"/>
          <w:color w:val="auto"/>
          <w:sz w:val="32"/>
          <w:szCs w:val="32"/>
          <w:highlight w:val="none"/>
          <w:lang w:val="en-US" w:eastAsia="zh-CN"/>
        </w:rPr>
        <w:t>民生工程方面。</w:t>
      </w:r>
      <w:r>
        <w:rPr>
          <w:rFonts w:hint="eastAsia" w:ascii="仿宋_GB2312" w:hAnsi="仿宋_GB2312" w:eastAsia="仿宋_GB2312" w:cs="仿宋_GB2312"/>
          <w:b/>
          <w:bCs w:val="0"/>
          <w:color w:val="auto"/>
          <w:sz w:val="32"/>
          <w:szCs w:val="32"/>
          <w:highlight w:val="none"/>
          <w:lang w:val="en-US" w:eastAsia="zh-CN" w:bidi="ar"/>
        </w:rPr>
        <w:t>一是</w:t>
      </w:r>
      <w:r>
        <w:rPr>
          <w:rFonts w:eastAsia="仿宋_GB2312"/>
          <w:snapToGrid w:val="0"/>
          <w:color w:val="auto"/>
          <w:kern w:val="0"/>
          <w:sz w:val="32"/>
          <w:szCs w:val="32"/>
        </w:rPr>
        <w:t>区建设中心</w:t>
      </w:r>
      <w:r>
        <w:rPr>
          <w:rFonts w:hint="eastAsia" w:ascii="Times New Roman" w:hAnsi="Times New Roman" w:eastAsia="仿宋_GB2312" w:cs="Times New Roman"/>
          <w:snapToGrid w:val="0"/>
          <w:color w:val="auto"/>
          <w:kern w:val="0"/>
          <w:sz w:val="32"/>
          <w:szCs w:val="32"/>
        </w:rPr>
        <w:t>真抓实干加速各项目完工投用。中山大学附属第一（南沙）医院项目正式开业运营、广东省中医院南沙医院项目圆满完成614首期试业区域建设任务等16个项目顺利完工，实现一批项目早开工、早见效。榄核镇万安泵闸、榄核镇雁沙东泵闸等11个项目工程完工。</w:t>
      </w:r>
      <w:r>
        <w:rPr>
          <w:rFonts w:hint="eastAsia" w:ascii="Times New Roman" w:hAnsi="Times New Roman" w:eastAsia="仿宋_GB2312" w:cs="Times New Roman"/>
          <w:b/>
          <w:bCs/>
          <w:snapToGrid w:val="0"/>
          <w:color w:val="auto"/>
          <w:kern w:val="0"/>
          <w:sz w:val="32"/>
          <w:szCs w:val="32"/>
          <w:lang w:val="en-US" w:eastAsia="zh-CN"/>
        </w:rPr>
        <w:t>二是</w:t>
      </w:r>
      <w:r>
        <w:rPr>
          <w:rFonts w:hint="eastAsia" w:ascii="Times New Roman" w:hAnsi="Times New Roman" w:eastAsia="仿宋_GB2312" w:cs="Times New Roman"/>
          <w:snapToGrid w:val="0"/>
          <w:color w:val="auto"/>
          <w:kern w:val="0"/>
          <w:sz w:val="32"/>
          <w:szCs w:val="32"/>
        </w:rPr>
        <w:t>区</w:t>
      </w:r>
      <w:r>
        <w:rPr>
          <w:rFonts w:hint="eastAsia" w:ascii="Times New Roman" w:hAnsi="Times New Roman" w:eastAsia="仿宋_GB2312" w:cs="Times New Roman"/>
          <w:snapToGrid w:val="0"/>
          <w:color w:val="auto"/>
          <w:kern w:val="0"/>
          <w:sz w:val="32"/>
          <w:szCs w:val="32"/>
          <w:lang w:val="en-US" w:eastAsia="zh-CN"/>
        </w:rPr>
        <w:t>规自局完成大岗镇佛岗山崩塌地质灾害隐患点治理工程项目，</w:t>
      </w:r>
      <w:r>
        <w:rPr>
          <w:rFonts w:hint="eastAsia" w:ascii="Times New Roman" w:hAnsi="Times New Roman" w:eastAsia="仿宋_GB2312" w:cs="Times New Roman"/>
          <w:kern w:val="0"/>
          <w:sz w:val="32"/>
          <w:szCs w:val="32"/>
          <w:highlight w:val="none"/>
          <w:lang w:val="en-US" w:eastAsia="zh-CN" w:bidi="ar-SA"/>
        </w:rPr>
        <w:t>对</w:t>
      </w:r>
      <w:r>
        <w:rPr>
          <w:rFonts w:hint="eastAsia" w:ascii="Times New Roman" w:hAnsi="Times New Roman" w:eastAsia="仿宋_GB2312" w:cs="Times New Roman"/>
          <w:kern w:val="0"/>
          <w:sz w:val="32"/>
          <w:szCs w:val="32"/>
          <w:highlight w:val="none"/>
          <w:lang w:val="zh-CN" w:eastAsia="zh-CN" w:bidi="ar-SA"/>
        </w:rPr>
        <w:t>该隐患点地质灾害综合治理措施</w:t>
      </w:r>
      <w:r>
        <w:rPr>
          <w:rFonts w:hint="eastAsia" w:ascii="Times New Roman" w:hAnsi="Times New Roman" w:eastAsia="仿宋_GB2312" w:cs="Times New Roman"/>
          <w:kern w:val="0"/>
          <w:sz w:val="32"/>
          <w:szCs w:val="32"/>
          <w:highlight w:val="none"/>
          <w:lang w:val="en-US" w:eastAsia="zh-CN" w:bidi="ar-SA"/>
        </w:rPr>
        <w:t>采用</w:t>
      </w:r>
      <w:r>
        <w:rPr>
          <w:rFonts w:hint="default" w:ascii="Times New Roman" w:hAnsi="Times New Roman" w:eastAsia="仿宋_GB2312" w:cs="Times New Roman"/>
          <w:kern w:val="0"/>
          <w:sz w:val="32"/>
          <w:szCs w:val="32"/>
          <w:highlight w:val="none"/>
          <w:lang w:val="zh-CN" w:eastAsia="zh-CN" w:bidi="ar-SA"/>
        </w:rPr>
        <w:t>“工程治理+避险搬迁”治理</w:t>
      </w:r>
      <w:r>
        <w:rPr>
          <w:rFonts w:hint="eastAsia" w:ascii="Times New Roman" w:hAnsi="Times New Roman" w:eastAsia="仿宋_GB2312" w:cs="Times New Roman"/>
          <w:kern w:val="0"/>
          <w:sz w:val="32"/>
          <w:szCs w:val="32"/>
          <w:highlight w:val="none"/>
          <w:lang w:val="en-US" w:eastAsia="zh-CN" w:bidi="ar-SA"/>
        </w:rPr>
        <w:t>方式</w:t>
      </w:r>
      <w:r>
        <w:rPr>
          <w:rFonts w:hint="default" w:ascii="Times New Roman" w:hAnsi="Times New Roman" w:eastAsia="仿宋_GB2312" w:cs="Times New Roman"/>
          <w:kern w:val="0"/>
          <w:sz w:val="32"/>
          <w:szCs w:val="32"/>
          <w:highlight w:val="none"/>
          <w:lang w:val="zh-CN" w:eastAsia="zh-CN" w:bidi="ar-SA"/>
        </w:rPr>
        <w:t>，</w:t>
      </w:r>
      <w:r>
        <w:rPr>
          <w:rFonts w:hint="eastAsia" w:ascii="Times New Roman" w:hAnsi="Times New Roman" w:eastAsia="仿宋_GB2312" w:cs="Times New Roman"/>
          <w:kern w:val="0"/>
          <w:sz w:val="32"/>
          <w:szCs w:val="32"/>
          <w:highlight w:val="none"/>
          <w:lang w:val="en-US" w:eastAsia="zh-CN" w:bidi="ar-SA"/>
        </w:rPr>
        <w:t>即</w:t>
      </w:r>
      <w:r>
        <w:rPr>
          <w:rFonts w:hint="default" w:ascii="Times New Roman" w:hAnsi="Times New Roman" w:eastAsia="仿宋_GB2312" w:cs="Times New Roman"/>
          <w:kern w:val="0"/>
          <w:sz w:val="32"/>
          <w:szCs w:val="32"/>
          <w:highlight w:val="none"/>
          <w:lang w:val="zh-CN" w:eastAsia="zh-CN" w:bidi="ar-SA"/>
        </w:rPr>
        <w:t>通过政府主导实施避险搬迁，并同步开展应急抢险救灾工程治理。</w:t>
      </w:r>
      <w:r>
        <w:rPr>
          <w:rFonts w:hint="default" w:ascii="Times New Roman" w:hAnsi="Times New Roman" w:eastAsia="仿宋_GB2312" w:cs="仿宋_GB2312"/>
          <w:color w:val="auto"/>
          <w:kern w:val="0"/>
          <w:sz w:val="32"/>
          <w:szCs w:val="32"/>
          <w:highlight w:val="none"/>
          <w:lang w:val="zh-CN" w:eastAsia="zh-CN"/>
        </w:rPr>
        <w:t>综合治理总面积约47704平方米，支护总长度沿坡脚长约1200</w:t>
      </w:r>
      <w:r>
        <w:rPr>
          <w:rFonts w:hint="eastAsia" w:eastAsia="仿宋_GB2312" w:cs="仿宋_GB2312"/>
          <w:color w:val="auto"/>
          <w:kern w:val="0"/>
          <w:sz w:val="32"/>
          <w:szCs w:val="32"/>
          <w:highlight w:val="none"/>
          <w:lang w:val="zh-CN" w:eastAsia="zh-CN"/>
        </w:rPr>
        <w:t>米</w:t>
      </w:r>
      <w:r>
        <w:rPr>
          <w:rFonts w:hint="default" w:ascii="Times New Roman" w:hAnsi="Times New Roman" w:eastAsia="仿宋_GB2312" w:cs="仿宋_GB2312"/>
          <w:color w:val="auto"/>
          <w:kern w:val="0"/>
          <w:sz w:val="32"/>
          <w:szCs w:val="32"/>
          <w:highlight w:val="none"/>
          <w:lang w:val="zh-CN" w:eastAsia="zh-CN"/>
        </w:rPr>
        <w:t>，主要采取清除危岩体、坡脚被动拦挡、截排水、主动防护网、挡土墙、锚杆+格构梁、绿化等治理措施</w:t>
      </w:r>
      <w:r>
        <w:rPr>
          <w:rFonts w:hint="eastAsia" w:ascii="Times New Roman" w:hAnsi="Times New Roman" w:eastAsia="仿宋_GB2312" w:cs="仿宋_GB2312"/>
          <w:color w:val="auto"/>
          <w:kern w:val="0"/>
          <w:sz w:val="32"/>
          <w:szCs w:val="32"/>
          <w:highlight w:val="none"/>
          <w:lang w:val="zh-CN" w:eastAsia="zh-CN"/>
        </w:rPr>
        <w:t>，消除地质灾害隐患，项目产生社会效益较明显</w:t>
      </w:r>
      <w:r>
        <w:rPr>
          <w:rFonts w:hint="eastAsia" w:ascii="Times New Roman" w:hAnsi="Times New Roman" w:eastAsia="仿宋_GB2312" w:cs="Times New Roman"/>
          <w:snapToGrid w:val="0"/>
          <w:color w:val="auto"/>
          <w:kern w:val="0"/>
          <w:sz w:val="32"/>
          <w:szCs w:val="32"/>
        </w:rPr>
        <w:t>。</w:t>
      </w:r>
      <w:r>
        <w:rPr>
          <w:rFonts w:hint="eastAsia" w:ascii="仿宋_GB2312" w:hAnsi="仿宋_GB2312" w:eastAsia="仿宋_GB2312" w:cs="仿宋_GB2312"/>
          <w:b/>
          <w:bCs w:val="0"/>
          <w:color w:val="auto"/>
          <w:sz w:val="32"/>
          <w:szCs w:val="32"/>
          <w:highlight w:val="none"/>
          <w:lang w:val="en-US" w:eastAsia="zh-CN" w:bidi="ar"/>
        </w:rPr>
        <w:t>三是</w:t>
      </w:r>
      <w:r>
        <w:rPr>
          <w:rFonts w:hint="eastAsia" w:ascii="Times New Roman" w:hAnsi="Times New Roman" w:eastAsia="仿宋_GB2312" w:cs="Times New Roman"/>
          <w:snapToGrid w:val="0"/>
          <w:color w:val="auto"/>
          <w:kern w:val="0"/>
          <w:sz w:val="32"/>
          <w:szCs w:val="32"/>
          <w:lang w:val="en-US" w:eastAsia="zh-CN"/>
        </w:rPr>
        <w:t>区住建局安居保障服务能力不断提升，落实</w:t>
      </w:r>
      <w:r>
        <w:rPr>
          <w:rFonts w:hint="default" w:ascii="Times New Roman" w:hAnsi="Times New Roman" w:eastAsia="仿宋_GB2312" w:cs="Times New Roman"/>
          <w:snapToGrid w:val="0"/>
          <w:color w:val="auto"/>
          <w:kern w:val="0"/>
          <w:sz w:val="32"/>
          <w:szCs w:val="32"/>
          <w:lang w:val="en-US" w:eastAsia="zh-CN"/>
        </w:rPr>
        <w:t>“</w:t>
      </w:r>
      <w:r>
        <w:rPr>
          <w:rFonts w:hint="eastAsia" w:ascii="Times New Roman" w:hAnsi="Times New Roman" w:eastAsia="仿宋_GB2312" w:cs="Times New Roman"/>
          <w:snapToGrid w:val="0"/>
          <w:color w:val="auto"/>
          <w:kern w:val="0"/>
          <w:sz w:val="32"/>
          <w:szCs w:val="32"/>
          <w:lang w:val="en-US" w:eastAsia="zh-CN"/>
        </w:rPr>
        <w:t>认房不认贷</w:t>
      </w:r>
      <w:r>
        <w:rPr>
          <w:rFonts w:hint="default" w:ascii="Times New Roman" w:hAnsi="Times New Roman" w:eastAsia="仿宋_GB2312" w:cs="Times New Roman"/>
          <w:snapToGrid w:val="0"/>
          <w:color w:val="auto"/>
          <w:kern w:val="0"/>
          <w:sz w:val="32"/>
          <w:szCs w:val="32"/>
          <w:lang w:val="en-US" w:eastAsia="zh-CN"/>
        </w:rPr>
        <w:t>”</w:t>
      </w:r>
      <w:r>
        <w:rPr>
          <w:rFonts w:hint="eastAsia" w:ascii="Times New Roman" w:hAnsi="Times New Roman" w:eastAsia="仿宋_GB2312" w:cs="Times New Roman"/>
          <w:snapToGrid w:val="0"/>
          <w:color w:val="auto"/>
          <w:kern w:val="0"/>
          <w:sz w:val="32"/>
          <w:szCs w:val="32"/>
          <w:lang w:val="en-US" w:eastAsia="zh-CN"/>
        </w:rPr>
        <w:t>政策，优化调整购房政策，解决重点企业员工和人才购房需求，成交商品房763套；积极引导房地产企业和金融机构为港澳人士在南沙购房提供首付结汇、外币按揭等金融服务，打通港澳人士购房资金结汇堵点，助推港澳人士在南沙完成置业37套，推动全区房地产市场平稳健康发展。住房保障扎实有力，在领公租房租赁补贴户数超900户，按城镇户籍家庭实际申请户数做到应保尽保；筹集认定保障性租赁住房超万套，推出供应人才公寓1535套（含港澳新青寓478套），为在南沙工作创业人才和粤港澳青年提供安居保障</w:t>
      </w:r>
      <w:r>
        <w:rPr>
          <w:rFonts w:hint="eastAsia" w:ascii="Times New Roman" w:hAnsi="Times New Roman" w:eastAsia="仿宋_GB2312" w:cs="Times New Roman"/>
          <w:snapToGrid w:val="0"/>
          <w:color w:val="auto"/>
          <w:kern w:val="0"/>
          <w:sz w:val="32"/>
          <w:szCs w:val="32"/>
          <w:lang w:val="en-US" w:eastAsia="zh-CN" w:bidi="ar"/>
        </w:rPr>
        <w:t>。</w:t>
      </w:r>
    </w:p>
    <w:p w14:paraId="03442936">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3" w:firstLineChars="200"/>
        <w:jc w:val="both"/>
        <w:textAlignment w:val="auto"/>
        <w:rPr>
          <w:rFonts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b/>
          <w:bCs w:val="0"/>
          <w:color w:val="auto"/>
          <w:sz w:val="32"/>
          <w:szCs w:val="32"/>
          <w:highlight w:val="none"/>
          <w:lang w:val="en-US" w:eastAsia="zh-CN"/>
        </w:rPr>
        <w:t>2.</w:t>
      </w:r>
      <w:r>
        <w:rPr>
          <w:rFonts w:hint="eastAsia" w:ascii="Times New Roman" w:hAnsi="Times New Roman" w:eastAsia="仿宋_GB2312"/>
          <w:b/>
          <w:bCs/>
          <w:color w:val="auto"/>
          <w:sz w:val="32"/>
          <w:szCs w:val="32"/>
          <w:shd w:val="clear"/>
        </w:rPr>
        <w:t>产业扶持方面</w:t>
      </w:r>
      <w:r>
        <w:rPr>
          <w:rFonts w:hint="eastAsia" w:ascii="Times New Roman" w:hAnsi="Times New Roman" w:eastAsia="仿宋_GB2312"/>
          <w:color w:val="auto"/>
          <w:sz w:val="32"/>
          <w:szCs w:val="32"/>
          <w:shd w:val="clear"/>
          <w:lang w:eastAsia="zh-CN"/>
        </w:rPr>
        <w:t>。</w:t>
      </w:r>
      <w:r>
        <w:rPr>
          <w:rFonts w:hint="eastAsia" w:ascii="仿宋_GB2312" w:hAnsi="仿宋_GB2312" w:eastAsia="仿宋_GB2312" w:cs="仿宋_GB2312"/>
          <w:b/>
          <w:bCs w:val="0"/>
          <w:color w:val="auto"/>
          <w:sz w:val="32"/>
          <w:szCs w:val="32"/>
          <w:highlight w:val="none"/>
          <w:lang w:val="en-US" w:eastAsia="zh-CN" w:bidi="ar"/>
        </w:rPr>
        <w:t>一是</w:t>
      </w:r>
      <w:r>
        <w:rPr>
          <w:rFonts w:hint="eastAsia" w:ascii="Times New Roman" w:hAnsi="Times New Roman" w:eastAsia="仿宋_GB2312" w:cs="Times New Roman"/>
          <w:b w:val="0"/>
          <w:bCs w:val="0"/>
          <w:snapToGrid w:val="0"/>
          <w:color w:val="auto"/>
          <w:kern w:val="0"/>
          <w:sz w:val="32"/>
          <w:szCs w:val="32"/>
          <w:lang w:val="en-US" w:eastAsia="zh-CN"/>
        </w:rPr>
        <w:t>区科技局</w:t>
      </w:r>
      <w:r>
        <w:rPr>
          <w:rFonts w:hint="eastAsia" w:ascii="仿宋_GB2312" w:hAnsi="Times New Roman" w:eastAsia="仿宋_GB2312" w:cs="仿宋_GB2312"/>
          <w:kern w:val="2"/>
          <w:sz w:val="32"/>
          <w:szCs w:val="32"/>
          <w:lang w:val="en-US" w:eastAsia="zh-CN" w:bidi="ar"/>
        </w:rPr>
        <w:t>根据《广州南沙新区（自贸片区）促进科技创新产业发展扶持办法》《关于印发支持南沙科学城建设粤港澳大湾区综合性国家科学中心主要承载区若干政策措施的通知》《关于印发广州南沙新区（自贸片区）推动元宇宙生态发展九条措施的通知》《广州市南沙区科技计划项目管理办法》等有关政策措施，通过</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一事一议</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奖励、普惠性政策激励</w:t>
      </w:r>
      <w:r>
        <w:rPr>
          <w:rFonts w:hint="eastAsia" w:ascii="仿宋_GB2312" w:eastAsia="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科技项目揭榜攻坚的方式，对区内科技创新产业进行扶持，引导区内科研院所和科创企业、高水平大学进行技术创新，以技术创新赋能科技创新产业高质量发展。</w:t>
      </w:r>
      <w:r>
        <w:rPr>
          <w:rFonts w:hint="eastAsia" w:ascii="仿宋_GB2312" w:hAnsi="仿宋_GB2312" w:eastAsia="仿宋_GB2312" w:cs="仿宋_GB2312"/>
          <w:b/>
          <w:bCs w:val="0"/>
          <w:color w:val="auto"/>
          <w:sz w:val="32"/>
          <w:szCs w:val="32"/>
          <w:highlight w:val="none"/>
          <w:lang w:val="en-US" w:eastAsia="zh-CN" w:bidi="ar"/>
        </w:rPr>
        <w:t>二是</w:t>
      </w:r>
      <w:r>
        <w:rPr>
          <w:rFonts w:hint="eastAsia" w:ascii="仿宋_GB2312" w:hAnsi="Times New Roman" w:eastAsia="仿宋_GB2312" w:cs="仿宋_GB2312"/>
          <w:kern w:val="2"/>
          <w:sz w:val="32"/>
          <w:szCs w:val="32"/>
          <w:lang w:val="en-US" w:eastAsia="zh-CN" w:bidi="ar"/>
        </w:rPr>
        <w:t>区委统战部、区人社局、团区委</w:t>
      </w:r>
      <w:r>
        <w:rPr>
          <w:rFonts w:hint="eastAsia" w:ascii="Times New Roman" w:hAnsi="Times New Roman" w:eastAsia="仿宋_GB2312"/>
          <w:color w:val="auto"/>
          <w:sz w:val="32"/>
          <w:szCs w:val="32"/>
          <w:lang w:val="en-US" w:eastAsia="zh-CN"/>
        </w:rPr>
        <w:t>根据</w:t>
      </w:r>
      <w:r>
        <w:rPr>
          <w:rFonts w:hint="eastAsia" w:ascii="Times New Roman" w:hAnsi="Times New Roman" w:eastAsia="仿宋_GB2312"/>
          <w:color w:val="auto"/>
          <w:sz w:val="32"/>
          <w:szCs w:val="32"/>
        </w:rPr>
        <w:t>《关于印发广州南沙新区（自贸片区）鼓励支持港澳青年创业就业实施办法的通知》（穗南开管办规〔2022〕10号）</w:t>
      </w:r>
      <w:r>
        <w:rPr>
          <w:rFonts w:hint="eastAsia" w:eastAsia="仿宋_GB2312"/>
          <w:color w:val="auto"/>
          <w:sz w:val="32"/>
          <w:szCs w:val="32"/>
          <w:lang w:eastAsia="zh-CN"/>
        </w:rPr>
        <w:t>、</w:t>
      </w:r>
      <w:r>
        <w:rPr>
          <w:rFonts w:hint="eastAsia" w:ascii="Times New Roman" w:hAnsi="Times New Roman" w:eastAsia="仿宋_GB2312"/>
          <w:color w:val="auto"/>
          <w:sz w:val="32"/>
          <w:szCs w:val="32"/>
        </w:rPr>
        <w:t>《关于印发〈广州南沙新区（自贸片区）鼓励支持港澳青年创业就业实施细则〉的通知》（穗南开港澳规字〔2023〕1号），2023年产业扶持－港澳青创专项经费惠及港澳青年463人次，共奖励港澳青年683.69万元，占总项目的71.96%；惠及企业35家次，其中奖励港澳青创企业236.64万元，占总项目的24.89%</w:t>
      </w:r>
      <w:r>
        <w:rPr>
          <w:rFonts w:ascii="Times New Roman" w:hAnsi="Times New Roman" w:eastAsia="仿宋_GB2312"/>
          <w:color w:val="auto"/>
          <w:sz w:val="32"/>
          <w:szCs w:val="32"/>
        </w:rPr>
        <w:t>。</w:t>
      </w:r>
      <w:r>
        <w:rPr>
          <w:rFonts w:hint="eastAsia" w:ascii="Times New Roman" w:hAnsi="Times New Roman" w:eastAsia="仿宋_GB2312"/>
          <w:b/>
          <w:bCs/>
          <w:color w:val="auto"/>
          <w:sz w:val="32"/>
          <w:szCs w:val="32"/>
          <w:lang w:val="en-US" w:eastAsia="zh-CN"/>
        </w:rPr>
        <w:t>三是</w:t>
      </w:r>
      <w:r>
        <w:rPr>
          <w:rFonts w:hint="eastAsia" w:ascii="Times New Roman" w:hAnsi="Times New Roman" w:eastAsia="仿宋_GB2312" w:cs="Times New Roman"/>
          <w:snapToGrid w:val="0"/>
          <w:color w:val="auto"/>
          <w:kern w:val="0"/>
          <w:sz w:val="32"/>
          <w:szCs w:val="32"/>
        </w:rPr>
        <w:t>区人才发展局按照全区工作部署</w:t>
      </w:r>
      <w:r>
        <w:rPr>
          <w:rFonts w:hint="eastAsia"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牵头拟定全区人才发展相关政策</w:t>
      </w:r>
      <w:r>
        <w:rPr>
          <w:rFonts w:hint="eastAsia"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以粤港澳人才合作示范区和国际化人才特区为抓手</w:t>
      </w:r>
      <w:r>
        <w:rPr>
          <w:rFonts w:hint="eastAsia"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推进高层次人才、重点人才的引进和培养工作。《广州南沙新区</w:t>
      </w:r>
      <w:r>
        <w:rPr>
          <w:rFonts w:hint="eastAsia" w:ascii="仿宋_GB2312" w:hAnsi="仿宋_GB2312" w:eastAsia="仿宋_GB2312" w:cs="仿宋_GB2312"/>
          <w:snapToGrid w:val="0"/>
          <w:color w:val="auto"/>
          <w:kern w:val="0"/>
          <w:sz w:val="32"/>
          <w:szCs w:val="32"/>
        </w:rPr>
        <w:t>(</w:t>
      </w:r>
      <w:r>
        <w:rPr>
          <w:rFonts w:hint="eastAsia" w:ascii="Times New Roman" w:hAnsi="Times New Roman" w:eastAsia="仿宋_GB2312" w:cs="Times New Roman"/>
          <w:snapToGrid w:val="0"/>
          <w:color w:val="auto"/>
          <w:kern w:val="0"/>
          <w:sz w:val="32"/>
          <w:szCs w:val="32"/>
        </w:rPr>
        <w:t>自贸片区</w:t>
      </w:r>
      <w:r>
        <w:rPr>
          <w:rFonts w:hint="eastAsia" w:ascii="仿宋_GB2312" w:hAnsi="仿宋_GB2312" w:eastAsia="仿宋_GB2312" w:cs="仿宋_GB2312"/>
          <w:snapToGrid w:val="0"/>
          <w:color w:val="auto"/>
          <w:kern w:val="0"/>
          <w:sz w:val="32"/>
          <w:szCs w:val="32"/>
        </w:rPr>
        <w:t>)</w:t>
      </w:r>
      <w:r>
        <w:rPr>
          <w:rFonts w:hint="eastAsia" w:ascii="Times New Roman" w:hAnsi="Times New Roman" w:eastAsia="仿宋_GB2312" w:cs="Times New Roman"/>
          <w:snapToGrid w:val="0"/>
          <w:color w:val="auto"/>
          <w:kern w:val="0"/>
          <w:sz w:val="32"/>
          <w:szCs w:val="32"/>
        </w:rPr>
        <w:t>集聚人才创新发展若干措施实施细则》实施以来</w:t>
      </w:r>
      <w:r>
        <w:rPr>
          <w:rFonts w:hint="eastAsia"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南沙区高端领军人才、博士后科研人员、院士工作站及博士后站</w:t>
      </w:r>
      <w:r>
        <w:rPr>
          <w:rFonts w:hint="eastAsia" w:ascii="仿宋_GB2312" w:hAnsi="仿宋_GB2312" w:eastAsia="仿宋_GB2312" w:cs="仿宋_GB2312"/>
          <w:snapToGrid w:val="0"/>
          <w:color w:val="auto"/>
          <w:kern w:val="0"/>
          <w:sz w:val="32"/>
          <w:szCs w:val="32"/>
        </w:rPr>
        <w:t>(基地)</w:t>
      </w:r>
      <w:r>
        <w:rPr>
          <w:rFonts w:hint="eastAsia" w:ascii="Times New Roman" w:hAnsi="Times New Roman" w:eastAsia="仿宋_GB2312" w:cs="Times New Roman"/>
          <w:snapToGrid w:val="0"/>
          <w:color w:val="auto"/>
          <w:kern w:val="0"/>
          <w:sz w:val="32"/>
          <w:szCs w:val="32"/>
        </w:rPr>
        <w:t>数量均呈上升趋势。截至2</w:t>
      </w:r>
      <w:r>
        <w:rPr>
          <w:rFonts w:hint="eastAsia" w:ascii="Times New Roman" w:hAnsi="Times New Roman" w:eastAsia="仿宋_GB2312" w:cs="Times New Roman"/>
          <w:snapToGrid w:val="0"/>
          <w:color w:val="auto"/>
          <w:kern w:val="0"/>
          <w:sz w:val="32"/>
          <w:szCs w:val="32"/>
          <w:lang w:val="en-US" w:eastAsia="zh-CN"/>
        </w:rPr>
        <w:t>02</w:t>
      </w:r>
      <w:r>
        <w:rPr>
          <w:rFonts w:hint="eastAsia" w:ascii="Times New Roman" w:hAnsi="Times New Roman" w:eastAsia="仿宋_GB2312" w:cs="Times New Roman"/>
          <w:snapToGrid w:val="0"/>
          <w:color w:val="auto"/>
          <w:kern w:val="0"/>
          <w:sz w:val="32"/>
          <w:szCs w:val="32"/>
        </w:rPr>
        <w:t>3年底</w:t>
      </w:r>
      <w:r>
        <w:rPr>
          <w:rFonts w:hint="eastAsia"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南沙区高端领军人才</w:t>
      </w:r>
      <w:r>
        <w:rPr>
          <w:rFonts w:hint="eastAsia" w:eastAsia="仿宋_GB2312" w:cs="Times New Roman"/>
          <w:snapToGrid w:val="0"/>
          <w:color w:val="auto"/>
          <w:kern w:val="0"/>
          <w:sz w:val="32"/>
          <w:szCs w:val="32"/>
          <w:lang w:eastAsia="zh-CN"/>
        </w:rPr>
        <w:t>共计</w:t>
      </w:r>
      <w:r>
        <w:rPr>
          <w:rFonts w:hint="eastAsia" w:ascii="Times New Roman" w:hAnsi="Times New Roman" w:eastAsia="仿宋_GB2312" w:cs="Times New Roman"/>
          <w:snapToGrid w:val="0"/>
          <w:color w:val="auto"/>
          <w:kern w:val="0"/>
          <w:sz w:val="32"/>
          <w:szCs w:val="32"/>
        </w:rPr>
        <w:t>322名</w:t>
      </w:r>
      <w:r>
        <w:rPr>
          <w:rFonts w:hint="eastAsia"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增长率达231.96%</w:t>
      </w:r>
      <w:r>
        <w:rPr>
          <w:rFonts w:hint="eastAsia" w:ascii="仿宋_GB2312" w:hAnsi="仿宋_GB2312" w:eastAsia="仿宋_GB2312" w:cs="仿宋_GB2312"/>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新招收博士后科研人员共计287名</w:t>
      </w:r>
      <w:r>
        <w:rPr>
          <w:rFonts w:hint="eastAsia"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增长率达</w:t>
      </w:r>
      <w:r>
        <w:rPr>
          <w:rFonts w:hint="eastAsia" w:ascii="Times New Roman" w:hAnsi="Times New Roman" w:eastAsia="仿宋_GB2312" w:cs="Times New Roman"/>
          <w:snapToGrid w:val="0"/>
          <w:color w:val="auto"/>
          <w:kern w:val="0"/>
          <w:sz w:val="32"/>
          <w:szCs w:val="32"/>
          <w:lang w:val="en-US" w:eastAsia="zh-CN"/>
        </w:rPr>
        <w:t>205.25</w:t>
      </w:r>
      <w:r>
        <w:rPr>
          <w:rFonts w:hint="eastAsia" w:ascii="Times New Roman" w:hAnsi="Times New Roman" w:eastAsia="仿宋_GB2312" w:cs="Times New Roman"/>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博士后站</w:t>
      </w:r>
      <w:r>
        <w:rPr>
          <w:rFonts w:hint="eastAsia" w:ascii="仿宋_GB2312" w:hAnsi="仿宋_GB2312" w:eastAsia="仿宋_GB2312" w:cs="仿宋_GB2312"/>
          <w:snapToGrid w:val="0"/>
          <w:color w:val="auto"/>
          <w:kern w:val="0"/>
          <w:sz w:val="32"/>
          <w:szCs w:val="32"/>
        </w:rPr>
        <w:t>(基地</w:t>
      </w:r>
      <w:r>
        <w:rPr>
          <w:rFonts w:hint="eastAsia" w:ascii="仿宋_GB2312" w:hAnsi="仿宋_GB2312" w:eastAsia="仿宋_GB2312" w:cs="仿宋_GB2312"/>
          <w:snapToGrid w:val="0"/>
          <w:color w:val="auto"/>
          <w:kern w:val="0"/>
          <w:sz w:val="32"/>
          <w:szCs w:val="32"/>
          <w:lang w:eastAsia="zh-CN"/>
        </w:rPr>
        <w:t>）</w:t>
      </w:r>
      <w:r>
        <w:rPr>
          <w:rFonts w:hint="eastAsia" w:eastAsia="仿宋_GB2312" w:cs="Times New Roman"/>
          <w:snapToGrid w:val="0"/>
          <w:color w:val="auto"/>
          <w:kern w:val="0"/>
          <w:sz w:val="32"/>
          <w:szCs w:val="32"/>
          <w:lang w:val="en-US" w:eastAsia="zh-CN"/>
        </w:rPr>
        <w:t>33</w:t>
      </w:r>
      <w:r>
        <w:rPr>
          <w:rFonts w:hint="eastAsia" w:ascii="Times New Roman" w:hAnsi="Times New Roman" w:eastAsia="仿宋_GB2312" w:cs="Times New Roman"/>
          <w:snapToGrid w:val="0"/>
          <w:color w:val="auto"/>
          <w:kern w:val="0"/>
          <w:sz w:val="32"/>
          <w:szCs w:val="32"/>
        </w:rPr>
        <w:t>个</w:t>
      </w:r>
      <w:r>
        <w:rPr>
          <w:rFonts w:hint="eastAsia"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增长率为123.53%</w:t>
      </w:r>
      <w:r>
        <w:rPr>
          <w:rFonts w:hint="eastAsia" w:ascii="仿宋_GB2312" w:hAnsi="仿宋_GB2312" w:eastAsia="仿宋_GB2312" w:cs="仿宋_GB2312"/>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院士工作站6个</w:t>
      </w:r>
      <w:r>
        <w:rPr>
          <w:rFonts w:hint="eastAsia"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rPr>
        <w:t>增长率为</w:t>
      </w:r>
      <w:r>
        <w:rPr>
          <w:rFonts w:hint="eastAsia" w:ascii="Times New Roman" w:hAnsi="Times New Roman" w:eastAsia="仿宋_GB2312" w:cs="Times New Roman"/>
          <w:snapToGrid w:val="0"/>
          <w:color w:val="auto"/>
          <w:kern w:val="0"/>
          <w:sz w:val="32"/>
          <w:szCs w:val="32"/>
          <w:lang w:val="en-US" w:eastAsia="zh-CN"/>
        </w:rPr>
        <w:t>20</w:t>
      </w:r>
      <w:r>
        <w:rPr>
          <w:rFonts w:hint="eastAsia" w:ascii="Times New Roman" w:hAnsi="Times New Roman" w:eastAsia="仿宋_GB2312" w:cs="Times New Roman"/>
          <w:snapToGrid w:val="0"/>
          <w:color w:val="auto"/>
          <w:kern w:val="0"/>
          <w:sz w:val="32"/>
          <w:szCs w:val="32"/>
        </w:rPr>
        <w:t>%</w:t>
      </w:r>
      <w:r>
        <w:rPr>
          <w:rFonts w:ascii="Times New Roman" w:hAnsi="Times New Roman" w:eastAsia="仿宋_GB2312" w:cs="Times New Roman"/>
          <w:snapToGrid w:val="0"/>
          <w:color w:val="auto"/>
          <w:kern w:val="0"/>
          <w:sz w:val="32"/>
          <w:szCs w:val="32"/>
        </w:rPr>
        <w:t>。</w:t>
      </w:r>
    </w:p>
    <w:p w14:paraId="386F7397">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3" w:firstLineChars="200"/>
        <w:jc w:val="both"/>
        <w:textAlignment w:val="auto"/>
        <w:rPr>
          <w:rFonts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b/>
          <w:bCs w:val="0"/>
          <w:color w:val="auto"/>
          <w:sz w:val="32"/>
          <w:szCs w:val="32"/>
          <w:highlight w:val="none"/>
          <w:lang w:val="en-US" w:eastAsia="zh-CN"/>
        </w:rPr>
        <w:t>3.</w:t>
      </w:r>
      <w:r>
        <w:rPr>
          <w:rFonts w:hint="eastAsia" w:ascii="仿宋_GB2312" w:hAnsi="仿宋_GB2312" w:eastAsia="仿宋_GB2312" w:cs="仿宋_GB2312"/>
          <w:b/>
          <w:bCs/>
          <w:color w:val="auto"/>
          <w:sz w:val="32"/>
          <w:szCs w:val="32"/>
          <w:shd w:val="clear"/>
          <w:lang w:val="en-US" w:eastAsia="zh-CN"/>
        </w:rPr>
        <w:t>招商引资方面</w:t>
      </w:r>
      <w:r>
        <w:rPr>
          <w:rFonts w:hint="eastAsia" w:ascii="仿宋_GB2312" w:hAnsi="仿宋_GB2312" w:eastAsia="仿宋_GB2312" w:cs="仿宋_GB2312"/>
          <w:b w:val="0"/>
          <w:bCs w:val="0"/>
          <w:color w:val="auto"/>
          <w:sz w:val="32"/>
          <w:szCs w:val="32"/>
          <w:shd w:val="clear"/>
          <w:lang w:val="en-US" w:eastAsia="zh-CN"/>
        </w:rPr>
        <w:t>。</w:t>
      </w:r>
      <w:r>
        <w:rPr>
          <w:rFonts w:hint="eastAsia" w:ascii="仿宋_GB2312" w:hAnsi="仿宋_GB2312" w:eastAsia="仿宋_GB2312" w:cs="仿宋_GB2312"/>
          <w:b w:val="0"/>
          <w:bCs w:val="0"/>
          <w:color w:val="auto"/>
          <w:sz w:val="32"/>
          <w:szCs w:val="32"/>
          <w:lang w:val="en-US" w:eastAsia="zh-CN"/>
        </w:rPr>
        <w:t>区投促局聚焦南沙高质量发展，招商引资工作不断获得新提升，全年新签约项目</w:t>
      </w:r>
      <w:r>
        <w:rPr>
          <w:rFonts w:hint="default" w:ascii="Times New Roman" w:hAnsi="Times New Roman" w:eastAsia="仿宋_GB2312" w:cs="Times New Roman"/>
          <w:b w:val="0"/>
          <w:bCs w:val="0"/>
          <w:color w:val="auto"/>
          <w:sz w:val="32"/>
          <w:szCs w:val="32"/>
          <w:lang w:val="en-US" w:eastAsia="zh-CN"/>
        </w:rPr>
        <w:t>132</w:t>
      </w:r>
      <w:r>
        <w:rPr>
          <w:rFonts w:hint="eastAsia" w:ascii="仿宋_GB2312" w:hAnsi="仿宋_GB2312" w:eastAsia="仿宋_GB2312" w:cs="仿宋_GB2312"/>
          <w:b w:val="0"/>
          <w:bCs w:val="0"/>
          <w:color w:val="auto"/>
          <w:sz w:val="32"/>
          <w:szCs w:val="32"/>
          <w:lang w:val="en-US" w:eastAsia="zh-CN"/>
        </w:rPr>
        <w:t>个，其中投资额或产出达百亿级项目</w:t>
      </w:r>
      <w:r>
        <w:rPr>
          <w:rFonts w:hint="default" w:ascii="Times New Roman" w:hAnsi="Times New Roman" w:eastAsia="仿宋_GB2312" w:cs="Times New Roman"/>
          <w:b w:val="0"/>
          <w:bCs w:val="0"/>
          <w:color w:val="auto"/>
          <w:sz w:val="32"/>
          <w:szCs w:val="32"/>
          <w:lang w:val="en-US" w:eastAsia="zh-CN"/>
        </w:rPr>
        <w:t>17</w:t>
      </w:r>
      <w:r>
        <w:rPr>
          <w:rFonts w:hint="eastAsia" w:ascii="仿宋_GB2312" w:hAnsi="仿宋_GB2312" w:eastAsia="仿宋_GB2312" w:cs="仿宋_GB2312"/>
          <w:b w:val="0"/>
          <w:bCs w:val="0"/>
          <w:color w:val="auto"/>
          <w:sz w:val="32"/>
          <w:szCs w:val="32"/>
          <w:lang w:val="en-US" w:eastAsia="zh-CN"/>
        </w:rPr>
        <w:t>个，新引进世界</w:t>
      </w:r>
      <w:r>
        <w:rPr>
          <w:rFonts w:hint="default" w:ascii="Times New Roman" w:hAnsi="Times New Roman" w:eastAsia="仿宋_GB2312" w:cs="Times New Roman"/>
          <w:b w:val="0"/>
          <w:bCs w:val="0"/>
          <w:color w:val="auto"/>
          <w:sz w:val="32"/>
          <w:szCs w:val="32"/>
          <w:lang w:val="en-US" w:eastAsia="zh-CN"/>
        </w:rPr>
        <w:t>500</w:t>
      </w:r>
      <w:r>
        <w:rPr>
          <w:rFonts w:hint="eastAsia" w:ascii="仿宋_GB2312" w:hAnsi="仿宋_GB2312" w:eastAsia="仿宋_GB2312" w:cs="仿宋_GB2312"/>
          <w:b w:val="0"/>
          <w:bCs w:val="0"/>
          <w:color w:val="auto"/>
          <w:sz w:val="32"/>
          <w:szCs w:val="32"/>
          <w:lang w:val="en-US" w:eastAsia="zh-CN"/>
        </w:rPr>
        <w:t>强企业投资项目</w:t>
      </w:r>
      <w:r>
        <w:rPr>
          <w:rFonts w:hint="default" w:ascii="Times New Roman" w:hAnsi="Times New Roman" w:eastAsia="仿宋_GB2312" w:cs="Times New Roman"/>
          <w:b w:val="0"/>
          <w:bCs w:val="0"/>
          <w:color w:val="auto"/>
          <w:sz w:val="32"/>
          <w:szCs w:val="32"/>
          <w:lang w:val="en-US" w:eastAsia="zh-CN"/>
        </w:rPr>
        <w:t>29</w:t>
      </w:r>
      <w:r>
        <w:rPr>
          <w:rFonts w:hint="eastAsia" w:ascii="仿宋_GB2312" w:hAnsi="仿宋_GB2312" w:eastAsia="仿宋_GB2312" w:cs="仿宋_GB2312"/>
          <w:b w:val="0"/>
          <w:bCs w:val="0"/>
          <w:color w:val="auto"/>
          <w:sz w:val="32"/>
          <w:szCs w:val="32"/>
          <w:lang w:val="en-US" w:eastAsia="zh-CN"/>
        </w:rPr>
        <w:t>个，入选</w:t>
      </w:r>
      <w:r>
        <w:rPr>
          <w:rFonts w:hint="default" w:ascii="Times New Roman" w:hAnsi="Times New Roman" w:eastAsia="仿宋_GB2312" w:cs="Times New Roman"/>
          <w:b w:val="0"/>
          <w:bCs w:val="0"/>
          <w:color w:val="auto"/>
          <w:sz w:val="32"/>
          <w:szCs w:val="32"/>
          <w:lang w:val="en-US" w:eastAsia="zh-CN"/>
        </w:rPr>
        <w:t>2023</w:t>
      </w:r>
      <w:r>
        <w:rPr>
          <w:rFonts w:hint="eastAsia" w:ascii="仿宋_GB2312" w:hAnsi="仿宋_GB2312" w:eastAsia="仿宋_GB2312" w:cs="仿宋_GB2312"/>
          <w:b w:val="0"/>
          <w:bCs w:val="0"/>
          <w:color w:val="auto"/>
          <w:sz w:val="32"/>
          <w:szCs w:val="32"/>
          <w:lang w:val="en-US" w:eastAsia="zh-CN"/>
        </w:rPr>
        <w:t>中国投资热点城市。高规格开展招商推介，筹办广州国际投资年会南沙专场</w:t>
      </w:r>
      <w:r>
        <w:rPr>
          <w:rFonts w:hint="default" w:ascii="Times New Roman" w:hAnsi="Times New Roman" w:eastAsia="仿宋_GB2312" w:cs="Times New Roman"/>
          <w:b w:val="0"/>
          <w:bCs w:val="0"/>
          <w:color w:val="auto"/>
          <w:sz w:val="32"/>
          <w:szCs w:val="32"/>
          <w:lang w:val="en-US" w:eastAsia="zh-CN"/>
        </w:rPr>
        <w:t>、CNBC</w:t>
      </w:r>
      <w:r>
        <w:rPr>
          <w:rFonts w:hint="eastAsia" w:ascii="仿宋_GB2312" w:hAnsi="仿宋_GB2312" w:eastAsia="仿宋_GB2312" w:cs="仿宋_GB2312"/>
          <w:b w:val="0"/>
          <w:bCs w:val="0"/>
          <w:color w:val="auto"/>
          <w:sz w:val="32"/>
          <w:szCs w:val="32"/>
          <w:lang w:val="en-US" w:eastAsia="zh-CN"/>
        </w:rPr>
        <w:t>全球科技大会、</w:t>
      </w:r>
      <w:r>
        <w:rPr>
          <w:rFonts w:hint="default" w:ascii="Times New Roman" w:hAnsi="Times New Roman" w:eastAsia="仿宋_GB2312" w:cs="Times New Roman"/>
          <w:b w:val="0"/>
          <w:bCs w:val="0"/>
          <w:color w:val="auto"/>
          <w:sz w:val="32"/>
          <w:szCs w:val="32"/>
          <w:lang w:val="en-US" w:eastAsia="zh-CN"/>
        </w:rPr>
        <w:t>IC Nansha</w:t>
      </w:r>
      <w:r>
        <w:rPr>
          <w:rFonts w:hint="eastAsia" w:ascii="仿宋_GB2312" w:hAnsi="仿宋_GB2312" w:eastAsia="仿宋_GB2312" w:cs="仿宋_GB2312"/>
          <w:b w:val="0"/>
          <w:bCs w:val="0"/>
          <w:color w:val="auto"/>
          <w:sz w:val="32"/>
          <w:szCs w:val="32"/>
          <w:lang w:val="en-US" w:eastAsia="zh-CN"/>
        </w:rPr>
        <w:t>等重大招商活动，组队参加粤港澳全球招商大会以及厦洽会、投洽会、进博会等国际性投洽活动，对接意向项目超</w:t>
      </w:r>
      <w:r>
        <w:rPr>
          <w:rFonts w:hint="default" w:ascii="Times New Roman" w:hAnsi="Times New Roman" w:eastAsia="仿宋_GB2312" w:cs="Times New Roman"/>
          <w:b w:val="0"/>
          <w:bCs w:val="0"/>
          <w:color w:val="auto"/>
          <w:sz w:val="32"/>
          <w:szCs w:val="32"/>
          <w:lang w:val="en-US" w:eastAsia="zh-CN"/>
        </w:rPr>
        <w:t>900</w:t>
      </w:r>
      <w:r>
        <w:rPr>
          <w:rFonts w:hint="eastAsia" w:ascii="仿宋_GB2312" w:hAnsi="仿宋_GB2312" w:eastAsia="仿宋_GB2312" w:cs="仿宋_GB2312"/>
          <w:b w:val="0"/>
          <w:bCs w:val="0"/>
          <w:color w:val="auto"/>
          <w:sz w:val="32"/>
          <w:szCs w:val="32"/>
          <w:lang w:val="en-US" w:eastAsia="zh-CN"/>
        </w:rPr>
        <w:t>个，项目资源渠道进一步拓展。高位推动招商，区领导高位谋划、顶格推进，带队赴新加坡、日韩、阿联酋、沙特等国家以及北京、上海、杭州、港澳等地区开展对外招商，赴外拜访企业</w:t>
      </w:r>
      <w:r>
        <w:rPr>
          <w:rFonts w:hint="default" w:ascii="Times New Roman" w:hAnsi="Times New Roman" w:eastAsia="仿宋_GB2312" w:cs="Times New Roman"/>
          <w:b w:val="0"/>
          <w:bCs w:val="0"/>
          <w:color w:val="auto"/>
          <w:sz w:val="32"/>
          <w:szCs w:val="32"/>
          <w:lang w:val="en-US" w:eastAsia="zh-CN"/>
        </w:rPr>
        <w:t>194</w:t>
      </w:r>
      <w:r>
        <w:rPr>
          <w:rFonts w:hint="eastAsia" w:ascii="仿宋_GB2312" w:hAnsi="仿宋_GB2312" w:eastAsia="仿宋_GB2312" w:cs="仿宋_GB2312"/>
          <w:b w:val="0"/>
          <w:bCs w:val="0"/>
          <w:color w:val="auto"/>
          <w:sz w:val="32"/>
          <w:szCs w:val="32"/>
          <w:lang w:val="en-US" w:eastAsia="zh-CN"/>
        </w:rPr>
        <w:t>家,位列全市第一</w:t>
      </w:r>
      <w:r>
        <w:rPr>
          <w:rFonts w:hint="eastAsia" w:ascii="仿宋_GB2312" w:hAnsi="Times New Roman" w:eastAsia="仿宋_GB2312" w:cs="仿宋_GB2312"/>
          <w:color w:val="000000"/>
          <w:kern w:val="2"/>
          <w:sz w:val="32"/>
          <w:szCs w:val="32"/>
          <w:lang w:val="en-US" w:eastAsia="zh-CN" w:bidi="ar"/>
        </w:rPr>
        <w:t>。</w:t>
      </w:r>
    </w:p>
    <w:p w14:paraId="46A8F555">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bCs/>
          <w:snapToGrid w:val="0"/>
          <w:color w:val="auto"/>
          <w:kern w:val="0"/>
          <w:sz w:val="32"/>
          <w:szCs w:val="32"/>
          <w:shd w:val="clear"/>
          <w:lang w:val="en-US" w:eastAsia="zh-CN"/>
        </w:rPr>
        <w:t>4.</w:t>
      </w:r>
      <w:r>
        <w:rPr>
          <w:rFonts w:hint="eastAsia" w:ascii="Times New Roman" w:hAnsi="Times New Roman" w:eastAsia="仿宋_GB2312" w:cs="Times New Roman"/>
          <w:b/>
          <w:bCs/>
          <w:snapToGrid w:val="0"/>
          <w:color w:val="auto"/>
          <w:kern w:val="0"/>
          <w:sz w:val="32"/>
          <w:szCs w:val="32"/>
          <w:shd w:val="clear"/>
        </w:rPr>
        <w:t>民生实事方面</w:t>
      </w:r>
      <w:r>
        <w:rPr>
          <w:rFonts w:hint="eastAsia" w:ascii="Times New Roman" w:hAnsi="Times New Roman" w:eastAsia="仿宋_GB2312" w:cs="Times New Roman"/>
          <w:b/>
          <w:bCs/>
          <w:snapToGrid w:val="0"/>
          <w:color w:val="auto"/>
          <w:kern w:val="0"/>
          <w:sz w:val="32"/>
          <w:szCs w:val="32"/>
          <w:shd w:val="clear"/>
          <w:lang w:eastAsia="zh-CN"/>
        </w:rPr>
        <w:t>。</w:t>
      </w:r>
      <w:r>
        <w:rPr>
          <w:rFonts w:hint="eastAsia" w:ascii="Times New Roman" w:hAnsi="Times New Roman" w:eastAsia="仿宋_GB2312" w:cs="Times New Roman"/>
          <w:b/>
          <w:bCs/>
          <w:snapToGrid w:val="0"/>
          <w:color w:val="auto"/>
          <w:kern w:val="0"/>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区教育局</w:t>
      </w:r>
      <w:r>
        <w:rPr>
          <w:rFonts w:hint="default"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增加基础教育公办学位供给，保障适龄儿童入学需求</w:t>
      </w:r>
      <w:r>
        <w:rPr>
          <w:rFonts w:hint="default"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项目，支持南沙区公办幼儿园和中小学开办，增加公办学位供给，为新开办区属中小学和幼儿园做好设施设备购置和后勤服务委托等工作，支持学校采购厨卫用具、教学仪器、教师办公用具、家具等，以及在学校筹备期间为学校购买物业管理服务和安全管理服务，确保各学校和幼儿园能够顺利开学。</w:t>
      </w:r>
      <w:r>
        <w:rPr>
          <w:rFonts w:hint="default" w:ascii="Times New Roman" w:hAnsi="Times New Roman" w:eastAsia="仿宋_GB2312" w:cs="Times New Roman"/>
          <w:b w:val="0"/>
          <w:bCs w:val="0"/>
          <w:color w:val="auto"/>
          <w:sz w:val="32"/>
          <w:szCs w:val="32"/>
          <w:lang w:val="en-US" w:eastAsia="zh-CN"/>
        </w:rPr>
        <w:t>2023</w:t>
      </w:r>
      <w:r>
        <w:rPr>
          <w:rFonts w:hint="eastAsia" w:ascii="仿宋_GB2312" w:hAnsi="仿宋_GB2312" w:eastAsia="仿宋_GB2312" w:cs="仿宋_GB2312"/>
          <w:b w:val="0"/>
          <w:bCs w:val="0"/>
          <w:color w:val="auto"/>
          <w:sz w:val="32"/>
          <w:szCs w:val="32"/>
          <w:lang w:val="en-US" w:eastAsia="zh-CN"/>
        </w:rPr>
        <w:t>年南沙区新建、改扩建公办幼儿园完成基本建设数量达到</w:t>
      </w:r>
      <w:r>
        <w:rPr>
          <w:rFonts w:hint="default" w:ascii="Times New Roman" w:hAnsi="Times New Roman" w:eastAsia="仿宋_GB2312" w:cs="Times New Roman"/>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val="en-US" w:eastAsia="zh-CN"/>
        </w:rPr>
        <w:t>所，实际补助幼儿园（含</w:t>
      </w:r>
      <w:r>
        <w:rPr>
          <w:rFonts w:hint="default" w:ascii="Times New Roman" w:hAnsi="Times New Roman" w:eastAsia="仿宋_GB2312" w:cs="Times New Roman"/>
          <w:b w:val="0"/>
          <w:bCs w:val="0"/>
          <w:color w:val="auto"/>
          <w:sz w:val="32"/>
          <w:szCs w:val="32"/>
          <w:lang w:val="en-US" w:eastAsia="zh-CN"/>
        </w:rPr>
        <w:t>2022</w:t>
      </w:r>
      <w:r>
        <w:rPr>
          <w:rFonts w:hint="eastAsia" w:ascii="仿宋_GB2312" w:hAnsi="仿宋_GB2312" w:eastAsia="仿宋_GB2312" w:cs="仿宋_GB2312"/>
          <w:b w:val="0"/>
          <w:bCs w:val="0"/>
          <w:color w:val="auto"/>
          <w:sz w:val="32"/>
          <w:szCs w:val="32"/>
          <w:lang w:val="en-US" w:eastAsia="zh-CN"/>
        </w:rPr>
        <w:t>年新建）共</w:t>
      </w:r>
      <w:r>
        <w:rPr>
          <w:rFonts w:hint="default" w:ascii="Times New Roman" w:hAnsi="Times New Roman" w:eastAsia="仿宋_GB2312" w:cs="Times New Roman"/>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val="en-US" w:eastAsia="zh-CN"/>
        </w:rPr>
        <w:t>所，支持大岗实验小学、铁英小学、</w:t>
      </w:r>
      <w:r>
        <w:rPr>
          <w:rFonts w:hint="eastAsia" w:ascii="仿宋_GB2312" w:hAnsi="仿宋_GB2312" w:eastAsia="仿宋_GB2312" w:cs="仿宋_GB2312"/>
          <w:b w:val="0"/>
          <w:bCs w:val="0"/>
          <w:color w:val="auto"/>
          <w:sz w:val="32"/>
          <w:szCs w:val="32"/>
          <w:highlight w:val="none"/>
          <w:lang w:val="en-US" w:eastAsia="zh-CN"/>
        </w:rPr>
        <w:t>梅沙实验小学</w:t>
      </w:r>
      <w:r>
        <w:rPr>
          <w:rFonts w:hint="eastAsia" w:ascii="仿宋_GB2312" w:hAnsi="仿宋_GB2312" w:eastAsia="仿宋_GB2312" w:cs="仿宋_GB2312"/>
          <w:b w:val="0"/>
          <w:bCs w:val="0"/>
          <w:color w:val="auto"/>
          <w:sz w:val="32"/>
          <w:szCs w:val="32"/>
          <w:lang w:val="en-US" w:eastAsia="zh-CN"/>
        </w:rPr>
        <w:t>开办。</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区水务局</w:t>
      </w:r>
      <w:r>
        <w:rPr>
          <w:rFonts w:hint="default"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万顷沙、缸瓦沙联围防洪（潮）安全系统提升工程二期—洪奇沥水道、下横沥水道外江碧道建设工程</w:t>
      </w:r>
      <w:r>
        <w:rPr>
          <w:rFonts w:hint="default"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项目，</w:t>
      </w:r>
      <w:r>
        <w:rPr>
          <w:rFonts w:hint="default" w:ascii="仿宋_GB2312" w:hAnsi="仿宋_GB2312" w:eastAsia="仿宋_GB2312" w:cs="仿宋_GB2312"/>
          <w:b w:val="0"/>
          <w:bCs w:val="0"/>
          <w:color w:val="auto"/>
          <w:sz w:val="32"/>
          <w:szCs w:val="32"/>
          <w:lang w:val="en-US" w:eastAsia="zh-CN"/>
        </w:rPr>
        <w:t>通过项目的实施，对碧道沿线堤防进行达标加固，进一步完善了万顷沙围的防洪（潮）工程体系，有效保障围内居民生活不受洪涝侵害。通过建设慢行系统、休闲设施等，满足了公众亲近自然、强身健体及社会交往的需求，实现城乡景观和生活场所的连接。通过打造特色景观节点、增设亲水平台、休憩廊道等，提升了河道两岸的景观品质，部分碧道已成为城市中的亮丽风景线，成为公众喜游乐到的网红打卡点，有效提升居民的获得感、幸福感。</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区文广旅体局</w:t>
      </w:r>
      <w:r>
        <w:rPr>
          <w:rFonts w:hint="default" w:ascii="Times New Roman" w:hAnsi="Times New Roman" w:eastAsia="仿宋_GB2312" w:cs="Times New Roman"/>
          <w:b w:val="0"/>
          <w:bCs w:val="0"/>
          <w:color w:val="auto"/>
          <w:sz w:val="32"/>
          <w:szCs w:val="32"/>
          <w:lang w:val="en-US" w:eastAsia="zh-CN"/>
        </w:rPr>
        <w:t>2023</w:t>
      </w:r>
      <w:r>
        <w:rPr>
          <w:rFonts w:hint="eastAsia" w:ascii="仿宋_GB2312" w:hAnsi="仿宋_GB2312" w:eastAsia="仿宋_GB2312" w:cs="仿宋_GB2312"/>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举办形式多样的群众体育赛事活动，完善全民健身公共服务设施</w:t>
      </w:r>
      <w:r>
        <w:rPr>
          <w:rFonts w:hint="default" w:ascii="Times New Roman"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项目，持续创新活动开展形式，实现赛事活动全面突破。</w:t>
      </w:r>
      <w:r>
        <w:rPr>
          <w:rFonts w:hint="default" w:ascii="Times New Roman" w:hAnsi="Times New Roman" w:eastAsia="仿宋_GB2312" w:cs="Times New Roman"/>
          <w:b w:val="0"/>
          <w:bCs w:val="0"/>
          <w:color w:val="auto"/>
          <w:sz w:val="32"/>
          <w:szCs w:val="32"/>
          <w:lang w:val="en-US" w:eastAsia="zh-CN"/>
        </w:rPr>
        <w:t>2023</w:t>
      </w:r>
      <w:r>
        <w:rPr>
          <w:rFonts w:hint="eastAsia" w:ascii="仿宋_GB2312" w:hAnsi="仿宋_GB2312" w:eastAsia="仿宋_GB2312" w:cs="仿宋_GB2312"/>
          <w:b w:val="0"/>
          <w:bCs w:val="0"/>
          <w:color w:val="auto"/>
          <w:sz w:val="32"/>
          <w:szCs w:val="32"/>
          <w:lang w:val="en-US" w:eastAsia="zh-CN"/>
        </w:rPr>
        <w:t>年成功举办及参与指导的群众体育赛事达</w:t>
      </w:r>
      <w:r>
        <w:rPr>
          <w:rFonts w:hint="default" w:ascii="Times New Roman" w:hAnsi="Times New Roman" w:eastAsia="仿宋_GB2312" w:cs="Times New Roman"/>
          <w:b w:val="0"/>
          <w:bCs w:val="0"/>
          <w:color w:val="auto"/>
          <w:sz w:val="32"/>
          <w:szCs w:val="32"/>
          <w:lang w:val="en-US" w:eastAsia="zh-CN"/>
        </w:rPr>
        <w:t>50</w:t>
      </w:r>
      <w:r>
        <w:rPr>
          <w:rFonts w:hint="eastAsia" w:ascii="仿宋_GB2312" w:hAnsi="仿宋_GB2312" w:eastAsia="仿宋_GB2312" w:cs="仿宋_GB2312"/>
          <w:b w:val="0"/>
          <w:bCs w:val="0"/>
          <w:color w:val="auto"/>
          <w:sz w:val="32"/>
          <w:szCs w:val="32"/>
          <w:lang w:val="en-US" w:eastAsia="zh-CN"/>
        </w:rPr>
        <w:t>余项，涵盖</w:t>
      </w:r>
      <w:r>
        <w:rPr>
          <w:rFonts w:hint="default" w:ascii="Times New Roman" w:hAnsi="Times New Roman" w:eastAsia="仿宋_GB2312" w:cs="Times New Roman"/>
          <w:b w:val="0"/>
          <w:bCs w:val="0"/>
          <w:color w:val="auto"/>
          <w:sz w:val="32"/>
          <w:szCs w:val="32"/>
          <w:lang w:val="en-US" w:eastAsia="zh-CN"/>
        </w:rPr>
        <w:t>ATP、WTA</w:t>
      </w:r>
      <w:r>
        <w:rPr>
          <w:rFonts w:hint="eastAsia" w:ascii="仿宋_GB2312" w:hAnsi="仿宋_GB2312" w:eastAsia="仿宋_GB2312" w:cs="仿宋_GB2312"/>
          <w:b w:val="0"/>
          <w:bCs w:val="0"/>
          <w:color w:val="auto"/>
          <w:sz w:val="32"/>
          <w:szCs w:val="32"/>
          <w:lang w:val="en-US" w:eastAsia="zh-CN"/>
        </w:rPr>
        <w:t>等国际级赛事</w:t>
      </w:r>
      <w:r>
        <w:rPr>
          <w:rFonts w:hint="default"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项、中国青少年网球巡回赛等国家级赛事</w:t>
      </w:r>
      <w:r>
        <w:rPr>
          <w:rFonts w:hint="default" w:ascii="Times New Roman" w:hAnsi="Times New Roman" w:eastAsia="仿宋_GB2312" w:cs="Times New Roman"/>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项、粤港澳大湾区轮滑邀请赛等大湾区、省级赛事</w:t>
      </w:r>
      <w:r>
        <w:rPr>
          <w:rFonts w:hint="default" w:ascii="Times New Roman" w:hAnsi="Times New Roman" w:eastAsia="仿宋_GB2312" w:cs="Times New Roman"/>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项、市级赛事</w:t>
      </w:r>
      <w:r>
        <w:rPr>
          <w:rFonts w:hint="default"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项、区级赛事</w:t>
      </w:r>
      <w:r>
        <w:rPr>
          <w:rFonts w:hint="default" w:ascii="Times New Roman" w:hAnsi="Times New Roman" w:eastAsia="仿宋_GB2312" w:cs="Times New Roman"/>
          <w:b w:val="0"/>
          <w:bCs w:val="0"/>
          <w:color w:val="auto"/>
          <w:sz w:val="32"/>
          <w:szCs w:val="32"/>
          <w:lang w:val="en-US" w:eastAsia="zh-CN"/>
        </w:rPr>
        <w:t>33</w:t>
      </w:r>
      <w:r>
        <w:rPr>
          <w:rFonts w:hint="eastAsia" w:ascii="仿宋_GB2312" w:hAnsi="仿宋_GB2312" w:eastAsia="仿宋_GB2312" w:cs="仿宋_GB2312"/>
          <w:b w:val="0"/>
          <w:bCs w:val="0"/>
          <w:color w:val="auto"/>
          <w:sz w:val="32"/>
          <w:szCs w:val="32"/>
          <w:lang w:val="en-US" w:eastAsia="zh-CN"/>
        </w:rPr>
        <w:t>项，赛事活动数量、级别、规模、覆盖面等方面均实现了全面突破。加大体育公共设施供给，提供优质体育惠民服务，</w:t>
      </w:r>
      <w:r>
        <w:rPr>
          <w:rFonts w:hint="default" w:ascii="Times New Roman" w:hAnsi="Times New Roman" w:eastAsia="仿宋_GB2312" w:cs="Times New Roman"/>
          <w:b w:val="0"/>
          <w:bCs w:val="0"/>
          <w:color w:val="auto"/>
          <w:sz w:val="32"/>
          <w:szCs w:val="32"/>
          <w:lang w:val="en-US" w:eastAsia="zh-CN"/>
        </w:rPr>
        <w:t>2023</w:t>
      </w:r>
      <w:r>
        <w:rPr>
          <w:rFonts w:hint="eastAsia" w:ascii="仿宋_GB2312" w:hAnsi="仿宋_GB2312" w:eastAsia="仿宋_GB2312" w:cs="仿宋_GB2312"/>
          <w:b w:val="0"/>
          <w:bCs w:val="0"/>
          <w:color w:val="auto"/>
          <w:sz w:val="32"/>
          <w:szCs w:val="32"/>
          <w:lang w:val="en-US" w:eastAsia="zh-CN"/>
        </w:rPr>
        <w:t>年，南沙区现有体育场地共</w:t>
      </w:r>
      <w:r>
        <w:rPr>
          <w:rFonts w:hint="default" w:ascii="Times New Roman" w:hAnsi="Times New Roman" w:eastAsia="仿宋_GB2312" w:cs="Times New Roman"/>
          <w:b w:val="0"/>
          <w:bCs w:val="0"/>
          <w:color w:val="auto"/>
          <w:sz w:val="32"/>
          <w:szCs w:val="32"/>
          <w:lang w:val="en-US" w:eastAsia="zh-CN"/>
        </w:rPr>
        <w:t>2384</w:t>
      </w:r>
      <w:r>
        <w:rPr>
          <w:rFonts w:hint="eastAsia" w:ascii="仿宋_GB2312" w:hAnsi="仿宋_GB2312" w:eastAsia="仿宋_GB2312" w:cs="仿宋_GB2312"/>
          <w:b w:val="0"/>
          <w:bCs w:val="0"/>
          <w:color w:val="auto"/>
          <w:sz w:val="32"/>
          <w:szCs w:val="32"/>
          <w:lang w:val="en-US" w:eastAsia="zh-CN"/>
        </w:rPr>
        <w:t>个，其中室外运动场地</w:t>
      </w:r>
      <w:r>
        <w:rPr>
          <w:rFonts w:hint="default" w:ascii="Times New Roman" w:hAnsi="Times New Roman" w:eastAsia="仿宋_GB2312" w:cs="Times New Roman"/>
          <w:b w:val="0"/>
          <w:bCs w:val="0"/>
          <w:color w:val="auto"/>
          <w:sz w:val="32"/>
          <w:szCs w:val="32"/>
          <w:lang w:val="en-US" w:eastAsia="zh-CN"/>
        </w:rPr>
        <w:t>2088</w:t>
      </w:r>
      <w:r>
        <w:rPr>
          <w:rFonts w:hint="eastAsia" w:ascii="仿宋_GB2312" w:hAnsi="仿宋_GB2312" w:eastAsia="仿宋_GB2312" w:cs="仿宋_GB2312"/>
          <w:b w:val="0"/>
          <w:bCs w:val="0"/>
          <w:color w:val="auto"/>
          <w:sz w:val="32"/>
          <w:szCs w:val="32"/>
          <w:lang w:val="en-US" w:eastAsia="zh-CN"/>
        </w:rPr>
        <w:t>个，室内运动场地</w:t>
      </w:r>
      <w:r>
        <w:rPr>
          <w:rFonts w:hint="default" w:ascii="Times New Roman" w:hAnsi="Times New Roman" w:eastAsia="仿宋_GB2312" w:cs="Times New Roman"/>
          <w:b w:val="0"/>
          <w:bCs w:val="0"/>
          <w:color w:val="auto"/>
          <w:sz w:val="32"/>
          <w:szCs w:val="32"/>
          <w:lang w:val="en-US" w:eastAsia="zh-CN"/>
        </w:rPr>
        <w:t>296</w:t>
      </w:r>
      <w:r>
        <w:rPr>
          <w:rFonts w:hint="eastAsia" w:ascii="仿宋_GB2312" w:hAnsi="仿宋_GB2312" w:eastAsia="仿宋_GB2312" w:cs="仿宋_GB2312"/>
          <w:b w:val="0"/>
          <w:bCs w:val="0"/>
          <w:color w:val="auto"/>
          <w:sz w:val="32"/>
          <w:szCs w:val="32"/>
          <w:lang w:val="en-US" w:eastAsia="zh-CN"/>
        </w:rPr>
        <w:t>个，公共体育设施覆盖率达</w:t>
      </w:r>
      <w:r>
        <w:rPr>
          <w:rFonts w:hint="default" w:ascii="Times New Roman" w:hAnsi="Times New Roman" w:eastAsia="仿宋_GB2312" w:cs="Times New Roman"/>
          <w:b w:val="0"/>
          <w:bCs w:val="0"/>
          <w:color w:val="auto"/>
          <w:sz w:val="32"/>
          <w:szCs w:val="32"/>
          <w:lang w:val="en-US" w:eastAsia="zh-CN"/>
        </w:rPr>
        <w:t>88.6%</w:t>
      </w:r>
      <w:r>
        <w:rPr>
          <w:rFonts w:hint="eastAsia" w:ascii="仿宋_GB2312" w:hAnsi="仿宋_GB2312" w:eastAsia="仿宋_GB2312" w:cs="仿宋_GB2312"/>
          <w:b w:val="0"/>
          <w:bCs w:val="0"/>
          <w:color w:val="auto"/>
          <w:sz w:val="32"/>
          <w:szCs w:val="32"/>
          <w:lang w:val="en-US" w:eastAsia="zh-CN"/>
        </w:rPr>
        <w:t>。此外，持续开展体育惠民措施，</w:t>
      </w:r>
      <w:r>
        <w:rPr>
          <w:rFonts w:hint="default" w:ascii="仿宋_GB2312" w:hAnsi="仿宋_GB2312" w:eastAsia="仿宋_GB2312" w:cs="仿宋_GB2312"/>
          <w:b w:val="0"/>
          <w:bCs w:val="0"/>
          <w:color w:val="auto"/>
          <w:sz w:val="32"/>
          <w:szCs w:val="32"/>
          <w:lang w:val="en-US" w:eastAsia="zh-CN"/>
        </w:rPr>
        <w:t>落实南沙体育馆等</w:t>
      </w:r>
      <w:r>
        <w:rPr>
          <w:rFonts w:hint="default" w:ascii="Times New Roman" w:hAnsi="Times New Roman" w:eastAsia="仿宋_GB2312" w:cs="Times New Roman"/>
          <w:b w:val="0"/>
          <w:bCs w:val="0"/>
          <w:color w:val="auto"/>
          <w:sz w:val="32"/>
          <w:szCs w:val="32"/>
          <w:lang w:val="en-US" w:eastAsia="zh-CN"/>
        </w:rPr>
        <w:t>3</w:t>
      </w:r>
      <w:r>
        <w:rPr>
          <w:rFonts w:hint="default" w:ascii="仿宋_GB2312" w:hAnsi="仿宋_GB2312" w:eastAsia="仿宋_GB2312" w:cs="仿宋_GB2312"/>
          <w:b w:val="0"/>
          <w:bCs w:val="0"/>
          <w:color w:val="auto"/>
          <w:sz w:val="32"/>
          <w:szCs w:val="32"/>
          <w:lang w:val="en-US" w:eastAsia="zh-CN"/>
        </w:rPr>
        <w:t>个场馆免费</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低收费</w:t>
      </w:r>
      <w:r>
        <w:rPr>
          <w:rFonts w:hint="eastAsia" w:ascii="仿宋_GB2312" w:hAnsi="仿宋_GB2312" w:eastAsia="仿宋_GB2312" w:cs="仿宋_GB2312"/>
          <w:b w:val="0"/>
          <w:bCs w:val="0"/>
          <w:color w:val="auto"/>
          <w:sz w:val="32"/>
          <w:szCs w:val="32"/>
          <w:lang w:val="en-US" w:eastAsia="zh-CN"/>
        </w:rPr>
        <w:t>开放，服务人数</w:t>
      </w:r>
      <w:r>
        <w:rPr>
          <w:rFonts w:hint="default" w:ascii="仿宋_GB2312" w:hAnsi="仿宋_GB2312" w:eastAsia="仿宋_GB2312" w:cs="仿宋_GB2312"/>
          <w:b w:val="0"/>
          <w:bCs w:val="0"/>
          <w:color w:val="auto"/>
          <w:sz w:val="32"/>
          <w:szCs w:val="32"/>
          <w:lang w:val="en-US" w:eastAsia="zh-CN"/>
        </w:rPr>
        <w:t>超</w:t>
      </w:r>
      <w:r>
        <w:rPr>
          <w:rFonts w:hint="default" w:ascii="Times New Roman" w:hAnsi="Times New Roman" w:eastAsia="仿宋_GB2312" w:cs="Times New Roman"/>
          <w:b w:val="0"/>
          <w:bCs w:val="0"/>
          <w:color w:val="auto"/>
          <w:sz w:val="32"/>
          <w:szCs w:val="32"/>
          <w:lang w:val="en-US" w:eastAsia="zh-CN"/>
        </w:rPr>
        <w:t>10</w:t>
      </w:r>
      <w:r>
        <w:rPr>
          <w:rFonts w:hint="default" w:ascii="仿宋_GB2312" w:hAnsi="仿宋_GB2312" w:eastAsia="仿宋_GB2312" w:cs="仿宋_GB2312"/>
          <w:b w:val="0"/>
          <w:bCs w:val="0"/>
          <w:color w:val="auto"/>
          <w:sz w:val="32"/>
          <w:szCs w:val="32"/>
          <w:lang w:val="en-US" w:eastAsia="zh-CN"/>
        </w:rPr>
        <w:t>万人次</w:t>
      </w:r>
      <w:r>
        <w:rPr>
          <w:rFonts w:hint="eastAsia" w:ascii="仿宋_GB2312" w:hAnsi="仿宋_GB2312" w:eastAsia="仿宋_GB2312" w:cs="仿宋_GB2312"/>
          <w:b w:val="0"/>
          <w:bCs w:val="0"/>
          <w:color w:val="auto"/>
          <w:sz w:val="32"/>
          <w:szCs w:val="32"/>
          <w:lang w:val="en-US" w:eastAsia="zh-CN"/>
        </w:rPr>
        <w:t>。</w:t>
      </w:r>
    </w:p>
    <w:p w14:paraId="7CE6263A">
      <w:pPr>
        <w:pStyle w:val="2"/>
        <w:keepNext w:val="0"/>
        <w:keepLines w:val="0"/>
        <w:pageBreakBefore w:val="0"/>
        <w:kinsoku/>
        <w:wordWrap/>
        <w:overflowPunct/>
        <w:topLinePunct w:val="0"/>
        <w:autoSpaceDN/>
        <w:bidi w:val="0"/>
        <w:spacing w:line="560" w:lineRule="exact"/>
        <w:ind w:firstLine="643" w:firstLineChars="200"/>
        <w:textAlignment w:val="auto"/>
        <w:rPr>
          <w:rFonts w:hint="default"/>
          <w:lang w:val="en-US" w:eastAsia="zh-CN"/>
        </w:rPr>
      </w:pPr>
      <w:r>
        <w:rPr>
          <w:rFonts w:hint="default" w:ascii="Times New Roman" w:hAnsi="Times New Roman" w:eastAsia="仿宋_GB2312" w:cs="Times New Roman"/>
          <w:b/>
          <w:bCs/>
          <w:snapToGrid/>
          <w:kern w:val="2"/>
          <w:sz w:val="32"/>
          <w:szCs w:val="24"/>
          <w:lang w:val="en-US" w:eastAsia="zh-CN" w:bidi="ar"/>
        </w:rPr>
        <w:t>5</w:t>
      </w:r>
      <w:r>
        <w:rPr>
          <w:rFonts w:hint="default"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bCs/>
          <w:snapToGrid/>
          <w:kern w:val="2"/>
          <w:sz w:val="32"/>
          <w:szCs w:val="24"/>
          <w:lang w:val="en-US" w:eastAsia="zh-CN" w:bidi="ar"/>
        </w:rPr>
        <w:t>《南沙方案》落实方面。一是</w:t>
      </w:r>
      <w:r>
        <w:rPr>
          <w:rFonts w:hint="eastAsia" w:ascii="仿宋_GB2312" w:hAnsi="仿宋_GB2312" w:eastAsia="仿宋_GB2312" w:cs="仿宋_GB2312"/>
          <w:b w:val="0"/>
          <w:bCs w:val="0"/>
          <w:color w:val="auto"/>
          <w:kern w:val="2"/>
          <w:sz w:val="32"/>
          <w:szCs w:val="32"/>
          <w:lang w:val="en-US" w:eastAsia="zh-CN" w:bidi="ar-SA"/>
        </w:rPr>
        <w:t>区财政局聚焦主责主业，高效落实《南沙方案》。实现税收优惠政策效应首年</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零的突破</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、周年</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质的提升</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2023</w:t>
      </w:r>
      <w:r>
        <w:rPr>
          <w:rFonts w:hint="eastAsia" w:ascii="仿宋_GB2312" w:hAnsi="仿宋_GB2312" w:eastAsia="仿宋_GB2312" w:cs="仿宋_GB2312"/>
          <w:b w:val="0"/>
          <w:bCs w:val="0"/>
          <w:color w:val="auto"/>
          <w:kern w:val="2"/>
          <w:sz w:val="32"/>
          <w:szCs w:val="32"/>
          <w:lang w:val="en-US" w:eastAsia="zh-CN" w:bidi="ar-SA"/>
        </w:rPr>
        <w:t>年已有</w:t>
      </w:r>
      <w:r>
        <w:rPr>
          <w:rFonts w:hint="default" w:ascii="Times New Roman" w:hAnsi="Times New Roman" w:eastAsia="仿宋_GB2312" w:cs="Times New Roman"/>
          <w:b w:val="0"/>
          <w:bCs w:val="0"/>
          <w:color w:val="auto"/>
          <w:kern w:val="2"/>
          <w:sz w:val="32"/>
          <w:szCs w:val="32"/>
          <w:lang w:val="en-US" w:eastAsia="zh-CN" w:bidi="ar-SA"/>
        </w:rPr>
        <w:t>25</w:t>
      </w:r>
      <w:r>
        <w:rPr>
          <w:rFonts w:hint="eastAsia" w:ascii="仿宋_GB2312" w:hAnsi="仿宋_GB2312" w:eastAsia="仿宋_GB2312" w:cs="仿宋_GB2312"/>
          <w:b w:val="0"/>
          <w:bCs w:val="0"/>
          <w:color w:val="auto"/>
          <w:kern w:val="2"/>
          <w:sz w:val="32"/>
          <w:szCs w:val="32"/>
          <w:lang w:val="en-US" w:eastAsia="zh-CN" w:bidi="ar-SA"/>
        </w:rPr>
        <w:t>户企业申报享受</w:t>
      </w:r>
      <w:r>
        <w:rPr>
          <w:rFonts w:hint="default" w:ascii="Times New Roman" w:hAnsi="Times New Roman" w:eastAsia="仿宋_GB2312" w:cs="Times New Roman"/>
          <w:b w:val="0"/>
          <w:bCs w:val="0"/>
          <w:color w:val="auto"/>
          <w:kern w:val="2"/>
          <w:sz w:val="32"/>
          <w:szCs w:val="32"/>
          <w:lang w:val="en-US" w:eastAsia="zh-CN" w:bidi="ar-SA"/>
        </w:rPr>
        <w:t>15%</w:t>
      </w:r>
      <w:r>
        <w:rPr>
          <w:rFonts w:hint="eastAsia" w:ascii="仿宋_GB2312" w:hAnsi="仿宋_GB2312" w:eastAsia="仿宋_GB2312" w:cs="仿宋_GB2312"/>
          <w:b w:val="0"/>
          <w:bCs w:val="0"/>
          <w:color w:val="auto"/>
          <w:kern w:val="2"/>
          <w:sz w:val="32"/>
          <w:szCs w:val="32"/>
          <w:lang w:val="en-US" w:eastAsia="zh-CN" w:bidi="ar-SA"/>
        </w:rPr>
        <w:t>企业所得税优惠政策，减免税额</w:t>
      </w:r>
      <w:r>
        <w:rPr>
          <w:rFonts w:hint="default" w:ascii="Times New Roman" w:hAnsi="Times New Roman" w:eastAsia="仿宋_GB2312" w:cs="Times New Roman"/>
          <w:b w:val="0"/>
          <w:bCs w:val="0"/>
          <w:color w:val="auto"/>
          <w:kern w:val="2"/>
          <w:sz w:val="32"/>
          <w:szCs w:val="32"/>
          <w:lang w:val="en-US" w:eastAsia="zh-CN" w:bidi="ar-SA"/>
        </w:rPr>
        <w:t>6.84</w:t>
      </w:r>
      <w:r>
        <w:rPr>
          <w:rFonts w:hint="eastAsia" w:ascii="仿宋_GB2312" w:hAnsi="仿宋_GB2312" w:eastAsia="仿宋_GB2312" w:cs="仿宋_GB2312"/>
          <w:b w:val="0"/>
          <w:bCs w:val="0"/>
          <w:color w:val="auto"/>
          <w:kern w:val="2"/>
          <w:sz w:val="32"/>
          <w:szCs w:val="32"/>
          <w:lang w:val="en-US" w:eastAsia="zh-CN" w:bidi="ar-SA"/>
        </w:rPr>
        <w:t>亿元，</w:t>
      </w:r>
      <w:r>
        <w:rPr>
          <w:rFonts w:hint="default" w:ascii="Times New Roman" w:hAnsi="Times New Roman" w:eastAsia="仿宋_GB2312" w:cs="Times New Roman"/>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户企业享受南沙进一步延长亏损结转年限政策，结转亏损额</w:t>
      </w:r>
      <w:r>
        <w:rPr>
          <w:rFonts w:hint="default" w:ascii="Times New Roman" w:hAnsi="Times New Roman" w:eastAsia="仿宋_GB2312" w:cs="Times New Roman"/>
          <w:b w:val="0"/>
          <w:bCs w:val="0"/>
          <w:color w:val="auto"/>
          <w:kern w:val="2"/>
          <w:sz w:val="32"/>
          <w:szCs w:val="32"/>
          <w:lang w:val="en-US" w:eastAsia="zh-CN" w:bidi="ar-SA"/>
        </w:rPr>
        <w:t>5206.58</w:t>
      </w:r>
      <w:r>
        <w:rPr>
          <w:rFonts w:hint="eastAsia" w:ascii="仿宋_GB2312" w:hAnsi="仿宋_GB2312" w:eastAsia="仿宋_GB2312" w:cs="仿宋_GB2312"/>
          <w:b w:val="0"/>
          <w:bCs w:val="0"/>
          <w:color w:val="auto"/>
          <w:kern w:val="2"/>
          <w:sz w:val="32"/>
          <w:szCs w:val="32"/>
          <w:lang w:val="en-US" w:eastAsia="zh-CN" w:bidi="ar-SA"/>
        </w:rPr>
        <w:t>万元，</w:t>
      </w:r>
      <w:r>
        <w:rPr>
          <w:rFonts w:hint="default" w:ascii="Times New Roman" w:hAnsi="Times New Roman" w:eastAsia="仿宋_GB2312" w:cs="Times New Roman"/>
          <w:b w:val="0"/>
          <w:bCs w:val="0"/>
          <w:color w:val="auto"/>
          <w:kern w:val="2"/>
          <w:sz w:val="32"/>
          <w:szCs w:val="32"/>
          <w:lang w:val="en-US" w:eastAsia="zh-CN" w:bidi="ar-SA"/>
        </w:rPr>
        <w:t>460</w:t>
      </w:r>
      <w:r>
        <w:rPr>
          <w:rFonts w:hint="eastAsia" w:ascii="仿宋_GB2312" w:hAnsi="仿宋_GB2312" w:eastAsia="仿宋_GB2312" w:cs="仿宋_GB2312"/>
          <w:b w:val="0"/>
          <w:bCs w:val="0"/>
          <w:color w:val="auto"/>
          <w:kern w:val="2"/>
          <w:sz w:val="32"/>
          <w:szCs w:val="32"/>
          <w:lang w:val="en-US" w:eastAsia="zh-CN" w:bidi="ar-SA"/>
        </w:rPr>
        <w:t>名港澳居民办理享受港澳居民个税优惠政策，涉及减免税额</w:t>
      </w:r>
      <w:r>
        <w:rPr>
          <w:rFonts w:hint="default" w:ascii="Times New Roman" w:hAnsi="Times New Roman" w:eastAsia="仿宋_GB2312" w:cs="Times New Roman"/>
          <w:b w:val="0"/>
          <w:bCs w:val="0"/>
          <w:color w:val="auto"/>
          <w:kern w:val="2"/>
          <w:sz w:val="32"/>
          <w:szCs w:val="32"/>
          <w:lang w:val="en-US" w:eastAsia="zh-CN" w:bidi="ar-SA"/>
        </w:rPr>
        <w:t>3579.12</w:t>
      </w:r>
      <w:r>
        <w:rPr>
          <w:rFonts w:hint="eastAsia" w:ascii="仿宋_GB2312" w:hAnsi="仿宋_GB2312" w:eastAsia="仿宋_GB2312" w:cs="仿宋_GB2312"/>
          <w:b w:val="0"/>
          <w:bCs w:val="0"/>
          <w:color w:val="auto"/>
          <w:kern w:val="2"/>
          <w:sz w:val="32"/>
          <w:szCs w:val="32"/>
          <w:lang w:val="en-US" w:eastAsia="zh-CN" w:bidi="ar-SA"/>
        </w:rPr>
        <w:t>万元。制定发布《广州南沙新区（自贸片区）推进财税</w:t>
      </w:r>
      <w:r>
        <w:rPr>
          <w:rFonts w:hint="default"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专业服务业集聚发展若干措施》，从落户支持、税收优惠、人才支持、引商支持、执业支持、合作交流、保障与服务、生活配套支持、</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走出去</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支持共九方面，对财税专业服务机构给予</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全支撑、全方位、全过程</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的政策扶持，营造优良营商环境扶持财税专业服务业集聚发展，充分释放政策红利引领行业发展新机遇。</w:t>
      </w:r>
      <w:r>
        <w:rPr>
          <w:rFonts w:hint="eastAsia" w:ascii="Times New Roman" w:hAnsi="Times New Roman" w:eastAsia="仿宋_GB2312" w:cs="Times New Roman"/>
          <w:b/>
          <w:bCs/>
          <w:snapToGrid/>
          <w:kern w:val="2"/>
          <w:sz w:val="32"/>
          <w:szCs w:val="24"/>
          <w:lang w:val="en-US" w:eastAsia="zh-CN" w:bidi="ar"/>
        </w:rPr>
        <w:t>二是</w:t>
      </w:r>
      <w:r>
        <w:rPr>
          <w:rFonts w:hint="eastAsia" w:ascii="Times New Roman" w:hAnsi="Times New Roman" w:eastAsia="仿宋_GB2312" w:cs="Times New Roman"/>
          <w:b w:val="0"/>
          <w:bCs w:val="0"/>
          <w:snapToGrid/>
          <w:kern w:val="2"/>
          <w:sz w:val="32"/>
          <w:szCs w:val="24"/>
          <w:lang w:val="en-US" w:eastAsia="zh-CN" w:bidi="ar"/>
        </w:rPr>
        <w:t>区城市更新土地整备中心</w:t>
      </w:r>
      <w:r>
        <w:rPr>
          <w:rFonts w:hint="eastAsia" w:eastAsia="仿宋_GB2312" w:cs="Times New Roman"/>
          <w:sz w:val="32"/>
          <w:szCs w:val="32"/>
          <w:lang w:val="en-US" w:eastAsia="zh-CN"/>
        </w:rPr>
        <w:t>积极落实《南沙方案》推动港澳技术合作，邀请了香港设计团队考察东涌镇名苑倚泉轩、珠江街丽雅花园等老旧小区改造项目，从</w:t>
      </w:r>
      <w:r>
        <w:rPr>
          <w:rFonts w:hint="eastAsia" w:eastAsia="仿宋_GB2312" w:cs="Times New Roman"/>
          <w:sz w:val="32"/>
          <w:szCs w:val="32"/>
          <w:highlight w:val="none"/>
          <w:lang w:val="en-US" w:eastAsia="zh-CN"/>
        </w:rPr>
        <w:t>港澳视角</w:t>
      </w:r>
      <w:r>
        <w:rPr>
          <w:rFonts w:hint="eastAsia" w:eastAsia="仿宋_GB2312" w:cs="Times New Roman"/>
          <w:sz w:val="32"/>
          <w:szCs w:val="32"/>
          <w:lang w:val="en-US" w:eastAsia="zh-CN"/>
        </w:rPr>
        <w:t>结合当地文化元素打造改造亮点，为后续实施改造提供指导意见。积极开展现场巡查，确保改造成效，引入监理资质机构为项目管理提供现场巡查和动态评估服务，分周、月、季度对现场巡查出具报告，对照项目设计方案、改造标准、安全文明施工要求等进行巡查督办、动态跟踪，为项目决策提供有效技术意见和建议。</w:t>
      </w:r>
    </w:p>
    <w:p w14:paraId="25BEBC6D">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auto"/>
          <w:kern w:val="2"/>
          <w:sz w:val="32"/>
          <w:szCs w:val="32"/>
          <w:highlight w:val="none"/>
          <w:shd w:val="clear" w:color="auto" w:fill="auto"/>
          <w:lang w:val="en-US" w:eastAsia="zh-CN" w:bidi="ar"/>
        </w:rPr>
      </w:pPr>
      <w:r>
        <w:rPr>
          <w:rFonts w:hint="eastAsia" w:ascii="楷体_GB2312" w:hAnsi="楷体_GB2312" w:eastAsia="楷体_GB2312" w:cs="楷体_GB2312"/>
          <w:b w:val="0"/>
          <w:bCs w:val="0"/>
          <w:color w:val="auto"/>
          <w:kern w:val="2"/>
          <w:sz w:val="32"/>
          <w:szCs w:val="32"/>
          <w:highlight w:val="none"/>
          <w:shd w:val="clear" w:color="auto" w:fill="auto"/>
          <w:lang w:val="en-US" w:eastAsia="zh-CN" w:bidi="ar"/>
        </w:rPr>
        <w:t>（三）</w:t>
      </w:r>
      <w:r>
        <w:rPr>
          <w:rFonts w:hint="default" w:ascii="楷体_GB2312" w:hAnsi="楷体_GB2312" w:eastAsia="楷体_GB2312" w:cs="楷体_GB2312"/>
          <w:b w:val="0"/>
          <w:bCs w:val="0"/>
          <w:color w:val="auto"/>
          <w:kern w:val="2"/>
          <w:sz w:val="32"/>
          <w:szCs w:val="32"/>
          <w:highlight w:val="none"/>
          <w:shd w:val="clear" w:color="auto" w:fill="auto"/>
          <w:lang w:val="en-US" w:eastAsia="zh-CN" w:bidi="ar"/>
        </w:rPr>
        <w:t>评价发现的主要问题</w:t>
      </w:r>
    </w:p>
    <w:p w14:paraId="0252E3CE">
      <w:pPr>
        <w:keepNext w:val="0"/>
        <w:keepLines w:val="0"/>
        <w:pageBreakBefore w:val="0"/>
        <w:numPr>
          <w:ilvl w:val="0"/>
          <w:numId w:val="0"/>
        </w:numPr>
        <w:kinsoku/>
        <w:wordWrap/>
        <w:overflowPunct/>
        <w:topLinePunct w:val="0"/>
        <w:autoSpaceDN/>
        <w:bidi w:val="0"/>
        <w:adjustRightInd/>
        <w:snapToGrid/>
        <w:spacing w:line="560" w:lineRule="exact"/>
        <w:ind w:left="0" w:firstLine="640" w:firstLineChars="0"/>
        <w:jc w:val="both"/>
        <w:textAlignment w:val="auto"/>
        <w:rPr>
          <w:rFonts w:hint="default" w:ascii="Times New Roman" w:hAnsi="Times New Roman" w:eastAsia="楷体_GB2312" w:cs="Times New Roman"/>
          <w:b w:val="0"/>
          <w:bCs/>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从绩效评价工作开展情况来看，各部门绩效管理意识有所提高</w:t>
      </w:r>
      <w:r>
        <w:rPr>
          <w:rFonts w:hint="eastAsia" w:ascii="Times New Roman" w:hAnsi="Times New Roman" w:eastAsia="仿宋_GB2312" w:cs="Times New Roman"/>
          <w:b w:val="0"/>
          <w:bCs w:val="0"/>
          <w:color w:val="auto"/>
          <w:sz w:val="32"/>
          <w:szCs w:val="32"/>
          <w:highlight w:val="none"/>
          <w:lang w:val="en-US" w:eastAsia="zh-CN"/>
        </w:rPr>
        <w:t>，尤其对财政重点评价工作重视程度、配合程度均有较大改善，但仍存在一些值得关注的问题：</w:t>
      </w:r>
    </w:p>
    <w:p w14:paraId="56D2B2F5">
      <w:pPr>
        <w:pStyle w:val="10"/>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3" w:firstLineChars="200"/>
        <w:jc w:val="both"/>
        <w:textAlignment w:val="auto"/>
        <w:rPr>
          <w:rFonts w:hint="eastAsia" w:ascii="仿宋_GB2312" w:eastAsia="仿宋_GB2312" w:cs="仿宋_GB2312"/>
          <w:spacing w:val="0"/>
          <w:kern w:val="0"/>
          <w:sz w:val="32"/>
          <w:szCs w:val="32"/>
        </w:rPr>
      </w:pPr>
      <w:r>
        <w:rPr>
          <w:rFonts w:hint="eastAsia" w:ascii="Times New Roman" w:hAnsi="Times New Roman" w:eastAsia="仿宋_GB2312" w:cs="Times New Roman"/>
          <w:b/>
          <w:bCs/>
          <w:snapToGrid/>
          <w:kern w:val="2"/>
          <w:sz w:val="32"/>
          <w:szCs w:val="24"/>
          <w:lang w:val="en-US" w:eastAsia="zh-CN"/>
        </w:rPr>
        <w:t>1.部门核心指标体系尚未全面建立</w:t>
      </w:r>
      <w:r>
        <w:rPr>
          <w:rFonts w:hint="eastAsia" w:ascii="仿宋_GB2312" w:hAnsi="Times New Roman" w:eastAsia="仿宋_GB2312" w:cs="仿宋_GB2312"/>
          <w:b/>
          <w:bCs/>
          <w:kern w:val="0"/>
          <w:sz w:val="32"/>
          <w:szCs w:val="32"/>
          <w:lang w:val="en-US" w:eastAsia="zh-CN" w:bidi="ar"/>
        </w:rPr>
        <w:t>。</w:t>
      </w: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bidi="ar-SA"/>
        </w:rPr>
        <w:t>个别部门</w:t>
      </w: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SA"/>
        </w:rPr>
        <w:t>未</w:t>
      </w:r>
      <w:r>
        <w:rPr>
          <w:rFonts w:ascii="Times New Roman" w:hAnsi="Times New Roman" w:eastAsia="仿宋_GB2312" w:cs="Times New Roman"/>
          <w:i w:val="0"/>
          <w:iCs w:val="0"/>
          <w:caps w:val="0"/>
          <w:color w:val="auto"/>
          <w:spacing w:val="0"/>
          <w:kern w:val="2"/>
          <w:sz w:val="32"/>
          <w:szCs w:val="32"/>
          <w:shd w:val="clear" w:color="auto" w:fill="auto"/>
          <w:lang w:bidi="ar-SA"/>
        </w:rPr>
        <w:t>梳理、提炼本部门履职所涉及的重大政策和重点项目的核心指标</w:t>
      </w:r>
      <w:r>
        <w:rPr>
          <w:rFonts w:hint="eastAsia" w:ascii="Times New Roman" w:hAnsi="Times New Roman" w:eastAsia="仿宋_GB2312" w:cs="Times New Roman"/>
          <w:i w:val="0"/>
          <w:iCs w:val="0"/>
          <w:caps w:val="0"/>
          <w:color w:val="auto"/>
          <w:spacing w:val="0"/>
          <w:kern w:val="2"/>
          <w:sz w:val="32"/>
          <w:szCs w:val="32"/>
          <w:shd w:val="clear" w:color="auto" w:fill="auto"/>
          <w:lang w:eastAsia="zh-CN" w:bidi="ar-SA"/>
        </w:rPr>
        <w:t>，</w:t>
      </w:r>
      <w:r>
        <w:rPr>
          <w:rFonts w:hint="default" w:ascii="Times New Roman" w:hAnsi="Times New Roman" w:eastAsia="仿宋_GB2312" w:cs="Times New Roman"/>
          <w:color w:val="auto"/>
          <w:spacing w:val="0"/>
          <w:kern w:val="2"/>
          <w:sz w:val="32"/>
          <w:szCs w:val="32"/>
          <w:lang w:val="en-US" w:eastAsia="zh-CN" w:bidi="ar-SA"/>
        </w:rPr>
        <w:t>部门整体绩效目标较为笼统，未体现部门“三定”方案规定</w:t>
      </w:r>
      <w:r>
        <w:rPr>
          <w:rFonts w:hint="eastAsia" w:ascii="仿宋_GB2312" w:hAnsi="Calibri" w:eastAsia="仿宋_GB2312" w:cs="仿宋_GB2312"/>
          <w:spacing w:val="0"/>
          <w:kern w:val="0"/>
          <w:sz w:val="32"/>
          <w:szCs w:val="32"/>
          <w:lang w:val="en-US" w:eastAsia="zh-CN" w:bidi="ar"/>
        </w:rPr>
        <w:t>的部门职能，也未明确部门整体年度工作任务安排</w:t>
      </w:r>
      <w:r>
        <w:rPr>
          <w:rFonts w:hint="eastAsia" w:ascii="仿宋_GB2312" w:eastAsia="仿宋_GB2312" w:cs="仿宋_GB2312"/>
          <w:spacing w:val="0"/>
          <w:kern w:val="0"/>
          <w:sz w:val="32"/>
          <w:szCs w:val="32"/>
          <w:lang w:val="en-US" w:eastAsia="zh-CN" w:bidi="ar"/>
        </w:rPr>
        <w:t>，</w:t>
      </w:r>
      <w:r>
        <w:rPr>
          <w:rFonts w:hint="eastAsia" w:ascii="仿宋_GB2312" w:hAnsi="Calibri" w:eastAsia="仿宋_GB2312" w:cs="仿宋_GB2312"/>
          <w:spacing w:val="0"/>
          <w:kern w:val="0"/>
          <w:sz w:val="32"/>
          <w:szCs w:val="32"/>
          <w:lang w:val="en-US" w:eastAsia="zh-CN" w:bidi="ar"/>
        </w:rPr>
        <w:t>绩效指标不能完全体现各项任务的主要产出及部门履职效果。</w:t>
      </w:r>
    </w:p>
    <w:p w14:paraId="2808E75F">
      <w:pPr>
        <w:keepNext w:val="0"/>
        <w:keepLines w:val="0"/>
        <w:pageBreakBefore w:val="0"/>
        <w:kinsoku/>
        <w:wordWrap/>
        <w:overflowPunct/>
        <w:topLinePunct w:val="0"/>
        <w:autoSpaceDN/>
        <w:bidi w:val="0"/>
        <w:spacing w:line="560" w:lineRule="exact"/>
        <w:ind w:left="0" w:leftChars="0" w:firstLine="643" w:firstLineChars="200"/>
        <w:jc w:val="both"/>
        <w:textAlignment w:val="auto"/>
        <w:outlineLvl w:val="1"/>
        <w:rPr>
          <w:rFonts w:hint="eastAsia" w:ascii="Times New Roman" w:hAnsi="Times New Roman" w:eastAsia="仿宋_GB2312" w:cs="Times New Roman"/>
          <w:b w:val="0"/>
          <w:bCs w:val="0"/>
          <w:snapToGrid/>
          <w:kern w:val="2"/>
          <w:sz w:val="32"/>
          <w:szCs w:val="24"/>
          <w:lang w:val="en-US" w:eastAsia="zh-CN"/>
        </w:rPr>
      </w:pPr>
      <w:r>
        <w:rPr>
          <w:rFonts w:hint="eastAsia" w:ascii="Times New Roman" w:hAnsi="Times New Roman" w:eastAsia="仿宋_GB2312" w:cs="Times New Roman"/>
          <w:b/>
          <w:bCs/>
          <w:snapToGrid/>
          <w:kern w:val="2"/>
          <w:sz w:val="32"/>
          <w:szCs w:val="24"/>
          <w:lang w:val="en-US" w:eastAsia="zh-CN"/>
        </w:rPr>
        <w:t>2.项目绩效目标设置科学性有待提高。</w:t>
      </w:r>
      <w:r>
        <w:rPr>
          <w:rFonts w:hint="eastAsia" w:ascii="Times New Roman" w:hAnsi="Times New Roman" w:eastAsia="仿宋_GB2312" w:cs="Times New Roman"/>
          <w:b w:val="0"/>
          <w:bCs w:val="0"/>
          <w:snapToGrid/>
          <w:kern w:val="2"/>
          <w:sz w:val="32"/>
          <w:szCs w:val="24"/>
          <w:lang w:val="en-US" w:eastAsia="zh-CN"/>
        </w:rPr>
        <w:t>部分项目的绩效目标与指标未能与预算安排相衔接，绩效目标不够细化，绩效指标未能充分体现预期产出和效果，预期效益实现情况难以衡量</w:t>
      </w:r>
      <w:r>
        <w:rPr>
          <w:rFonts w:hint="eastAsia" w:eastAsia="仿宋_GB2312" w:cs="Times New Roman"/>
          <w:b w:val="0"/>
          <w:bCs w:val="0"/>
          <w:snapToGrid/>
          <w:kern w:val="2"/>
          <w:sz w:val="32"/>
          <w:szCs w:val="24"/>
          <w:lang w:val="en-US" w:eastAsia="zh-CN"/>
        </w:rPr>
        <w:t>。</w:t>
      </w:r>
      <w:r>
        <w:rPr>
          <w:rFonts w:hint="eastAsia" w:ascii="Times New Roman" w:hAnsi="Times New Roman" w:eastAsia="仿宋_GB2312" w:cs="Times New Roman"/>
          <w:b w:val="0"/>
          <w:bCs w:val="0"/>
          <w:snapToGrid/>
          <w:kern w:val="2"/>
          <w:sz w:val="32"/>
          <w:szCs w:val="24"/>
          <w:lang w:val="en-US" w:eastAsia="zh-CN"/>
        </w:rPr>
        <w:t>部分项目设置的绩效指标值过低</w:t>
      </w:r>
      <w:r>
        <w:rPr>
          <w:rFonts w:hint="eastAsia" w:eastAsia="仿宋_GB2312" w:cs="Times New Roman"/>
          <w:b w:val="0"/>
          <w:bCs w:val="0"/>
          <w:snapToGrid/>
          <w:kern w:val="2"/>
          <w:sz w:val="32"/>
          <w:szCs w:val="24"/>
          <w:lang w:val="en-US" w:eastAsia="zh-CN"/>
        </w:rPr>
        <w:t>，</w:t>
      </w:r>
      <w:r>
        <w:rPr>
          <w:rFonts w:hint="eastAsia" w:ascii="Times New Roman" w:hAnsi="Times New Roman" w:eastAsia="仿宋_GB2312" w:cs="Times New Roman"/>
          <w:b w:val="0"/>
          <w:bCs w:val="0"/>
          <w:snapToGrid/>
          <w:kern w:val="2"/>
          <w:sz w:val="32"/>
          <w:szCs w:val="24"/>
          <w:lang w:val="en-US" w:eastAsia="zh-CN"/>
        </w:rPr>
        <w:t>导致产出指标值超过计划预期。</w:t>
      </w:r>
    </w:p>
    <w:p w14:paraId="1600795D">
      <w:pPr>
        <w:keepNext w:val="0"/>
        <w:keepLines w:val="0"/>
        <w:pageBreakBefore w:val="0"/>
        <w:numPr>
          <w:ilvl w:val="0"/>
          <w:numId w:val="0"/>
        </w:numPr>
        <w:kinsoku/>
        <w:wordWrap/>
        <w:overflowPunct/>
        <w:topLinePunct w:val="0"/>
        <w:autoSpaceDN/>
        <w:bidi w:val="0"/>
        <w:adjustRightInd w:val="0"/>
        <w:snapToGrid w:val="0"/>
        <w:spacing w:line="560" w:lineRule="exact"/>
        <w:ind w:firstLine="643" w:firstLineChars="200"/>
        <w:textAlignment w:val="auto"/>
        <w:rPr>
          <w:rFonts w:hint="eastAsia" w:ascii="Times New Roman" w:hAnsi="Times New Roman" w:eastAsia="仿宋_GB2312" w:cs="Times New Roman"/>
          <w:b w:val="0"/>
          <w:bCs w:val="0"/>
          <w:snapToGrid/>
          <w:kern w:val="2"/>
          <w:sz w:val="32"/>
          <w:szCs w:val="24"/>
          <w:lang w:val="en-US" w:eastAsia="zh-CN"/>
        </w:rPr>
      </w:pPr>
      <w:r>
        <w:rPr>
          <w:rFonts w:hint="eastAsia" w:ascii="Times New Roman" w:hAnsi="Times New Roman" w:eastAsia="仿宋_GB2312" w:cs="Times New Roman"/>
          <w:b/>
          <w:bCs/>
          <w:snapToGrid/>
          <w:kern w:val="2"/>
          <w:sz w:val="32"/>
          <w:szCs w:val="24"/>
          <w:lang w:val="en-US" w:eastAsia="zh-CN"/>
        </w:rPr>
        <w:t>3.绩效监控工作未得到重视。</w:t>
      </w:r>
      <w:r>
        <w:rPr>
          <w:rFonts w:hint="eastAsia" w:ascii="Times New Roman" w:hAnsi="Times New Roman" w:eastAsia="仿宋_GB2312" w:cs="Times New Roman"/>
          <w:b w:val="0"/>
          <w:bCs w:val="0"/>
          <w:snapToGrid/>
          <w:kern w:val="2"/>
          <w:sz w:val="32"/>
          <w:szCs w:val="24"/>
          <w:lang w:val="en-US" w:eastAsia="zh-CN"/>
        </w:rPr>
        <w:t>部分部门在年中未按要求自主开展运行监控，已经开展监控的部门对绩效情况较差指标的纠偏力度不足，尚未充分发挥绩效监控对于强化内部管理，提高资金使用效益的促进作用。</w:t>
      </w:r>
    </w:p>
    <w:p w14:paraId="529ED566">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w:t>
      </w:r>
      <w:r>
        <w:rPr>
          <w:rFonts w:hint="default"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下一步</w:t>
      </w:r>
      <w:r>
        <w:rPr>
          <w:rFonts w:hint="default" w:ascii="黑体" w:hAnsi="黑体" w:eastAsia="黑体" w:cs="黑体"/>
          <w:color w:val="auto"/>
          <w:sz w:val="32"/>
          <w:szCs w:val="32"/>
          <w:highlight w:val="none"/>
          <w:lang w:eastAsia="zh-CN"/>
        </w:rPr>
        <w:t>工作</w:t>
      </w:r>
      <w:r>
        <w:rPr>
          <w:rFonts w:hint="eastAsia" w:ascii="黑体" w:hAnsi="黑体" w:eastAsia="黑体" w:cs="黑体"/>
          <w:color w:val="auto"/>
          <w:sz w:val="32"/>
          <w:szCs w:val="32"/>
          <w:highlight w:val="none"/>
          <w:lang w:val="en-US" w:eastAsia="zh-CN"/>
        </w:rPr>
        <w:t>计划</w:t>
      </w:r>
    </w:p>
    <w:p w14:paraId="26B53C0A">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color w:val="auto"/>
          <w:sz w:val="32"/>
          <w:szCs w:val="32"/>
          <w:lang w:val="en-US" w:eastAsia="zh-CN"/>
        </w:rPr>
        <w:t>按照全面落实勤俭节约的要求，严格剔除不合理、高估冒算的预算支出，切实把长期过</w:t>
      </w:r>
      <w:r>
        <w:rPr>
          <w:rFonts w:hint="default"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紧日子</w:t>
      </w:r>
      <w:r>
        <w:rPr>
          <w:rFonts w:hint="default"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的压力传导到位，</w:t>
      </w:r>
      <w:r>
        <w:rPr>
          <w:rFonts w:hint="eastAsia" w:ascii="仿宋_GB2312" w:hAnsi="仿宋_GB2312" w:eastAsia="仿宋_GB2312" w:cs="仿宋_GB2312"/>
          <w:snapToGrid/>
          <w:color w:val="auto"/>
          <w:kern w:val="2"/>
          <w:sz w:val="32"/>
          <w:szCs w:val="32"/>
          <w:lang w:val="en-US" w:eastAsia="zh-CN"/>
        </w:rPr>
        <w:t>持续强化预算绩效管理</w:t>
      </w:r>
      <w:r>
        <w:rPr>
          <w:rFonts w:hint="eastAsia" w:ascii="仿宋_GB2312" w:hAnsi="仿宋_GB2312" w:eastAsia="仿宋_GB2312" w:cs="仿宋_GB2312"/>
          <w:color w:val="auto"/>
          <w:sz w:val="32"/>
          <w:szCs w:val="32"/>
          <w:lang w:val="en-US" w:eastAsia="zh-CN"/>
        </w:rPr>
        <w:t>，着力提升资金效益，</w:t>
      </w:r>
      <w:r>
        <w:rPr>
          <w:rFonts w:hint="eastAsia" w:ascii="仿宋_GB2312" w:hAnsi="仿宋_GB2312" w:eastAsia="仿宋_GB2312" w:cs="仿宋_GB2312"/>
          <w:b w:val="0"/>
          <w:bCs w:val="0"/>
          <w:color w:val="auto"/>
          <w:kern w:val="2"/>
          <w:sz w:val="32"/>
          <w:szCs w:val="32"/>
          <w:highlight w:val="none"/>
          <w:lang w:val="en-US" w:eastAsia="zh-CN" w:bidi="ar"/>
        </w:rPr>
        <w:t>重点做好以下工</w:t>
      </w:r>
      <w:r>
        <w:rPr>
          <w:rFonts w:hint="eastAsia" w:ascii="仿宋_GB2312" w:hAnsi="仿宋_GB2312" w:eastAsia="仿宋_GB2312" w:cs="仿宋_GB2312"/>
          <w:b w:val="0"/>
          <w:bCs w:val="0"/>
          <w:color w:val="auto"/>
          <w:kern w:val="2"/>
          <w:sz w:val="32"/>
          <w:szCs w:val="32"/>
          <w:lang w:val="en-US" w:eastAsia="zh-CN" w:bidi="ar"/>
        </w:rPr>
        <w:t>作：</w:t>
      </w:r>
    </w:p>
    <w:p w14:paraId="2F4AEFB0">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color w:val="auto"/>
          <w:kern w:val="0"/>
          <w:sz w:val="32"/>
          <w:szCs w:val="32"/>
          <w:lang w:val="en-US" w:bidi="ar"/>
        </w:rPr>
      </w:pPr>
      <w:r>
        <w:rPr>
          <w:rFonts w:hint="eastAsia" w:ascii="楷体_GB2312" w:hAnsi="楷体_GB2312" w:eastAsia="楷体_GB2312" w:cs="楷体_GB2312"/>
          <w:b w:val="0"/>
          <w:bCs w:val="0"/>
          <w:color w:val="auto"/>
          <w:kern w:val="2"/>
          <w:sz w:val="32"/>
          <w:szCs w:val="32"/>
          <w:highlight w:val="none"/>
          <w:shd w:val="clear" w:color="auto" w:fill="auto"/>
          <w:lang w:val="en-US" w:eastAsia="zh-CN" w:bidi="ar"/>
        </w:rPr>
        <w:t>（一）</w:t>
      </w:r>
      <w:r>
        <w:rPr>
          <w:rFonts w:hint="eastAsia" w:ascii="楷体_GB2312" w:hAnsi="楷体_GB2312" w:eastAsia="楷体_GB2312" w:cs="楷体_GB2312"/>
          <w:b w:val="0"/>
          <w:bCs w:val="0"/>
          <w:color w:val="auto"/>
          <w:kern w:val="2"/>
          <w:sz w:val="32"/>
          <w:szCs w:val="32"/>
          <w:highlight w:val="none"/>
          <w:shd w:val="clear" w:color="auto" w:fill="auto"/>
          <w:lang w:val="en-US" w:eastAsia="zh-CN"/>
        </w:rPr>
        <w:t>推进核心绩效指标体系建设</w:t>
      </w:r>
    </w:p>
    <w:p w14:paraId="16530D5D">
      <w:pPr>
        <w:keepNext w:val="0"/>
        <w:keepLines w:val="0"/>
        <w:pageBreakBefore w:val="0"/>
        <w:kinsoku/>
        <w:wordWrap/>
        <w:overflowPunct/>
        <w:topLinePunct w:val="0"/>
        <w:autoSpaceDN/>
        <w:bidi w:val="0"/>
        <w:spacing w:line="560" w:lineRule="exact"/>
        <w:ind w:firstLine="640" w:firstLineChars="200"/>
        <w:textAlignment w:val="auto"/>
        <w:outlineLvl w:val="1"/>
        <w:rPr>
          <w:rFonts w:hint="eastAsia" w:ascii="Times New Roman" w:hAnsi="Times New Roman" w:eastAsia="仿宋_GB2312" w:cs="Times New Roman"/>
          <w:kern w:val="2"/>
          <w:sz w:val="32"/>
          <w:szCs w:val="24"/>
          <w:lang w:bidi="ar"/>
        </w:rPr>
      </w:pPr>
      <w:r>
        <w:rPr>
          <w:rFonts w:hint="eastAsia" w:ascii="Times New Roman" w:hAnsi="Times New Roman" w:eastAsia="仿宋_GB2312" w:cs="Times New Roman"/>
          <w:snapToGrid/>
          <w:color w:val="auto"/>
          <w:kern w:val="2"/>
          <w:sz w:val="32"/>
          <w:szCs w:val="24"/>
          <w:highlight w:val="none"/>
          <w:shd w:val="clear" w:color="auto" w:fill="auto"/>
          <w:lang w:bidi="ar"/>
        </w:rPr>
        <w:t>推动业务主管部门构建分行业、分领域、分层次的核心绩效指标和标准体系</w:t>
      </w:r>
      <w:r>
        <w:rPr>
          <w:rFonts w:hint="eastAsia" w:ascii="Times New Roman" w:hAnsi="Times New Roman" w:eastAsia="仿宋_GB2312" w:cs="Times New Roman"/>
          <w:snapToGrid/>
          <w:color w:val="auto"/>
          <w:kern w:val="2"/>
          <w:sz w:val="32"/>
          <w:szCs w:val="24"/>
          <w:highlight w:val="none"/>
          <w:shd w:val="clear" w:color="auto" w:fill="auto"/>
          <w:lang w:eastAsia="zh-CN" w:bidi="ar"/>
        </w:rPr>
        <w:t>，在总结前期</w:t>
      </w:r>
      <w:r>
        <w:rPr>
          <w:rFonts w:hint="eastAsia" w:ascii="Times New Roman" w:hAnsi="Times New Roman" w:eastAsia="仿宋_GB2312" w:cs="Times New Roman"/>
          <w:snapToGrid/>
          <w:color w:val="auto"/>
          <w:kern w:val="2"/>
          <w:sz w:val="32"/>
          <w:szCs w:val="24"/>
          <w:highlight w:val="none"/>
          <w:shd w:val="clear" w:color="auto" w:fill="auto"/>
          <w:lang w:val="en-US" w:eastAsia="zh-CN" w:bidi="ar"/>
        </w:rPr>
        <w:t>13个部门经验做法的基础上，扩大</w:t>
      </w:r>
      <w:r>
        <w:rPr>
          <w:rFonts w:hint="eastAsia" w:ascii="Times New Roman" w:hAnsi="Times New Roman" w:eastAsia="仿宋_GB2312" w:cs="Times New Roman"/>
          <w:snapToGrid/>
          <w:color w:val="auto"/>
          <w:kern w:val="2"/>
          <w:sz w:val="32"/>
          <w:szCs w:val="24"/>
          <w:highlight w:val="none"/>
          <w:shd w:val="clear" w:color="auto" w:fill="auto"/>
          <w:lang w:eastAsia="zh-CN" w:bidi="ar"/>
        </w:rPr>
        <w:t>实施部门整体支出核心绩效指标体系建设试点工作</w:t>
      </w:r>
      <w:r>
        <w:rPr>
          <w:rFonts w:hint="eastAsia" w:ascii="Times New Roman" w:hAnsi="Times New Roman" w:eastAsia="仿宋_GB2312" w:cs="Times New Roman"/>
          <w:snapToGrid/>
          <w:color w:val="auto"/>
          <w:kern w:val="2"/>
          <w:sz w:val="32"/>
          <w:szCs w:val="24"/>
          <w:highlight w:val="none"/>
          <w:shd w:val="clear" w:color="auto" w:fill="auto"/>
          <w:lang w:bidi="ar"/>
        </w:rPr>
        <w:t>，</w:t>
      </w:r>
      <w:r>
        <w:rPr>
          <w:rFonts w:hint="eastAsia" w:ascii="Times New Roman" w:hAnsi="Times New Roman" w:eastAsia="仿宋_GB2312" w:cs="Times New Roman"/>
          <w:snapToGrid/>
          <w:color w:val="auto"/>
          <w:kern w:val="2"/>
          <w:sz w:val="32"/>
          <w:szCs w:val="24"/>
          <w:highlight w:val="none"/>
          <w:shd w:val="clear" w:color="auto" w:fill="auto"/>
          <w:lang w:val="en-US" w:eastAsia="zh-CN" w:bidi="ar"/>
        </w:rPr>
        <w:t>进一步增加试点部门数量，</w:t>
      </w:r>
      <w:r>
        <w:rPr>
          <w:rFonts w:hint="eastAsia" w:ascii="Times New Roman" w:hAnsi="Times New Roman" w:eastAsia="仿宋_GB2312" w:cs="Times New Roman"/>
          <w:snapToGrid/>
          <w:color w:val="auto"/>
          <w:kern w:val="2"/>
          <w:sz w:val="32"/>
          <w:szCs w:val="24"/>
          <w:highlight w:val="none"/>
          <w:shd w:val="clear" w:color="auto" w:fill="auto"/>
          <w:lang w:eastAsia="zh-CN" w:bidi="ar"/>
        </w:rPr>
        <w:t>委托第三方机构辅导</w:t>
      </w:r>
      <w:r>
        <w:rPr>
          <w:rFonts w:hint="eastAsia" w:ascii="Times New Roman" w:hAnsi="Times New Roman" w:eastAsia="仿宋_GB2312" w:cs="Times New Roman"/>
          <w:snapToGrid/>
          <w:color w:val="auto"/>
          <w:kern w:val="2"/>
          <w:sz w:val="32"/>
          <w:szCs w:val="24"/>
          <w:highlight w:val="none"/>
          <w:shd w:val="clear" w:color="auto" w:fill="auto"/>
          <w:lang w:bidi="ar"/>
        </w:rPr>
        <w:t>试点部门</w:t>
      </w:r>
      <w:r>
        <w:rPr>
          <w:rFonts w:hint="eastAsia" w:ascii="Times New Roman" w:hAnsi="Times New Roman" w:eastAsia="仿宋_GB2312" w:cs="Times New Roman"/>
          <w:snapToGrid/>
          <w:color w:val="auto"/>
          <w:kern w:val="2"/>
          <w:sz w:val="32"/>
          <w:szCs w:val="24"/>
          <w:highlight w:val="none"/>
          <w:shd w:val="clear" w:color="auto" w:fill="auto"/>
          <w:lang w:eastAsia="zh-CN" w:bidi="ar"/>
        </w:rPr>
        <w:t>建立</w:t>
      </w:r>
      <w:r>
        <w:rPr>
          <w:rFonts w:hint="eastAsia" w:ascii="Times New Roman" w:hAnsi="Times New Roman" w:eastAsia="仿宋_GB2312" w:cs="Times New Roman"/>
          <w:snapToGrid/>
          <w:color w:val="auto"/>
          <w:kern w:val="2"/>
          <w:sz w:val="32"/>
          <w:szCs w:val="24"/>
          <w:highlight w:val="none"/>
          <w:shd w:val="clear" w:color="auto" w:fill="auto"/>
          <w:lang w:bidi="ar"/>
        </w:rPr>
        <w:t>部门整体</w:t>
      </w:r>
      <w:r>
        <w:rPr>
          <w:rFonts w:hint="eastAsia" w:ascii="Times New Roman" w:hAnsi="Times New Roman" w:eastAsia="仿宋_GB2312" w:cs="Times New Roman"/>
          <w:snapToGrid/>
          <w:color w:val="auto"/>
          <w:kern w:val="2"/>
          <w:sz w:val="32"/>
          <w:szCs w:val="24"/>
          <w:highlight w:val="none"/>
          <w:shd w:val="clear" w:color="auto" w:fill="auto"/>
          <w:lang w:eastAsia="zh-CN" w:bidi="ar"/>
        </w:rPr>
        <w:t>核心</w:t>
      </w:r>
      <w:r>
        <w:rPr>
          <w:rFonts w:hint="eastAsia" w:ascii="Times New Roman" w:hAnsi="Times New Roman" w:eastAsia="仿宋_GB2312" w:cs="Times New Roman"/>
          <w:snapToGrid/>
          <w:color w:val="auto"/>
          <w:kern w:val="2"/>
          <w:sz w:val="32"/>
          <w:szCs w:val="24"/>
          <w:highlight w:val="none"/>
          <w:shd w:val="clear" w:color="auto" w:fill="auto"/>
          <w:lang w:bidi="ar"/>
        </w:rPr>
        <w:t>绩效指标</w:t>
      </w:r>
      <w:r>
        <w:rPr>
          <w:rFonts w:hint="eastAsia" w:ascii="Times New Roman" w:hAnsi="Times New Roman" w:eastAsia="仿宋_GB2312" w:cs="Times New Roman"/>
          <w:snapToGrid/>
          <w:color w:val="auto"/>
          <w:kern w:val="2"/>
          <w:sz w:val="32"/>
          <w:szCs w:val="24"/>
          <w:highlight w:val="none"/>
          <w:shd w:val="clear" w:color="auto" w:fill="auto"/>
          <w:lang w:eastAsia="zh-CN" w:bidi="ar"/>
        </w:rPr>
        <w:t>，</w:t>
      </w:r>
      <w:r>
        <w:rPr>
          <w:rFonts w:hint="eastAsia" w:ascii="Times New Roman" w:hAnsi="Times New Roman" w:eastAsia="仿宋_GB2312" w:cs="Times New Roman"/>
          <w:kern w:val="2"/>
          <w:sz w:val="32"/>
          <w:szCs w:val="24"/>
          <w:lang w:bidi="ar"/>
        </w:rPr>
        <w:t>将绩效指标库</w:t>
      </w:r>
      <w:r>
        <w:rPr>
          <w:rFonts w:hint="eastAsia" w:ascii="Times New Roman" w:hAnsi="Times New Roman" w:eastAsia="仿宋_GB2312" w:cs="Times New Roman"/>
          <w:kern w:val="2"/>
          <w:sz w:val="32"/>
          <w:szCs w:val="24"/>
          <w:lang w:eastAsia="zh-CN" w:bidi="ar"/>
        </w:rPr>
        <w:t>实质</w:t>
      </w:r>
      <w:r>
        <w:rPr>
          <w:rFonts w:hint="eastAsia" w:ascii="Times New Roman" w:hAnsi="Times New Roman" w:eastAsia="仿宋_GB2312" w:cs="Times New Roman"/>
          <w:kern w:val="2"/>
          <w:sz w:val="32"/>
          <w:szCs w:val="24"/>
          <w:lang w:bidi="ar"/>
        </w:rPr>
        <w:t>应用到项目入库、预算编制和绩效评价中，并在实践中不断健全和完善</w:t>
      </w:r>
      <w:r>
        <w:rPr>
          <w:rFonts w:hint="eastAsia" w:ascii="Times New Roman" w:hAnsi="Times New Roman" w:eastAsia="仿宋_GB2312" w:cs="Times New Roman"/>
          <w:kern w:val="2"/>
          <w:sz w:val="32"/>
          <w:szCs w:val="24"/>
          <w:lang w:eastAsia="zh-CN" w:bidi="ar"/>
        </w:rPr>
        <w:t>，</w:t>
      </w:r>
      <w:r>
        <w:rPr>
          <w:rFonts w:hint="eastAsia" w:ascii="Times New Roman" w:hAnsi="Times New Roman" w:eastAsia="仿宋_GB2312" w:cs="Times New Roman"/>
          <w:kern w:val="2"/>
          <w:sz w:val="32"/>
          <w:szCs w:val="24"/>
          <w:lang w:bidi="ar"/>
        </w:rPr>
        <w:t>提升部门整体</w:t>
      </w:r>
      <w:r>
        <w:rPr>
          <w:rFonts w:hint="eastAsia" w:ascii="Times New Roman" w:hAnsi="Times New Roman" w:eastAsia="仿宋_GB2312" w:cs="Times New Roman"/>
          <w:kern w:val="2"/>
          <w:sz w:val="32"/>
          <w:szCs w:val="24"/>
          <w:lang w:eastAsia="zh-CN" w:bidi="ar"/>
        </w:rPr>
        <w:t>预算</w:t>
      </w:r>
      <w:r>
        <w:rPr>
          <w:rFonts w:hint="eastAsia" w:ascii="Times New Roman" w:hAnsi="Times New Roman" w:eastAsia="仿宋_GB2312" w:cs="Times New Roman"/>
          <w:kern w:val="2"/>
          <w:sz w:val="32"/>
          <w:szCs w:val="24"/>
          <w:lang w:bidi="ar"/>
        </w:rPr>
        <w:t>绩效管理水平。</w:t>
      </w:r>
    </w:p>
    <w:p w14:paraId="45932F38">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color w:val="auto"/>
          <w:kern w:val="2"/>
          <w:sz w:val="32"/>
          <w:szCs w:val="32"/>
          <w:highlight w:val="none"/>
          <w:shd w:val="clear" w:color="auto" w:fill="auto"/>
          <w:lang w:val="en-US" w:eastAsia="zh-CN" w:bidi="ar"/>
        </w:rPr>
      </w:pPr>
      <w:r>
        <w:rPr>
          <w:rFonts w:hint="eastAsia" w:ascii="楷体_GB2312" w:hAnsi="楷体_GB2312" w:eastAsia="楷体_GB2312" w:cs="楷体_GB2312"/>
          <w:b w:val="0"/>
          <w:bCs w:val="0"/>
          <w:color w:val="auto"/>
          <w:kern w:val="2"/>
          <w:sz w:val="32"/>
          <w:szCs w:val="32"/>
          <w:highlight w:val="none"/>
          <w:shd w:val="clear" w:color="auto" w:fill="auto"/>
          <w:lang w:val="en-US" w:eastAsia="zh-CN" w:bidi="ar"/>
        </w:rPr>
        <w:t>（二）加强绩效目标审核力度</w:t>
      </w:r>
    </w:p>
    <w:p w14:paraId="57EF97E3">
      <w:pPr>
        <w:keepNext w:val="0"/>
        <w:keepLines w:val="0"/>
        <w:pageBreakBefore w:val="0"/>
        <w:kinsoku/>
        <w:wordWrap/>
        <w:overflowPunct/>
        <w:topLinePunct w:val="0"/>
        <w:autoSpaceDN/>
        <w:bidi w:val="0"/>
        <w:spacing w:line="560" w:lineRule="exact"/>
        <w:ind w:firstLine="640" w:firstLineChars="200"/>
        <w:textAlignment w:val="auto"/>
        <w:outlineLvl w:val="1"/>
        <w:rPr>
          <w:rFonts w:hint="eastAsia" w:ascii="Times New Roman" w:hAnsi="Times New Roman" w:eastAsia="仿宋_GB2312" w:cs="Times New Roman"/>
          <w:b w:val="0"/>
          <w:bCs w:val="0"/>
          <w:kern w:val="2"/>
          <w:sz w:val="32"/>
          <w:szCs w:val="24"/>
          <w:lang w:val="en-US" w:eastAsia="zh-CN" w:bidi="ar"/>
        </w:rPr>
      </w:pPr>
      <w:r>
        <w:rPr>
          <w:rFonts w:hint="eastAsia" w:ascii="Times New Roman" w:hAnsi="Times New Roman" w:eastAsia="仿宋_GB2312" w:cs="Times New Roman"/>
          <w:b w:val="0"/>
          <w:bCs w:val="0"/>
          <w:kern w:val="2"/>
          <w:sz w:val="32"/>
          <w:szCs w:val="24"/>
          <w:lang w:val="en-US" w:eastAsia="zh-CN" w:bidi="ar"/>
        </w:rPr>
        <w:t>未按要求设置绩效目标的项目一律不得纳入项目库，对于已纳入项目库但未结合预算申报优化绩效目标和指标的退回修改或不予安排预算</w:t>
      </w:r>
      <w:r>
        <w:rPr>
          <w:rFonts w:hint="eastAsia" w:eastAsia="仿宋_GB2312" w:cs="Times New Roman"/>
          <w:b w:val="0"/>
          <w:bCs w:val="0"/>
          <w:kern w:val="2"/>
          <w:sz w:val="32"/>
          <w:szCs w:val="24"/>
          <w:lang w:val="en-US" w:eastAsia="zh-CN" w:bidi="ar"/>
        </w:rPr>
        <w:t>。</w:t>
      </w:r>
      <w:r>
        <w:rPr>
          <w:rFonts w:hint="eastAsia" w:ascii="Times New Roman" w:hAnsi="Times New Roman" w:eastAsia="仿宋_GB2312" w:cs="Times New Roman"/>
          <w:b w:val="0"/>
          <w:bCs w:val="0"/>
          <w:kern w:val="2"/>
          <w:sz w:val="32"/>
          <w:szCs w:val="24"/>
          <w:lang w:val="en-US" w:eastAsia="zh-CN" w:bidi="ar"/>
        </w:rPr>
        <w:t>委托第三方机构开展部门整体绩效目标评审，并选取部分重点项目开展绩效目标评审，通过评审加培训相结合的方式逐步提高绩效目标申报质量。</w:t>
      </w:r>
    </w:p>
    <w:p w14:paraId="59F882F5">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auto"/>
          <w:kern w:val="2"/>
          <w:sz w:val="32"/>
          <w:szCs w:val="32"/>
          <w:highlight w:val="none"/>
          <w:shd w:val="clear" w:color="auto" w:fill="auto"/>
          <w:lang w:val="en-US" w:eastAsia="zh-CN" w:bidi="ar"/>
        </w:rPr>
      </w:pPr>
      <w:r>
        <w:rPr>
          <w:rFonts w:hint="eastAsia" w:ascii="楷体_GB2312" w:hAnsi="楷体_GB2312" w:eastAsia="楷体_GB2312" w:cs="楷体_GB2312"/>
          <w:b w:val="0"/>
          <w:bCs w:val="0"/>
          <w:color w:val="auto"/>
          <w:kern w:val="2"/>
          <w:sz w:val="32"/>
          <w:szCs w:val="32"/>
          <w:highlight w:val="none"/>
          <w:shd w:val="clear" w:color="auto" w:fill="auto"/>
          <w:lang w:val="en-US" w:eastAsia="zh-CN" w:bidi="ar"/>
        </w:rPr>
        <w:t>（三）夯实</w:t>
      </w:r>
      <w:r>
        <w:rPr>
          <w:rFonts w:hint="default" w:ascii="楷体_GB2312" w:hAnsi="楷体_GB2312" w:eastAsia="楷体_GB2312" w:cs="楷体_GB2312"/>
          <w:b w:val="0"/>
          <w:bCs w:val="0"/>
          <w:color w:val="auto"/>
          <w:kern w:val="2"/>
          <w:sz w:val="32"/>
          <w:szCs w:val="32"/>
          <w:highlight w:val="none"/>
          <w:shd w:val="clear" w:color="auto" w:fill="auto"/>
          <w:lang w:val="en-US" w:eastAsia="zh-CN" w:bidi="ar"/>
        </w:rPr>
        <w:t>绩效运行监控</w:t>
      </w:r>
      <w:r>
        <w:rPr>
          <w:rFonts w:hint="eastAsia" w:ascii="楷体_GB2312" w:hAnsi="楷体_GB2312" w:eastAsia="楷体_GB2312" w:cs="楷体_GB2312"/>
          <w:b w:val="0"/>
          <w:bCs w:val="0"/>
          <w:color w:val="auto"/>
          <w:kern w:val="2"/>
          <w:sz w:val="32"/>
          <w:szCs w:val="32"/>
          <w:highlight w:val="none"/>
          <w:shd w:val="clear" w:color="auto" w:fill="auto"/>
          <w:lang w:val="en-US" w:eastAsia="zh-CN" w:bidi="ar"/>
        </w:rPr>
        <w:t>成果</w:t>
      </w:r>
    </w:p>
    <w:p w14:paraId="6B371EA8">
      <w:pPr>
        <w:keepNext w:val="0"/>
        <w:keepLines w:val="0"/>
        <w:pageBreakBefore w:val="0"/>
        <w:kinsoku/>
        <w:wordWrap/>
        <w:overflowPunct/>
        <w:topLinePunct w:val="0"/>
        <w:autoSpaceDN/>
        <w:bidi w:val="0"/>
        <w:spacing w:line="560" w:lineRule="exact"/>
        <w:ind w:firstLine="640" w:firstLineChars="200"/>
        <w:textAlignment w:val="auto"/>
        <w:outlineLvl w:val="1"/>
        <w:rPr>
          <w:rFonts w:hint="eastAsia" w:ascii="Times New Roman" w:hAnsi="Times New Roman" w:eastAsia="仿宋_GB2312" w:cs="Times New Roman"/>
          <w:snapToGrid w:val="0"/>
          <w:kern w:val="0"/>
          <w:sz w:val="32"/>
          <w:szCs w:val="32"/>
          <w:highlight w:val="none"/>
          <w:shd w:val="clear" w:color="auto" w:fill="auto"/>
          <w:lang w:val="en-US" w:eastAsia="zh-CN"/>
        </w:rPr>
      </w:pPr>
      <w:r>
        <w:rPr>
          <w:rFonts w:hint="eastAsia" w:ascii="Times New Roman" w:hAnsi="Times New Roman" w:eastAsia="仿宋_GB2312" w:cs="Times New Roman"/>
          <w:snapToGrid w:val="0"/>
          <w:kern w:val="0"/>
          <w:sz w:val="32"/>
          <w:szCs w:val="32"/>
          <w:highlight w:val="none"/>
          <w:shd w:val="clear" w:color="auto" w:fill="auto"/>
          <w:lang w:eastAsia="zh-CN"/>
        </w:rPr>
        <w:t>以推进部门整体绩效监控为</w:t>
      </w:r>
      <w:r>
        <w:rPr>
          <w:rFonts w:hint="eastAsia" w:ascii="Times New Roman" w:hAnsi="Times New Roman" w:eastAsia="仿宋_GB2312" w:cs="Times New Roman"/>
          <w:snapToGrid w:val="0"/>
          <w:kern w:val="0"/>
          <w:sz w:val="32"/>
          <w:szCs w:val="32"/>
          <w:highlight w:val="none"/>
          <w:shd w:val="clear" w:color="auto" w:fill="auto"/>
          <w:lang w:val="en-US" w:eastAsia="zh-CN"/>
        </w:rPr>
        <w:t>核心</w:t>
      </w:r>
      <w:r>
        <w:rPr>
          <w:rFonts w:hint="eastAsia" w:ascii="Times New Roman" w:hAnsi="Times New Roman" w:eastAsia="仿宋_GB2312" w:cs="Times New Roman"/>
          <w:snapToGrid w:val="0"/>
          <w:kern w:val="0"/>
          <w:sz w:val="32"/>
          <w:szCs w:val="32"/>
          <w:highlight w:val="none"/>
          <w:shd w:val="clear" w:color="auto" w:fill="auto"/>
          <w:lang w:eastAsia="zh-CN"/>
        </w:rPr>
        <w:t>，健全完善</w:t>
      </w:r>
      <w:r>
        <w:rPr>
          <w:rFonts w:hint="default" w:ascii="Times New Roman" w:hAnsi="Times New Roman" w:eastAsia="仿宋_GB2312" w:cs="Times New Roman"/>
          <w:snapToGrid w:val="0"/>
          <w:kern w:val="0"/>
          <w:sz w:val="32"/>
          <w:szCs w:val="32"/>
          <w:highlight w:val="none"/>
          <w:shd w:val="clear" w:color="auto" w:fill="auto"/>
          <w:lang w:eastAsia="zh-CN"/>
        </w:rPr>
        <w:t>“</w:t>
      </w:r>
      <w:r>
        <w:rPr>
          <w:rFonts w:hint="eastAsia" w:ascii="Times New Roman" w:hAnsi="Times New Roman" w:eastAsia="仿宋_GB2312" w:cs="Times New Roman"/>
          <w:snapToGrid w:val="0"/>
          <w:kern w:val="0"/>
          <w:sz w:val="32"/>
          <w:szCs w:val="32"/>
          <w:highlight w:val="none"/>
          <w:shd w:val="clear" w:color="auto" w:fill="auto"/>
          <w:lang w:eastAsia="zh-CN"/>
        </w:rPr>
        <w:t>部门整体+重点项目</w:t>
      </w:r>
      <w:r>
        <w:rPr>
          <w:rFonts w:hint="default" w:ascii="Times New Roman" w:hAnsi="Times New Roman" w:eastAsia="仿宋_GB2312" w:cs="Times New Roman"/>
          <w:snapToGrid w:val="0"/>
          <w:kern w:val="0"/>
          <w:sz w:val="32"/>
          <w:szCs w:val="32"/>
          <w:highlight w:val="none"/>
          <w:shd w:val="clear" w:color="auto" w:fill="auto"/>
          <w:lang w:eastAsia="zh-CN"/>
        </w:rPr>
        <w:t>”</w:t>
      </w:r>
      <w:r>
        <w:rPr>
          <w:rFonts w:hint="eastAsia" w:ascii="Times New Roman" w:hAnsi="Times New Roman" w:eastAsia="仿宋_GB2312" w:cs="Times New Roman"/>
          <w:snapToGrid w:val="0"/>
          <w:kern w:val="0"/>
          <w:sz w:val="32"/>
          <w:szCs w:val="32"/>
          <w:highlight w:val="none"/>
          <w:shd w:val="clear" w:color="auto" w:fill="auto"/>
          <w:lang w:eastAsia="zh-CN"/>
        </w:rPr>
        <w:t>的绩效运行监控体系，</w:t>
      </w:r>
      <w:r>
        <w:rPr>
          <w:rFonts w:hint="eastAsia" w:ascii="Times New Roman" w:hAnsi="Times New Roman" w:eastAsia="仿宋_GB2312" w:cs="Times New Roman"/>
          <w:snapToGrid w:val="0"/>
          <w:kern w:val="0"/>
          <w:sz w:val="32"/>
          <w:szCs w:val="32"/>
          <w:highlight w:val="none"/>
          <w:shd w:val="clear" w:color="auto" w:fill="auto"/>
          <w:lang w:val="en-US" w:eastAsia="zh-CN"/>
        </w:rPr>
        <w:t>提高绩效监控质量</w:t>
      </w:r>
      <w:r>
        <w:rPr>
          <w:rFonts w:hint="eastAsia" w:ascii="Times New Roman" w:hAnsi="Times New Roman" w:eastAsia="仿宋_GB2312" w:cs="Times New Roman"/>
          <w:snapToGrid w:val="0"/>
          <w:kern w:val="0"/>
          <w:sz w:val="32"/>
          <w:szCs w:val="32"/>
          <w:highlight w:val="none"/>
          <w:shd w:val="clear" w:color="auto" w:fill="auto"/>
          <w:lang w:eastAsia="zh-CN"/>
        </w:rPr>
        <w:t>。</w:t>
      </w:r>
      <w:r>
        <w:rPr>
          <w:rFonts w:hint="eastAsia" w:eastAsia="仿宋_GB2312"/>
          <w:sz w:val="32"/>
          <w:szCs w:val="32"/>
        </w:rPr>
        <w:t>加强</w:t>
      </w:r>
      <w:r>
        <w:rPr>
          <w:rFonts w:hint="eastAsia" w:eastAsia="仿宋_GB2312"/>
          <w:sz w:val="32"/>
          <w:szCs w:val="32"/>
          <w:lang w:val="en-US" w:eastAsia="zh-CN"/>
        </w:rPr>
        <w:t>监控</w:t>
      </w:r>
      <w:r>
        <w:rPr>
          <w:rFonts w:hint="eastAsia" w:ascii="Times New Roman" w:hAnsi="Times New Roman" w:eastAsia="仿宋_GB2312" w:cs="Times New Roman"/>
          <w:snapToGrid w:val="0"/>
          <w:kern w:val="0"/>
          <w:sz w:val="32"/>
          <w:szCs w:val="32"/>
          <w:highlight w:val="none"/>
          <w:shd w:val="clear" w:color="auto" w:fill="auto"/>
          <w:lang w:eastAsia="zh-CN"/>
        </w:rPr>
        <w:t>结果反馈</w:t>
      </w:r>
      <w:r>
        <w:rPr>
          <w:rFonts w:hint="eastAsia" w:ascii="Times New Roman" w:hAnsi="Times New Roman" w:eastAsia="仿宋_GB2312" w:cs="Times New Roman"/>
          <w:snapToGrid w:val="0"/>
          <w:kern w:val="0"/>
          <w:sz w:val="32"/>
          <w:szCs w:val="32"/>
          <w:highlight w:val="none"/>
          <w:shd w:val="clear" w:color="auto" w:fill="auto"/>
          <w:lang w:val="en-US" w:eastAsia="zh-CN"/>
        </w:rPr>
        <w:t>跟踪机制，以监控结果中可立行立改的问题为重点，建立专人跟进、限时整改、逐条消项的工作机制</w:t>
      </w:r>
      <w:r>
        <w:rPr>
          <w:rFonts w:hint="eastAsia" w:eastAsia="仿宋_GB2312" w:cs="Times New Roman"/>
          <w:snapToGrid w:val="0"/>
          <w:kern w:val="0"/>
          <w:sz w:val="32"/>
          <w:szCs w:val="32"/>
          <w:highlight w:val="none"/>
          <w:shd w:val="clear" w:color="auto" w:fill="auto"/>
          <w:lang w:val="en-US" w:eastAsia="zh-CN"/>
        </w:rPr>
        <w:t>。</w:t>
      </w:r>
      <w:r>
        <w:rPr>
          <w:rFonts w:hint="eastAsia" w:ascii="Times New Roman" w:hAnsi="Times New Roman" w:eastAsia="仿宋_GB2312" w:cs="Times New Roman"/>
          <w:snapToGrid w:val="0"/>
          <w:kern w:val="0"/>
          <w:sz w:val="32"/>
          <w:szCs w:val="32"/>
          <w:highlight w:val="none"/>
          <w:shd w:val="clear" w:color="auto" w:fill="auto"/>
          <w:lang w:val="en-US" w:eastAsia="zh-CN"/>
        </w:rPr>
        <w:t>对于需长期整改的则编制清单登记，结合整改情况合理安排财政资金。</w:t>
      </w:r>
    </w:p>
    <w:p w14:paraId="3D506EF6">
      <w:pPr>
        <w:keepNext w:val="0"/>
        <w:keepLines w:val="0"/>
        <w:pageBreakBefore w:val="0"/>
        <w:numPr>
          <w:ilvl w:val="0"/>
          <w:numId w:val="0"/>
        </w:numPr>
        <w:kinsoku/>
        <w:wordWrap/>
        <w:overflowPunct/>
        <w:topLinePunct w:val="0"/>
        <w:autoSpaceDN/>
        <w:bidi w:val="0"/>
        <w:adjustRightInd w:val="0"/>
        <w:snapToGrid w:val="0"/>
        <w:spacing w:line="560" w:lineRule="exact"/>
        <w:ind w:firstLine="640" w:firstLineChars="200"/>
        <w:textAlignment w:val="auto"/>
        <w:rPr>
          <w:rFonts w:hint="default" w:ascii="楷体_GB2312" w:hAnsi="楷体_GB2312" w:eastAsia="楷体_GB2312" w:cs="楷体_GB2312"/>
          <w:b w:val="0"/>
          <w:bCs w:val="0"/>
          <w:color w:val="auto"/>
          <w:kern w:val="2"/>
          <w:sz w:val="32"/>
          <w:szCs w:val="32"/>
          <w:highlight w:val="none"/>
          <w:shd w:val="clear" w:color="auto" w:fill="auto"/>
          <w:lang w:val="en-US" w:eastAsia="zh-CN" w:bidi="ar"/>
        </w:rPr>
      </w:pPr>
      <w:r>
        <w:rPr>
          <w:rFonts w:hint="eastAsia" w:ascii="楷体_GB2312" w:hAnsi="楷体_GB2312" w:eastAsia="楷体_GB2312" w:cs="楷体_GB2312"/>
          <w:b w:val="0"/>
          <w:bCs w:val="0"/>
          <w:color w:val="auto"/>
          <w:kern w:val="2"/>
          <w:sz w:val="32"/>
          <w:szCs w:val="32"/>
          <w:highlight w:val="none"/>
          <w:shd w:val="clear" w:color="auto" w:fill="auto"/>
          <w:lang w:val="en-US" w:eastAsia="zh-CN" w:bidi="ar"/>
        </w:rPr>
        <w:t>（四）优化绩效评价工作机制</w:t>
      </w:r>
    </w:p>
    <w:p w14:paraId="1BBF582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aps w:val="0"/>
          <w:spacing w:val="0"/>
          <w:kern w:val="2"/>
          <w:sz w:val="32"/>
          <w:szCs w:val="24"/>
          <w:highlight w:val="none"/>
          <w:shd w:val="clear" w:color="auto" w:fill="auto"/>
          <w:lang w:val="en-US" w:eastAsia="zh-CN" w:bidi="ar"/>
        </w:rPr>
      </w:pPr>
      <w:r>
        <w:rPr>
          <w:rFonts w:hint="eastAsia" w:ascii="Times New Roman" w:hAnsi="Times New Roman" w:eastAsia="仿宋_GB2312" w:cs="Times New Roman"/>
          <w:b w:val="0"/>
          <w:bCs w:val="0"/>
          <w:caps w:val="0"/>
          <w:spacing w:val="0"/>
          <w:kern w:val="2"/>
          <w:sz w:val="32"/>
          <w:szCs w:val="24"/>
          <w:highlight w:val="none"/>
          <w:shd w:val="clear" w:color="auto" w:fill="auto"/>
          <w:lang w:val="en-US" w:eastAsia="zh-CN" w:bidi="ar"/>
        </w:rPr>
        <w:t>将绩效评价工作靠前安排，争取在开展年中绩效监控前完成上一年的绩效评价，促进绩效评价结果运用于预算执行及预算编报。将绩效评价资源向部门整体评价、重点项目和政策倾斜，进一步完善区人大常委会</w:t>
      </w:r>
      <w:r>
        <w:rPr>
          <w:rFonts w:hint="eastAsia" w:eastAsia="仿宋_GB2312" w:cs="Times New Roman"/>
          <w:b w:val="0"/>
          <w:bCs w:val="0"/>
          <w:caps w:val="0"/>
          <w:spacing w:val="0"/>
          <w:kern w:val="2"/>
          <w:sz w:val="32"/>
          <w:szCs w:val="24"/>
          <w:highlight w:val="none"/>
          <w:shd w:val="clear" w:color="auto" w:fill="auto"/>
          <w:lang w:val="en-US" w:eastAsia="zh-CN" w:bidi="ar"/>
        </w:rPr>
        <w:t>预算</w:t>
      </w:r>
      <w:r>
        <w:rPr>
          <w:rFonts w:hint="eastAsia" w:ascii="Times New Roman" w:hAnsi="Times New Roman" w:eastAsia="仿宋_GB2312" w:cs="Times New Roman"/>
          <w:b w:val="0"/>
          <w:bCs w:val="0"/>
          <w:caps w:val="0"/>
          <w:spacing w:val="0"/>
          <w:kern w:val="2"/>
          <w:sz w:val="32"/>
          <w:szCs w:val="24"/>
          <w:highlight w:val="none"/>
          <w:shd w:val="clear" w:color="auto" w:fill="auto"/>
          <w:lang w:val="en-US" w:eastAsia="zh-CN" w:bidi="ar"/>
        </w:rPr>
        <w:t>工委、审计部门对重点评价对象的推选机制，提升绩效评价实效。</w:t>
      </w:r>
    </w:p>
    <w:p w14:paraId="3CC6A9D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val="0"/>
          <w:spacing w:val="0"/>
          <w:kern w:val="2"/>
          <w:sz w:val="32"/>
          <w:szCs w:val="24"/>
          <w:highlight w:val="none"/>
          <w:shd w:val="clear" w:color="auto" w:fill="auto"/>
          <w:lang w:val="en-US" w:eastAsia="zh-CN" w:bidi="ar"/>
        </w:rPr>
      </w:pPr>
    </w:p>
    <w:p w14:paraId="54672F12">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val="0"/>
          <w:color w:val="auto"/>
          <w:sz w:val="32"/>
          <w:szCs w:val="32"/>
          <w:lang w:val="en-US" w:eastAsia="zh-CN"/>
        </w:rPr>
      </w:pPr>
      <w:r>
        <w:rPr>
          <w:rFonts w:hint="eastAsia" w:ascii="Times New Roman" w:hAnsi="Times New Roman" w:eastAsia="仿宋_GB2312" w:cs="Times New Roman"/>
          <w:bCs w:val="0"/>
          <w:color w:val="auto"/>
          <w:sz w:val="32"/>
          <w:szCs w:val="32"/>
          <w:lang w:val="en-US" w:eastAsia="zh-CN"/>
        </w:rPr>
        <w:t>附件：1.2023年度区本级财政支出绩效评价结果汇总</w:t>
      </w:r>
    </w:p>
    <w:p w14:paraId="7E2D092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Cs w:val="0"/>
          <w:color w:val="auto"/>
          <w:sz w:val="32"/>
          <w:szCs w:val="32"/>
          <w:lang w:val="en-US" w:eastAsia="zh-CN"/>
        </w:rPr>
      </w:pPr>
      <w:r>
        <w:rPr>
          <w:rFonts w:hint="eastAsia" w:ascii="Times New Roman" w:hAnsi="Times New Roman" w:eastAsia="仿宋_GB2312" w:cs="Times New Roman"/>
          <w:bCs w:val="0"/>
          <w:color w:val="auto"/>
          <w:sz w:val="32"/>
          <w:szCs w:val="32"/>
          <w:lang w:val="en-US" w:eastAsia="zh-CN"/>
        </w:rPr>
        <w:t xml:space="preserve">          2.2023年度财政支出自评复核项目绩效情况表</w:t>
      </w:r>
    </w:p>
    <w:p w14:paraId="44632DE8">
      <w:pPr>
        <w:pStyle w:val="2"/>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Times New Roman" w:hAnsi="Times New Roman" w:eastAsia="仿宋_GB2312" w:cs="Times New Roman"/>
          <w:bCs w:val="0"/>
          <w:color w:val="auto"/>
          <w:sz w:val="32"/>
          <w:szCs w:val="32"/>
          <w:lang w:val="en-US" w:eastAsia="zh-CN"/>
        </w:rPr>
      </w:pPr>
      <w:r>
        <w:rPr>
          <w:rFonts w:hint="eastAsia" w:ascii="Times New Roman" w:hAnsi="Times New Roman" w:eastAsia="仿宋_GB2312" w:cs="Times New Roman"/>
          <w:bCs w:val="0"/>
          <w:color w:val="auto"/>
          <w:sz w:val="32"/>
          <w:szCs w:val="32"/>
          <w:lang w:val="en-US" w:eastAsia="zh-CN"/>
        </w:rPr>
        <w:t xml:space="preserve">          3.2023年度区本级财政支出绩效评价结果报告</w:t>
      </w:r>
    </w:p>
    <w:p w14:paraId="0AAB7E90">
      <w:pPr>
        <w:pStyle w:val="2"/>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Times New Roman" w:hAnsi="Times New Roman" w:eastAsia="仿宋_GB2312" w:cs="Times New Roman"/>
          <w:bCs w:val="0"/>
          <w:color w:val="auto"/>
          <w:sz w:val="32"/>
          <w:szCs w:val="32"/>
          <w:lang w:val="en-US" w:eastAsia="zh-CN"/>
        </w:rPr>
      </w:pPr>
    </w:p>
    <w:p w14:paraId="3F5652E1">
      <w:pPr>
        <w:pStyle w:val="2"/>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Times New Roman" w:hAnsi="Times New Roman" w:eastAsia="仿宋_GB2312" w:cs="Times New Roman"/>
          <w:bCs w:val="0"/>
          <w:color w:val="auto"/>
          <w:sz w:val="32"/>
          <w:szCs w:val="32"/>
          <w:lang w:val="en-US" w:eastAsia="zh-CN"/>
        </w:rPr>
      </w:pPr>
    </w:p>
    <w:p w14:paraId="03E4F4F8">
      <w:pPr>
        <w:pStyle w:val="2"/>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Times New Roman" w:hAnsi="Times New Roman" w:eastAsia="仿宋_GB2312" w:cs="Times New Roman"/>
          <w:bCs w:val="0"/>
          <w:color w:val="auto"/>
          <w:sz w:val="32"/>
          <w:szCs w:val="32"/>
          <w:lang w:val="en-US" w:eastAsia="zh-CN"/>
        </w:rPr>
      </w:pPr>
    </w:p>
    <w:p w14:paraId="25968B50">
      <w:pPr>
        <w:pStyle w:val="2"/>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Times New Roman" w:hAnsi="Times New Roman" w:eastAsia="仿宋_GB2312" w:cs="Times New Roman"/>
          <w:bCs w:val="0"/>
          <w:color w:val="auto"/>
          <w:sz w:val="32"/>
          <w:szCs w:val="32"/>
          <w:lang w:val="en-US" w:eastAsia="zh-CN"/>
        </w:rPr>
      </w:pPr>
    </w:p>
    <w:p w14:paraId="731BEB75">
      <w:pPr>
        <w:spacing w:line="560" w:lineRule="exact"/>
        <w:ind w:firstLine="160" w:firstLineChars="50"/>
        <w:rPr>
          <w:rFonts w:eastAsia="仿宋_GB2312"/>
          <w:sz w:val="32"/>
          <w:szCs w:val="32"/>
        </w:rPr>
      </w:pPr>
    </w:p>
    <w:sectPr>
      <w:headerReference r:id="rId3" w:type="default"/>
      <w:footerReference r:id="rId4" w:type="default"/>
      <w:footerReference r:id="rId5" w:type="even"/>
      <w:footnotePr>
        <w:numFmt w:val="decimalEnclosedCircleChinese"/>
      </w:footnotePr>
      <w:pgSz w:w="11906" w:h="16838"/>
      <w:pgMar w:top="2098" w:right="1417" w:bottom="1984" w:left="1531" w:header="851" w:footer="1587" w:gutter="0"/>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D6FE2">
    <w:pPr>
      <w:pStyle w:val="7"/>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F65402">
                          <w:pPr>
                            <w:pStyle w:val="7"/>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22F65402">
                    <w:pPr>
                      <w:pStyle w:val="7"/>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0071">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4025">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numFmt w:val="decimalEnclosedCircleChinese"/>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CE6"/>
    <w:rsid w:val="00026D5D"/>
    <w:rsid w:val="000530FE"/>
    <w:rsid w:val="00172A27"/>
    <w:rsid w:val="001E64CE"/>
    <w:rsid w:val="002826EC"/>
    <w:rsid w:val="00367110"/>
    <w:rsid w:val="00412BA4"/>
    <w:rsid w:val="0041676B"/>
    <w:rsid w:val="0048152B"/>
    <w:rsid w:val="006B306A"/>
    <w:rsid w:val="00745180"/>
    <w:rsid w:val="00880044"/>
    <w:rsid w:val="00963A70"/>
    <w:rsid w:val="00BA4591"/>
    <w:rsid w:val="00BE659C"/>
    <w:rsid w:val="00C967C3"/>
    <w:rsid w:val="00CA1083"/>
    <w:rsid w:val="00E000B3"/>
    <w:rsid w:val="00F61754"/>
    <w:rsid w:val="04164326"/>
    <w:rsid w:val="04C9109E"/>
    <w:rsid w:val="05016061"/>
    <w:rsid w:val="056B29AB"/>
    <w:rsid w:val="06010B08"/>
    <w:rsid w:val="07F53DA2"/>
    <w:rsid w:val="08DB67DB"/>
    <w:rsid w:val="09832D1C"/>
    <w:rsid w:val="09C72BF3"/>
    <w:rsid w:val="09F1177D"/>
    <w:rsid w:val="0A264588"/>
    <w:rsid w:val="0A8044B6"/>
    <w:rsid w:val="0B981F12"/>
    <w:rsid w:val="0BE73EA2"/>
    <w:rsid w:val="0BF78274"/>
    <w:rsid w:val="0CB46CC4"/>
    <w:rsid w:val="0EBA471D"/>
    <w:rsid w:val="0EEE5DA3"/>
    <w:rsid w:val="0FEBE94C"/>
    <w:rsid w:val="0FF00C34"/>
    <w:rsid w:val="103C0455"/>
    <w:rsid w:val="10414385"/>
    <w:rsid w:val="11390EB4"/>
    <w:rsid w:val="122402FE"/>
    <w:rsid w:val="13FBAE61"/>
    <w:rsid w:val="141105A5"/>
    <w:rsid w:val="14742EF1"/>
    <w:rsid w:val="147B18A5"/>
    <w:rsid w:val="150F476C"/>
    <w:rsid w:val="151521D9"/>
    <w:rsid w:val="15A074FD"/>
    <w:rsid w:val="17E4270A"/>
    <w:rsid w:val="181D6410"/>
    <w:rsid w:val="18263E05"/>
    <w:rsid w:val="19560F0E"/>
    <w:rsid w:val="1AD24843"/>
    <w:rsid w:val="1AF142F6"/>
    <w:rsid w:val="1C0D3B6D"/>
    <w:rsid w:val="1CAE70C0"/>
    <w:rsid w:val="1D672CEC"/>
    <w:rsid w:val="1DD55BEA"/>
    <w:rsid w:val="1EFA2A1B"/>
    <w:rsid w:val="1FBE888D"/>
    <w:rsid w:val="1FFDC951"/>
    <w:rsid w:val="201C050B"/>
    <w:rsid w:val="20745A6E"/>
    <w:rsid w:val="21C73D66"/>
    <w:rsid w:val="231D1A3C"/>
    <w:rsid w:val="2394697F"/>
    <w:rsid w:val="23BF76C7"/>
    <w:rsid w:val="241BC5F3"/>
    <w:rsid w:val="24B40A7E"/>
    <w:rsid w:val="253325FB"/>
    <w:rsid w:val="26487037"/>
    <w:rsid w:val="26BE6EA3"/>
    <w:rsid w:val="26FC6074"/>
    <w:rsid w:val="27B855E6"/>
    <w:rsid w:val="27F22AD1"/>
    <w:rsid w:val="285C36E4"/>
    <w:rsid w:val="286A4EAD"/>
    <w:rsid w:val="28880E5C"/>
    <w:rsid w:val="296D5306"/>
    <w:rsid w:val="2AEC1384"/>
    <w:rsid w:val="2AFF2B22"/>
    <w:rsid w:val="2B8973F8"/>
    <w:rsid w:val="2B915B31"/>
    <w:rsid w:val="2BD835FA"/>
    <w:rsid w:val="2BEB3257"/>
    <w:rsid w:val="2CC533F7"/>
    <w:rsid w:val="2D7EF819"/>
    <w:rsid w:val="2E4F5D77"/>
    <w:rsid w:val="2E7F3921"/>
    <w:rsid w:val="2EEE42AC"/>
    <w:rsid w:val="2F643434"/>
    <w:rsid w:val="2F716D97"/>
    <w:rsid w:val="303643A5"/>
    <w:rsid w:val="30671130"/>
    <w:rsid w:val="306D276E"/>
    <w:rsid w:val="30C12403"/>
    <w:rsid w:val="315E0313"/>
    <w:rsid w:val="31A3121C"/>
    <w:rsid w:val="31CF4BD7"/>
    <w:rsid w:val="329C63F4"/>
    <w:rsid w:val="33551FD9"/>
    <w:rsid w:val="33C8441C"/>
    <w:rsid w:val="340F22D2"/>
    <w:rsid w:val="356B109F"/>
    <w:rsid w:val="35E17E3B"/>
    <w:rsid w:val="35F6FFBC"/>
    <w:rsid w:val="361E7911"/>
    <w:rsid w:val="366C1360"/>
    <w:rsid w:val="37103479"/>
    <w:rsid w:val="375D5DB2"/>
    <w:rsid w:val="37C141AB"/>
    <w:rsid w:val="37C5BE46"/>
    <w:rsid w:val="37FF95DD"/>
    <w:rsid w:val="38517D92"/>
    <w:rsid w:val="386E130C"/>
    <w:rsid w:val="38BB1699"/>
    <w:rsid w:val="394149E4"/>
    <w:rsid w:val="39EFC1FC"/>
    <w:rsid w:val="3A0745AD"/>
    <w:rsid w:val="3A581C28"/>
    <w:rsid w:val="3A753D8D"/>
    <w:rsid w:val="3A9D2092"/>
    <w:rsid w:val="3AB42E29"/>
    <w:rsid w:val="3ADA38F6"/>
    <w:rsid w:val="3AF0786C"/>
    <w:rsid w:val="3B6F0CFD"/>
    <w:rsid w:val="3B72749D"/>
    <w:rsid w:val="3BCF834B"/>
    <w:rsid w:val="3CB21BA6"/>
    <w:rsid w:val="3CCF0475"/>
    <w:rsid w:val="3D790DAE"/>
    <w:rsid w:val="3DFB49E6"/>
    <w:rsid w:val="3ED0437F"/>
    <w:rsid w:val="3F9B831C"/>
    <w:rsid w:val="3FF022BC"/>
    <w:rsid w:val="3FF43333"/>
    <w:rsid w:val="405934EF"/>
    <w:rsid w:val="414C7ECC"/>
    <w:rsid w:val="420662CD"/>
    <w:rsid w:val="420B2474"/>
    <w:rsid w:val="429F6350"/>
    <w:rsid w:val="43004CA2"/>
    <w:rsid w:val="449C6F7E"/>
    <w:rsid w:val="44E142B1"/>
    <w:rsid w:val="4548468F"/>
    <w:rsid w:val="45B917F9"/>
    <w:rsid w:val="46017A61"/>
    <w:rsid w:val="46462613"/>
    <w:rsid w:val="466FE730"/>
    <w:rsid w:val="46781D78"/>
    <w:rsid w:val="46947E4D"/>
    <w:rsid w:val="46DE5E9D"/>
    <w:rsid w:val="47887349"/>
    <w:rsid w:val="47AB5234"/>
    <w:rsid w:val="47AF754B"/>
    <w:rsid w:val="47F5FF4C"/>
    <w:rsid w:val="48612F25"/>
    <w:rsid w:val="49794A63"/>
    <w:rsid w:val="4A751514"/>
    <w:rsid w:val="4AC12C17"/>
    <w:rsid w:val="4B3F51BA"/>
    <w:rsid w:val="4B9DF92D"/>
    <w:rsid w:val="4BA62EA3"/>
    <w:rsid w:val="4BDF9C99"/>
    <w:rsid w:val="4C6065D9"/>
    <w:rsid w:val="4C7FE85A"/>
    <w:rsid w:val="4CCD3B83"/>
    <w:rsid w:val="4D0619FF"/>
    <w:rsid w:val="4DF711BF"/>
    <w:rsid w:val="4E456E6D"/>
    <w:rsid w:val="4EDD470F"/>
    <w:rsid w:val="4F7BF06A"/>
    <w:rsid w:val="4FDD8789"/>
    <w:rsid w:val="50780EBF"/>
    <w:rsid w:val="507C7835"/>
    <w:rsid w:val="50A11F77"/>
    <w:rsid w:val="537D2167"/>
    <w:rsid w:val="54C94F38"/>
    <w:rsid w:val="561C145B"/>
    <w:rsid w:val="57F714D4"/>
    <w:rsid w:val="58720CC4"/>
    <w:rsid w:val="58986B18"/>
    <w:rsid w:val="597B517A"/>
    <w:rsid w:val="5AC53504"/>
    <w:rsid w:val="5AEB7246"/>
    <w:rsid w:val="5DB5646F"/>
    <w:rsid w:val="5DDC1C08"/>
    <w:rsid w:val="5E3E6BCA"/>
    <w:rsid w:val="5E8D2458"/>
    <w:rsid w:val="5EFC1A72"/>
    <w:rsid w:val="5F1FDE15"/>
    <w:rsid w:val="5FA741A7"/>
    <w:rsid w:val="5FC72748"/>
    <w:rsid w:val="5FC86518"/>
    <w:rsid w:val="5FD7E6AB"/>
    <w:rsid w:val="630C78D3"/>
    <w:rsid w:val="63672ED9"/>
    <w:rsid w:val="63AB52D9"/>
    <w:rsid w:val="64340620"/>
    <w:rsid w:val="644A7C59"/>
    <w:rsid w:val="64AC51A1"/>
    <w:rsid w:val="654914CA"/>
    <w:rsid w:val="666F5155"/>
    <w:rsid w:val="67730FB2"/>
    <w:rsid w:val="67D655B8"/>
    <w:rsid w:val="68915BA5"/>
    <w:rsid w:val="68F01070"/>
    <w:rsid w:val="69781CD2"/>
    <w:rsid w:val="69BF9DBB"/>
    <w:rsid w:val="6B10034E"/>
    <w:rsid w:val="6B5C6238"/>
    <w:rsid w:val="6BD028D8"/>
    <w:rsid w:val="6BEED4C2"/>
    <w:rsid w:val="6BF7B035"/>
    <w:rsid w:val="6C6D39C0"/>
    <w:rsid w:val="6CE967D7"/>
    <w:rsid w:val="6DFD2209"/>
    <w:rsid w:val="6E0A1187"/>
    <w:rsid w:val="6EF23DEF"/>
    <w:rsid w:val="6F072F7A"/>
    <w:rsid w:val="6F77399B"/>
    <w:rsid w:val="6FDB81B0"/>
    <w:rsid w:val="6FDF0223"/>
    <w:rsid w:val="6FE56DE4"/>
    <w:rsid w:val="6FF704CA"/>
    <w:rsid w:val="70125383"/>
    <w:rsid w:val="70660681"/>
    <w:rsid w:val="709E5E73"/>
    <w:rsid w:val="70A17F01"/>
    <w:rsid w:val="712E0F8A"/>
    <w:rsid w:val="71551098"/>
    <w:rsid w:val="719A3374"/>
    <w:rsid w:val="7214166E"/>
    <w:rsid w:val="72403428"/>
    <w:rsid w:val="7270571E"/>
    <w:rsid w:val="72B70C55"/>
    <w:rsid w:val="72C25E53"/>
    <w:rsid w:val="72DE4275"/>
    <w:rsid w:val="72F44906"/>
    <w:rsid w:val="733048B0"/>
    <w:rsid w:val="73B9547E"/>
    <w:rsid w:val="73F92CEC"/>
    <w:rsid w:val="74B12303"/>
    <w:rsid w:val="75F13CD1"/>
    <w:rsid w:val="760762FE"/>
    <w:rsid w:val="76CF7636"/>
    <w:rsid w:val="76FAFD84"/>
    <w:rsid w:val="77FBA5EC"/>
    <w:rsid w:val="79587EB3"/>
    <w:rsid w:val="7A687D74"/>
    <w:rsid w:val="7AEFC5DE"/>
    <w:rsid w:val="7BAD4C30"/>
    <w:rsid w:val="7BB41316"/>
    <w:rsid w:val="7BF36B31"/>
    <w:rsid w:val="7CFFC0E4"/>
    <w:rsid w:val="7D1B0C3C"/>
    <w:rsid w:val="7D612E56"/>
    <w:rsid w:val="7D7B5AB7"/>
    <w:rsid w:val="7D9BEFD3"/>
    <w:rsid w:val="7DBF08A0"/>
    <w:rsid w:val="7DD9EBBC"/>
    <w:rsid w:val="7E3D79F8"/>
    <w:rsid w:val="7E6BE809"/>
    <w:rsid w:val="7EAEE8D2"/>
    <w:rsid w:val="7EBC5EE9"/>
    <w:rsid w:val="7EFBE269"/>
    <w:rsid w:val="7F59645C"/>
    <w:rsid w:val="7F9A3D3D"/>
    <w:rsid w:val="7FABD84B"/>
    <w:rsid w:val="7FB581CF"/>
    <w:rsid w:val="7FB96F51"/>
    <w:rsid w:val="7FC575B2"/>
    <w:rsid w:val="7FFD6C16"/>
    <w:rsid w:val="7FFF0435"/>
    <w:rsid w:val="7FFF6F69"/>
    <w:rsid w:val="7FFF94F5"/>
    <w:rsid w:val="7FFFDB7E"/>
    <w:rsid w:val="9F667BC2"/>
    <w:rsid w:val="9FBD339C"/>
    <w:rsid w:val="9FD33702"/>
    <w:rsid w:val="9FDF1E9C"/>
    <w:rsid w:val="AA7DDBBF"/>
    <w:rsid w:val="AFDCFD49"/>
    <w:rsid w:val="B37FB2FC"/>
    <w:rsid w:val="B7FFE430"/>
    <w:rsid w:val="B8FE7233"/>
    <w:rsid w:val="BBB58515"/>
    <w:rsid w:val="BCFFD1DF"/>
    <w:rsid w:val="BDAEE78A"/>
    <w:rsid w:val="BE7BB2E8"/>
    <w:rsid w:val="BF59496D"/>
    <w:rsid w:val="BF5E0453"/>
    <w:rsid w:val="BFA3B5D5"/>
    <w:rsid w:val="C75EF714"/>
    <w:rsid w:val="C9CD5C88"/>
    <w:rsid w:val="CBBBED7A"/>
    <w:rsid w:val="CEF3B664"/>
    <w:rsid w:val="CEFBFCFC"/>
    <w:rsid w:val="CEFFADDE"/>
    <w:rsid w:val="CFFFBAA3"/>
    <w:rsid w:val="D3B5FE50"/>
    <w:rsid w:val="D79B5B49"/>
    <w:rsid w:val="D7E9DE2D"/>
    <w:rsid w:val="D9E85AC4"/>
    <w:rsid w:val="DAFBC02B"/>
    <w:rsid w:val="DAFEAF0F"/>
    <w:rsid w:val="DBC7CC51"/>
    <w:rsid w:val="DBF6A1F1"/>
    <w:rsid w:val="DBFDE034"/>
    <w:rsid w:val="DCF21CC8"/>
    <w:rsid w:val="DD7778B4"/>
    <w:rsid w:val="DE789E04"/>
    <w:rsid w:val="DFED02D6"/>
    <w:rsid w:val="DFFFD99A"/>
    <w:rsid w:val="E3FADD13"/>
    <w:rsid w:val="E5EFB9C2"/>
    <w:rsid w:val="E6EFF60C"/>
    <w:rsid w:val="E6F706C9"/>
    <w:rsid w:val="EBB526EF"/>
    <w:rsid w:val="EBF717EB"/>
    <w:rsid w:val="EEEF4689"/>
    <w:rsid w:val="EFBF7425"/>
    <w:rsid w:val="F1FB3724"/>
    <w:rsid w:val="F5FD44FB"/>
    <w:rsid w:val="F65B08BF"/>
    <w:rsid w:val="F67DB70A"/>
    <w:rsid w:val="F6FC142E"/>
    <w:rsid w:val="F7D5001B"/>
    <w:rsid w:val="F7FB3753"/>
    <w:rsid w:val="F9FF7E27"/>
    <w:rsid w:val="FB2E0A51"/>
    <w:rsid w:val="FB7E55B9"/>
    <w:rsid w:val="FBFFBECF"/>
    <w:rsid w:val="FC7F43F3"/>
    <w:rsid w:val="FC8E9D7F"/>
    <w:rsid w:val="FCCA27D1"/>
    <w:rsid w:val="FCFA510E"/>
    <w:rsid w:val="FDB7584B"/>
    <w:rsid w:val="FDBF3F4C"/>
    <w:rsid w:val="FDBF6805"/>
    <w:rsid w:val="FDCF048A"/>
    <w:rsid w:val="FDE9E2F9"/>
    <w:rsid w:val="FDFF69A6"/>
    <w:rsid w:val="FE5D2B90"/>
    <w:rsid w:val="FE7F232D"/>
    <w:rsid w:val="FEEDFAE7"/>
    <w:rsid w:val="FF7E6C4D"/>
    <w:rsid w:val="FFDD33E1"/>
    <w:rsid w:val="FFF43140"/>
    <w:rsid w:val="FFFF43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kern w:val="0"/>
      <w:szCs w:val="32"/>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pPr>
      <w:ind w:left="0" w:leftChars="0" w:right="0" w:rightChars="0"/>
    </w:pPr>
    <w:rPr>
      <w:rFonts w:ascii="宋体" w:hAnsi="宋体" w:cs="宋体"/>
      <w:szCs w:val="20"/>
    </w:rPr>
  </w:style>
  <w:style w:type="paragraph" w:styleId="4">
    <w:name w:val="Body Text"/>
    <w:basedOn w:val="1"/>
    <w:next w:val="1"/>
    <w:qFormat/>
    <w:uiPriority w:val="0"/>
    <w:pPr>
      <w:spacing w:before="7"/>
      <w:ind w:left="108"/>
      <w:jc w:val="left"/>
    </w:pPr>
    <w:rPr>
      <w:rFonts w:ascii="宋体" w:hAnsi="宋体"/>
      <w:kern w:val="0"/>
      <w:sz w:val="30"/>
      <w:szCs w:val="30"/>
      <w:lang w:eastAsia="en-US"/>
    </w:rPr>
  </w:style>
  <w:style w:type="paragraph" w:styleId="5">
    <w:name w:val="Date"/>
    <w:basedOn w:val="1"/>
    <w:next w:val="1"/>
    <w:link w:val="17"/>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99"/>
    <w:pPr>
      <w:snapToGrid w:val="0"/>
      <w:jc w:val="left"/>
    </w:pPr>
    <w:rPr>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 CharProp"/>
    <w:qFormat/>
    <w:uiPriority w:val="0"/>
    <w:rPr>
      <w:rFonts w:ascii="Times New Roman" w:hAnsi="Times New Roman" w:eastAsia="宋体" w:cs="Times New Roman"/>
      <w:kern w:val="2"/>
      <w:sz w:val="21"/>
      <w:szCs w:val="22"/>
      <w:lang w:val="en-US" w:eastAsia="zh-CN" w:bidi="ar-SA"/>
    </w:rPr>
  </w:style>
  <w:style w:type="character" w:styleId="15">
    <w:name w:val="footnote reference"/>
    <w:basedOn w:val="14"/>
    <w:unhideWhenUsed/>
    <w:qFormat/>
    <w:uiPriority w:val="99"/>
    <w:rPr>
      <w:vertAlign w:val="superscript"/>
    </w:rPr>
  </w:style>
  <w:style w:type="paragraph" w:customStyle="1" w:styleId="16">
    <w:name w:val="Heading2"/>
    <w:basedOn w:val="1"/>
    <w:next w:val="1"/>
    <w:qFormat/>
    <w:uiPriority w:val="0"/>
    <w:pPr>
      <w:keepNext/>
      <w:keepLines/>
      <w:spacing w:line="600" w:lineRule="exact"/>
    </w:pPr>
    <w:rPr>
      <w:rFonts w:ascii="Cambria" w:hAnsi="Cambria" w:eastAsia="黑体" w:cs="宋体"/>
      <w:sz w:val="32"/>
      <w:szCs w:val="32"/>
    </w:rPr>
  </w:style>
  <w:style w:type="character" w:customStyle="1" w:styleId="17">
    <w:name w:val="日期 Char"/>
    <w:basedOn w:val="14"/>
    <w:link w:val="5"/>
    <w:qFormat/>
    <w:uiPriority w:val="0"/>
  </w:style>
  <w:style w:type="character" w:customStyle="1" w:styleId="18">
    <w:name w:val="页眉 Char"/>
    <w:basedOn w:val="14"/>
    <w:link w:val="8"/>
    <w:qFormat/>
    <w:uiPriority w:val="0"/>
    <w:rPr>
      <w:sz w:val="18"/>
      <w:szCs w:val="18"/>
    </w:rPr>
  </w:style>
  <w:style w:type="character" w:customStyle="1" w:styleId="19">
    <w:name w:val="页脚 Char"/>
    <w:basedOn w:val="14"/>
    <w:link w:val="7"/>
    <w:qFormat/>
    <w:uiPriority w:val="0"/>
    <w:rPr>
      <w:sz w:val="18"/>
      <w:szCs w:val="18"/>
    </w:rPr>
  </w:style>
  <w:style w:type="character" w:customStyle="1" w:styleId="20">
    <w:name w:val="批注框文本 Char"/>
    <w:basedOn w:val="14"/>
    <w:link w:val="6"/>
    <w:qFormat/>
    <w:uiPriority w:val="0"/>
    <w:rPr>
      <w:sz w:val="18"/>
      <w:szCs w:val="18"/>
    </w:rPr>
  </w:style>
  <w:style w:type="paragraph" w:customStyle="1" w:styleId="21">
    <w:name w:val="正文 New"/>
    <w:qFormat/>
    <w:uiPriority w:val="0"/>
    <w:pPr>
      <w:widowControl w:val="0"/>
      <w:jc w:val="both"/>
    </w:pPr>
    <w:rPr>
      <w:rFonts w:ascii="Times New Roman" w:hAnsi="Times New Roman" w:eastAsia="宋体" w:cs="黑体"/>
      <w:lang w:val="en-US" w:eastAsia="zh-CN" w:bidi="ar-SA"/>
    </w:rPr>
  </w:style>
  <w:style w:type="paragraph" w:customStyle="1" w:styleId="22">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 New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4">
    <w:name w:val="正文1"/>
    <w:qFormat/>
    <w:uiPriority w:val="0"/>
    <w:pPr>
      <w:widowControl w:val="0"/>
      <w:jc w:val="both"/>
    </w:pPr>
    <w:rPr>
      <w:rFonts w:hint="eastAsia" w:ascii="Times New Roman" w:hAnsi="Times New Roman" w:eastAsia="宋体" w:cs="黑体"/>
      <w:kern w:val="2"/>
      <w:sz w:val="21"/>
      <w:szCs w:val="22"/>
      <w:lang w:val="en-US" w:eastAsia="zh-CN" w:bidi="ar-SA"/>
    </w:rPr>
  </w:style>
  <w:style w:type="paragraph" w:customStyle="1" w:styleId="25">
    <w:name w:val="p16"/>
    <w:basedOn w:val="1"/>
    <w:qFormat/>
    <w:uiPriority w:val="0"/>
    <w:pPr>
      <w:widowControl/>
    </w:pPr>
    <w:rPr>
      <w:rFonts w:ascii="Arial Unicode MS" w:hAnsi="Arial Unicode MS" w:eastAsia="Arial Unicode MS" w:cs="Arial Unicode MS"/>
      <w:color w:val="000000"/>
      <w:kern w:val="0"/>
      <w:szCs w:val="21"/>
    </w:rPr>
  </w:style>
  <w:style w:type="paragraph" w:customStyle="1" w:styleId="26">
    <w:name w:val="正文 New New New New"/>
    <w:qFormat/>
    <w:uiPriority w:val="0"/>
    <w:pPr>
      <w:widowControl w:val="0"/>
      <w:jc w:val="both"/>
    </w:pPr>
    <w:rPr>
      <w:rFonts w:ascii="Calibri" w:hAnsi="Calibri" w:eastAsia="宋体" w:cs="宋体"/>
      <w:kern w:val="2"/>
      <w:sz w:val="21"/>
      <w:szCs w:val="22"/>
      <w:lang w:val="en-US" w:eastAsia="zh-CN" w:bidi="ar-SA"/>
    </w:rPr>
  </w:style>
  <w:style w:type="paragraph" w:customStyle="1" w:styleId="27">
    <w:name w:val="列出段落1"/>
    <w:basedOn w:val="1"/>
    <w:qFormat/>
    <w:uiPriority w:val="0"/>
    <w:pPr>
      <w:ind w:firstLine="420" w:firstLineChars="200"/>
    </w:pPr>
  </w:style>
  <w:style w:type="paragraph" w:customStyle="1" w:styleId="2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页脚 New New"/>
    <w:basedOn w:val="1"/>
    <w:qFormat/>
    <w:uiPriority w:val="0"/>
    <w:pPr>
      <w:tabs>
        <w:tab w:val="center" w:pos="4153"/>
        <w:tab w:val="right" w:pos="8306"/>
      </w:tabs>
      <w:snapToGrid w:val="0"/>
      <w:jc w:val="left"/>
    </w:pPr>
    <w:rPr>
      <w:sz w:val="18"/>
      <w:szCs w:val="18"/>
    </w:rPr>
  </w:style>
  <w:style w:type="paragraph" w:customStyle="1" w:styleId="30">
    <w:name w:val="页脚 New"/>
    <w:basedOn w:val="1"/>
    <w:qFormat/>
    <w:uiPriority w:val="0"/>
    <w:pPr>
      <w:tabs>
        <w:tab w:val="center" w:pos="4153"/>
        <w:tab w:val="right" w:pos="8306"/>
      </w:tabs>
      <w:snapToGrid w:val="0"/>
      <w:jc w:val="left"/>
    </w:pPr>
    <w:rPr>
      <w:sz w:val="18"/>
      <w:szCs w:val="18"/>
    </w:rPr>
  </w:style>
  <w:style w:type="paragraph" w:customStyle="1" w:styleId="3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页脚 New New New"/>
    <w:basedOn w:val="1"/>
    <w:qFormat/>
    <w:uiPriority w:val="0"/>
    <w:pPr>
      <w:tabs>
        <w:tab w:val="center" w:pos="4153"/>
        <w:tab w:val="right" w:pos="8306"/>
      </w:tabs>
      <w:snapToGrid w:val="0"/>
      <w:jc w:val="left"/>
    </w:pPr>
    <w:rPr>
      <w:sz w:val="18"/>
      <w:szCs w:val="18"/>
    </w:rPr>
  </w:style>
  <w:style w:type="paragraph" w:customStyle="1" w:styleId="3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38">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Theme="minorEastAsia" w:cstheme="minorBidi"/>
      <w:kern w:val="2"/>
      <w:sz w:val="21"/>
      <w:szCs w:val="24"/>
      <w:lang w:val="en-US" w:eastAsia="zh-CN" w:bidi="ar-SA"/>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Theme="minorEastAsia" w:cstheme="minorBidi"/>
      <w:kern w:val="2"/>
      <w:sz w:val="32"/>
      <w:szCs w:val="32"/>
      <w:lang w:val="en-US" w:eastAsia="zh-CN" w:bidi="ar-SA"/>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44">
    <w:name w:val="公文"/>
    <w:basedOn w:val="1"/>
    <w:qFormat/>
    <w:uiPriority w:val="0"/>
    <w:pPr>
      <w:ind w:firstLine="640" w:firstLineChars="200"/>
    </w:pPr>
    <w:rPr>
      <w:rFonts w:ascii="仿宋_GB2312" w:hAnsi="Calibri" w:eastAsia="仿宋_GB2312"/>
      <w:sz w:val="32"/>
      <w:szCs w:val="32"/>
    </w:rPr>
  </w:style>
  <w:style w:type="paragraph" w:styleId="45">
    <w:name w:val="List Paragraph"/>
    <w:basedOn w:val="1"/>
    <w:qFormat/>
    <w:uiPriority w:val="99"/>
    <w:pPr>
      <w:ind w:firstLine="420" w:firstLineChars="200"/>
    </w:pPr>
  </w:style>
  <w:style w:type="paragraph" w:customStyle="1" w:styleId="46">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rPr>
  </w:style>
  <w:style w:type="paragraph" w:customStyle="1" w:styleId="47">
    <w:name w:val="样式 宋体 行距: 1.5 倍行距"/>
    <w:basedOn w:val="1"/>
    <w:qFormat/>
    <w:uiPriority w:val="99"/>
    <w:pPr>
      <w:spacing w:line="360" w:lineRule="auto"/>
    </w:pPr>
    <w:rPr>
      <w:bCs/>
      <w:sz w:val="24"/>
    </w:rPr>
  </w:style>
  <w:style w:type="character" w:customStyle="1" w:styleId="48">
    <w:name w:val="15"/>
    <w:basedOn w:val="14"/>
    <w:qFormat/>
    <w:uiPriority w:val="0"/>
    <w:rPr>
      <w:rFonts w:hint="default" w:ascii="Times New Roman" w:hAnsi="Times New Roman" w:cs="Times New Roman"/>
    </w:rPr>
  </w:style>
  <w:style w:type="paragraph" w:customStyle="1" w:styleId="49">
    <w:name w:val="内容格式"/>
    <w:basedOn w:val="1"/>
    <w:qFormat/>
    <w:uiPriority w:val="0"/>
    <w:pPr>
      <w:ind w:firstLine="20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6706</Words>
  <Characters>7031</Characters>
  <Lines>57</Lines>
  <Paragraphs>16</Paragraphs>
  <TotalTime>2</TotalTime>
  <ScaleCrop>false</ScaleCrop>
  <LinksUpToDate>false</LinksUpToDate>
  <CharactersWithSpaces>7138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2017-08-12T18:46:00Z</dcterms:created>
  <dc:creator>Lenovo</dc:creator>
  <cp:lastModifiedBy>WPS_1681228717</cp:lastModifiedBy>
  <cp:lastPrinted>2025-01-09T06:15:00Z</cp:lastPrinted>
  <dcterms:modified xsi:type="dcterms:W3CDTF">2025-05-19T09:59:30Z</dcterms:modified>
  <dc:title>广州市南沙区人民政府关于民族宗教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A654F6FBD0A47719493E4B6512783DDD</vt:lpwstr>
  </property>
  <property fmtid="{D5CDD505-2E9C-101B-9397-08002B2CF9AE}" pid="4" name="KSOTemplateDocerSaveRecord">
    <vt:lpwstr>eyJoZGlkIjoiNTUwZDcxYjdhMzgwOGY3MDY3MzJkZjIyOTg2ZmQ5YzciLCJ1c2VySWQiOiIxNDg3MzkxNjU2In0=</vt:lpwstr>
  </property>
</Properties>
</file>