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DEB6D0">
      <w:pPr>
        <w:keepNext w:val="0"/>
        <w:keepLines w:val="0"/>
        <w:pageBreakBefore w:val="0"/>
        <w:kinsoku/>
        <w:wordWrap/>
        <w:overflowPunct/>
        <w:topLinePunct w:val="0"/>
        <w:bidi w:val="0"/>
        <w:snapToGrid/>
        <w:spacing w:line="560" w:lineRule="exact"/>
        <w:ind w:right="0" w:rightChars="0"/>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rPr>
        <w:t>附件</w:t>
      </w:r>
      <w:r>
        <w:rPr>
          <w:rFonts w:hint="eastAsia" w:ascii="仿宋_GB2312" w:hAnsi="仿宋_GB2312" w:eastAsia="仿宋_GB2312" w:cs="仿宋_GB2312"/>
          <w:sz w:val="32"/>
          <w:szCs w:val="32"/>
          <w:u w:val="none"/>
          <w:lang w:val="en-US" w:eastAsia="zh-CN"/>
        </w:rPr>
        <w:t>1</w:t>
      </w:r>
    </w:p>
    <w:p w14:paraId="73840323">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rPr>
          <w:rFonts w:hint="eastAsia" w:ascii="方正小标宋简体" w:hAnsi="方正小标宋简体" w:eastAsia="方正小标宋简体" w:cs="方正小标宋简体"/>
          <w:sz w:val="44"/>
          <w:szCs w:val="44"/>
          <w:u w:val="none"/>
          <w:lang w:eastAsia="zh-CN"/>
        </w:rPr>
      </w:pPr>
      <w:r>
        <w:rPr>
          <w:rFonts w:hint="eastAsia" w:ascii="方正小标宋简体" w:hAnsi="方正小标宋简体" w:eastAsia="方正小标宋简体" w:cs="方正小标宋简体"/>
          <w:sz w:val="44"/>
          <w:szCs w:val="44"/>
          <w:u w:val="none"/>
        </w:rPr>
        <w:t>2025-2026年广州市南沙区老年人照护需求综合评估项目</w:t>
      </w:r>
      <w:r>
        <w:rPr>
          <w:rFonts w:hint="eastAsia" w:ascii="方正小标宋简体" w:hAnsi="方正小标宋简体" w:eastAsia="方正小标宋简体" w:cs="方正小标宋简体"/>
          <w:sz w:val="44"/>
          <w:szCs w:val="44"/>
          <w:u w:val="none"/>
          <w:lang w:eastAsia="zh-CN"/>
        </w:rPr>
        <w:t>用户需求书</w:t>
      </w:r>
    </w:p>
    <w:p w14:paraId="2AB8385D">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rPr>
          <w:rFonts w:hint="eastAsia" w:ascii="仿宋_GB2312" w:hAnsi="仿宋_GB2312" w:eastAsia="仿宋_GB2312" w:cs="仿宋_GB2312"/>
          <w:sz w:val="32"/>
          <w:szCs w:val="32"/>
          <w:u w:val="none"/>
        </w:rPr>
      </w:pPr>
    </w:p>
    <w:p w14:paraId="417FCDDC">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注：《用户需求书》中标注有“★”号的条款必须实质性响应，不允许负偏离（不满足要求），否则将被视为无效投标。</w:t>
      </w:r>
    </w:p>
    <w:p w14:paraId="131CAF66">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黑体" w:hAnsi="黑体" w:eastAsia="黑体" w:cs="黑体"/>
          <w:sz w:val="32"/>
          <w:szCs w:val="32"/>
          <w:u w:val="none"/>
          <w:lang w:eastAsia="zh-CN"/>
        </w:rPr>
      </w:pPr>
      <w:r>
        <w:rPr>
          <w:rFonts w:hint="eastAsia" w:ascii="黑体" w:hAnsi="黑体" w:eastAsia="黑体" w:cs="黑体"/>
          <w:sz w:val="32"/>
          <w:szCs w:val="32"/>
          <w:u w:val="none"/>
          <w:lang w:eastAsia="zh-CN"/>
        </w:rPr>
        <w:t>一、项目概况</w:t>
      </w:r>
    </w:p>
    <w:p w14:paraId="524B4A5B">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楷体_GB2312" w:hAnsi="楷体_GB2312" w:eastAsia="楷体_GB2312" w:cs="楷体_GB2312"/>
          <w:sz w:val="32"/>
          <w:szCs w:val="32"/>
          <w:u w:val="none"/>
          <w:lang w:eastAsia="zh-CN"/>
        </w:rPr>
      </w:pPr>
      <w:r>
        <w:rPr>
          <w:rFonts w:hint="eastAsia" w:ascii="楷体_GB2312" w:hAnsi="楷体_GB2312" w:eastAsia="楷体_GB2312" w:cs="楷体_GB2312"/>
          <w:sz w:val="32"/>
          <w:szCs w:val="32"/>
          <w:u w:val="none"/>
          <w:lang w:eastAsia="zh-CN"/>
        </w:rPr>
        <w:t>（一）项目名称</w:t>
      </w:r>
    </w:p>
    <w:p w14:paraId="087CFC30">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2025-2026年广州市南沙区老年人照护需求综合评估项目</w:t>
      </w:r>
    </w:p>
    <w:p w14:paraId="1E63C8B1">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楷体_GB2312" w:hAnsi="楷体_GB2312" w:eastAsia="楷体_GB2312" w:cs="楷体_GB2312"/>
          <w:sz w:val="32"/>
          <w:szCs w:val="32"/>
          <w:u w:val="none"/>
          <w:lang w:val="en-US" w:eastAsia="zh-CN"/>
        </w:rPr>
      </w:pPr>
      <w:r>
        <w:rPr>
          <w:rFonts w:hint="eastAsia" w:ascii="楷体_GB2312" w:hAnsi="楷体_GB2312" w:eastAsia="楷体_GB2312" w:cs="楷体_GB2312"/>
          <w:sz w:val="32"/>
          <w:szCs w:val="32"/>
          <w:u w:val="none"/>
          <w:lang w:val="en-US" w:eastAsia="zh-CN"/>
        </w:rPr>
        <w:t>（二）服务期</w:t>
      </w:r>
    </w:p>
    <w:p w14:paraId="299020DE">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Fonts w:hint="default" w:ascii="仿宋_GB2312" w:hAnsi="仿宋_GB2312" w:eastAsia="仿宋_GB2312" w:cs="仿宋_GB2312"/>
          <w:sz w:val="32"/>
          <w:szCs w:val="32"/>
          <w:u w:val="none"/>
          <w:lang w:val="en-US" w:eastAsia="zh-CN"/>
        </w:rPr>
      </w:pPr>
      <w:r>
        <w:rPr>
          <w:rFonts w:hint="default" w:ascii="仿宋_GB2312" w:hAnsi="仿宋_GB2312" w:eastAsia="仿宋_GB2312" w:cs="仿宋_GB2312"/>
          <w:sz w:val="32"/>
          <w:szCs w:val="32"/>
          <w:u w:val="none"/>
          <w:lang w:val="en-US" w:eastAsia="zh-CN"/>
        </w:rPr>
        <w:t>暂定为</w:t>
      </w:r>
      <w:r>
        <w:rPr>
          <w:rFonts w:hint="eastAsia" w:ascii="仿宋_GB2312" w:hAnsi="仿宋_GB2312" w:eastAsia="仿宋_GB2312" w:cs="仿宋_GB2312"/>
          <w:sz w:val="32"/>
          <w:szCs w:val="32"/>
          <w:u w:val="none"/>
          <w:lang w:val="en-US" w:eastAsia="zh-CN"/>
        </w:rPr>
        <w:t>自</w:t>
      </w:r>
      <w:r>
        <w:rPr>
          <w:rFonts w:hint="default" w:ascii="仿宋_GB2312" w:hAnsi="仿宋_GB2312" w:eastAsia="仿宋_GB2312" w:cs="仿宋_GB2312"/>
          <w:sz w:val="32"/>
          <w:szCs w:val="32"/>
          <w:u w:val="none"/>
          <w:lang w:val="en-US" w:eastAsia="zh-CN"/>
        </w:rPr>
        <w:t>2025年6月</w:t>
      </w:r>
      <w:r>
        <w:rPr>
          <w:rFonts w:hint="eastAsia" w:ascii="仿宋_GB2312" w:hAnsi="仿宋_GB2312" w:eastAsia="仿宋_GB2312" w:cs="仿宋_GB2312"/>
          <w:sz w:val="32"/>
          <w:szCs w:val="32"/>
          <w:u w:val="none"/>
          <w:lang w:val="en-US" w:eastAsia="zh-CN"/>
        </w:rPr>
        <w:t>起</w:t>
      </w:r>
      <w:r>
        <w:rPr>
          <w:rFonts w:hint="default" w:ascii="仿宋_GB2312" w:hAnsi="仿宋_GB2312" w:eastAsia="仿宋_GB2312" w:cs="仿宋_GB2312"/>
          <w:sz w:val="32"/>
          <w:szCs w:val="32"/>
          <w:u w:val="none"/>
          <w:lang w:val="en-US" w:eastAsia="zh-CN"/>
        </w:rPr>
        <w:t>至2026年</w:t>
      </w:r>
      <w:r>
        <w:rPr>
          <w:rFonts w:hint="eastAsia" w:ascii="仿宋_GB2312" w:hAnsi="仿宋_GB2312" w:eastAsia="仿宋_GB2312" w:cs="仿宋_GB2312"/>
          <w:sz w:val="32"/>
          <w:szCs w:val="32"/>
          <w:u w:val="none"/>
          <w:lang w:val="en-US" w:eastAsia="zh-CN"/>
        </w:rPr>
        <w:t>5</w:t>
      </w:r>
      <w:r>
        <w:rPr>
          <w:rFonts w:hint="default" w:ascii="仿宋_GB2312" w:hAnsi="仿宋_GB2312" w:eastAsia="仿宋_GB2312" w:cs="仿宋_GB2312"/>
          <w:sz w:val="32"/>
          <w:szCs w:val="32"/>
          <w:u w:val="none"/>
          <w:lang w:val="en-US" w:eastAsia="zh-CN"/>
        </w:rPr>
        <w:t>月</w:t>
      </w:r>
      <w:bookmarkStart w:id="0" w:name="_GoBack"/>
      <w:bookmarkEnd w:id="0"/>
      <w:r>
        <w:rPr>
          <w:rFonts w:hint="eastAsia" w:ascii="仿宋_GB2312" w:hAnsi="仿宋_GB2312" w:eastAsia="仿宋_GB2312" w:cs="仿宋_GB2312"/>
          <w:sz w:val="32"/>
          <w:szCs w:val="32"/>
          <w:u w:val="none"/>
          <w:lang w:val="en-US" w:eastAsia="zh-CN"/>
        </w:rPr>
        <w:t>止</w:t>
      </w:r>
      <w:r>
        <w:rPr>
          <w:rFonts w:hint="default" w:ascii="仿宋_GB2312" w:hAnsi="仿宋_GB2312" w:eastAsia="仿宋_GB2312" w:cs="仿宋_GB2312"/>
          <w:sz w:val="32"/>
          <w:szCs w:val="32"/>
          <w:u w:val="none"/>
          <w:lang w:val="en-US" w:eastAsia="zh-CN"/>
        </w:rPr>
        <w:t>，共</w:t>
      </w:r>
      <w:r>
        <w:rPr>
          <w:rFonts w:hint="eastAsia" w:ascii="仿宋_GB2312" w:hAnsi="仿宋_GB2312" w:eastAsia="仿宋_GB2312" w:cs="仿宋_GB2312"/>
          <w:sz w:val="32"/>
          <w:szCs w:val="32"/>
          <w:u w:val="none"/>
          <w:lang w:val="en-US" w:eastAsia="zh-CN"/>
        </w:rPr>
        <w:t>1年</w:t>
      </w:r>
      <w:r>
        <w:rPr>
          <w:rFonts w:hint="default" w:ascii="仿宋_GB2312" w:hAnsi="仿宋_GB2312" w:eastAsia="仿宋_GB2312" w:cs="仿宋_GB2312"/>
          <w:sz w:val="32"/>
          <w:szCs w:val="32"/>
          <w:u w:val="none"/>
          <w:lang w:val="en-US" w:eastAsia="zh-CN"/>
        </w:rPr>
        <w:t>（具体时间以合同签订为准）。</w:t>
      </w:r>
    </w:p>
    <w:p w14:paraId="524D4B86">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楷体_GB2312" w:hAnsi="楷体_GB2312" w:eastAsia="楷体_GB2312" w:cs="楷体_GB2312"/>
          <w:sz w:val="32"/>
          <w:szCs w:val="32"/>
          <w:u w:val="none"/>
          <w:lang w:val="en-US" w:eastAsia="zh-CN"/>
        </w:rPr>
      </w:pPr>
      <w:r>
        <w:rPr>
          <w:rFonts w:hint="eastAsia" w:ascii="楷体_GB2312" w:hAnsi="楷体_GB2312" w:eastAsia="楷体_GB2312" w:cs="楷体_GB2312"/>
          <w:sz w:val="32"/>
          <w:szCs w:val="32"/>
          <w:u w:val="none"/>
          <w:lang w:val="en-US" w:eastAsia="zh-CN"/>
        </w:rPr>
        <w:t>（三）项目报价</w:t>
      </w:r>
    </w:p>
    <w:p w14:paraId="1847FA8A">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Fonts w:hint="default" w:ascii="仿宋_GB2312" w:hAnsi="仿宋_GB2312" w:eastAsia="仿宋_GB2312" w:cs="仿宋_GB2312"/>
          <w:sz w:val="32"/>
          <w:szCs w:val="32"/>
          <w:u w:val="none"/>
          <w:lang w:val="en-US" w:eastAsia="zh-CN"/>
        </w:rPr>
      </w:pPr>
      <w:r>
        <w:rPr>
          <w:rFonts w:hint="default" w:ascii="仿宋_GB2312" w:hAnsi="仿宋_GB2312" w:eastAsia="仿宋_GB2312" w:cs="仿宋_GB2312"/>
          <w:sz w:val="32"/>
          <w:szCs w:val="32"/>
          <w:u w:val="none"/>
          <w:lang w:val="en-US" w:eastAsia="zh-CN"/>
        </w:rPr>
        <w:t>项目控制价（最高限价）为人民币</w:t>
      </w:r>
      <w:r>
        <w:rPr>
          <w:rFonts w:hint="eastAsia" w:ascii="仿宋_GB2312" w:hAnsi="仿宋_GB2312" w:eastAsia="仿宋_GB2312" w:cs="仿宋_GB2312"/>
          <w:sz w:val="32"/>
          <w:szCs w:val="32"/>
          <w:u w:val="none"/>
          <w:lang w:val="en-US" w:eastAsia="zh-CN"/>
        </w:rPr>
        <w:t>45</w:t>
      </w:r>
      <w:r>
        <w:rPr>
          <w:rFonts w:hint="default" w:ascii="仿宋_GB2312" w:hAnsi="仿宋_GB2312" w:eastAsia="仿宋_GB2312" w:cs="仿宋_GB2312"/>
          <w:sz w:val="32"/>
          <w:szCs w:val="32"/>
          <w:u w:val="none"/>
          <w:lang w:val="en-US" w:eastAsia="zh-CN"/>
        </w:rPr>
        <w:t>万元（</w:t>
      </w:r>
      <w:r>
        <w:rPr>
          <w:rFonts w:hint="eastAsia" w:ascii="仿宋_GB2312" w:hAnsi="仿宋_GB2312" w:eastAsia="仿宋_GB2312" w:cs="仿宋_GB2312"/>
          <w:sz w:val="32"/>
          <w:szCs w:val="32"/>
          <w:u w:val="none"/>
          <w:lang w:val="en-US" w:eastAsia="zh-CN"/>
        </w:rPr>
        <w:t>大写：</w:t>
      </w:r>
      <w:r>
        <w:rPr>
          <w:rFonts w:hint="default" w:ascii="仿宋_GB2312" w:hAnsi="仿宋_GB2312" w:eastAsia="仿宋_GB2312" w:cs="仿宋_GB2312"/>
          <w:sz w:val="32"/>
          <w:szCs w:val="32"/>
          <w:u w:val="none"/>
          <w:lang w:val="en-US" w:eastAsia="zh-CN"/>
        </w:rPr>
        <w:t>人民币</w:t>
      </w:r>
      <w:r>
        <w:rPr>
          <w:rFonts w:hint="eastAsia" w:ascii="仿宋_GB2312" w:hAnsi="仿宋_GB2312" w:eastAsia="仿宋_GB2312" w:cs="仿宋_GB2312"/>
          <w:sz w:val="32"/>
          <w:szCs w:val="32"/>
          <w:u w:val="none"/>
          <w:lang w:val="en-US" w:eastAsia="zh-CN"/>
        </w:rPr>
        <w:t>肆</w:t>
      </w:r>
      <w:r>
        <w:rPr>
          <w:rFonts w:hint="default" w:ascii="仿宋_GB2312" w:hAnsi="仿宋_GB2312" w:eastAsia="仿宋_GB2312" w:cs="仿宋_GB2312"/>
          <w:sz w:val="32"/>
          <w:szCs w:val="32"/>
          <w:u w:val="none"/>
          <w:lang w:val="en-US" w:eastAsia="zh-CN"/>
        </w:rPr>
        <w:t>拾</w:t>
      </w:r>
      <w:r>
        <w:rPr>
          <w:rFonts w:hint="eastAsia" w:ascii="仿宋_GB2312" w:hAnsi="仿宋_GB2312" w:eastAsia="仿宋_GB2312" w:cs="仿宋_GB2312"/>
          <w:sz w:val="32"/>
          <w:szCs w:val="32"/>
          <w:u w:val="none"/>
          <w:lang w:val="en-US" w:eastAsia="zh-CN"/>
        </w:rPr>
        <w:t>伍</w:t>
      </w:r>
      <w:r>
        <w:rPr>
          <w:rFonts w:hint="default" w:ascii="仿宋_GB2312" w:hAnsi="仿宋_GB2312" w:eastAsia="仿宋_GB2312" w:cs="仿宋_GB2312"/>
          <w:sz w:val="32"/>
          <w:szCs w:val="32"/>
          <w:u w:val="none"/>
          <w:lang w:val="en-US" w:eastAsia="zh-CN"/>
        </w:rPr>
        <w:t>万元整），报价高于上述控制价的视为报价无效。为防止恶意竞争，报价低于该控制价70%的，报价机构须书面说明理由并提供相关证明材料，不能提供相关证明材料的，作无效报价处理。</w:t>
      </w:r>
      <w:r>
        <w:rPr>
          <w:rFonts w:hint="eastAsia" w:ascii="仿宋_GB2312" w:hAnsi="仿宋_GB2312" w:eastAsia="仿宋_GB2312" w:cs="仿宋_GB2312"/>
          <w:sz w:val="32"/>
          <w:szCs w:val="32"/>
          <w:u w:val="none"/>
          <w:lang w:val="en-US" w:eastAsia="zh-CN"/>
        </w:rPr>
        <w:t>该费用包括但不限于税费、服务费、评估费等</w:t>
      </w:r>
      <w:r>
        <w:rPr>
          <w:rFonts w:hint="eastAsia" w:ascii="仿宋_GB2312" w:hAnsi="仿宋_GB2312" w:eastAsia="仿宋_GB2312" w:cs="仿宋_GB2312"/>
          <w:color w:val="auto"/>
          <w:sz w:val="32"/>
          <w:szCs w:val="32"/>
          <w:u w:val="none"/>
          <w:lang w:val="en-US" w:eastAsia="zh-CN"/>
        </w:rPr>
        <w:t>开展本项目所需的一切费用。项目周期内需评估3500人次。若项目周期内，实际完成的评估人次低于3500人次，项目周期将自动延长，直至达到目标评估人次后再进行结算。若项目周期内，实际完成的评估人次达到3500人次，项目自动结束，由区民政局重新组织采购。因特殊情况下，如未完成新周期项目采购工作且服务对象必须开展评估的，按照不超过项目合同金额的10%签订补充协议再开展评估。</w:t>
      </w:r>
    </w:p>
    <w:p w14:paraId="069A6668">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黑体" w:hAnsi="黑体" w:eastAsia="黑体" w:cs="黑体"/>
          <w:sz w:val="32"/>
          <w:szCs w:val="32"/>
          <w:u w:val="none"/>
          <w:lang w:val="en-US" w:eastAsia="zh-CN"/>
        </w:rPr>
      </w:pPr>
      <w:r>
        <w:rPr>
          <w:rFonts w:hint="eastAsia" w:ascii="黑体" w:hAnsi="黑体" w:eastAsia="黑体" w:cs="黑体"/>
          <w:sz w:val="32"/>
          <w:szCs w:val="32"/>
          <w:u w:val="none"/>
          <w:lang w:val="en-US" w:eastAsia="zh-CN"/>
        </w:rPr>
        <w:t>二、项目需求</w:t>
      </w:r>
    </w:p>
    <w:p w14:paraId="35D0A794">
      <w:pPr>
        <w:keepNext w:val="0"/>
        <w:keepLines w:val="0"/>
        <w:pageBreakBefore w:val="0"/>
        <w:widowControl/>
        <w:tabs>
          <w:tab w:val="center" w:pos="4201"/>
          <w:tab w:val="right" w:leader="dot" w:pos="9298"/>
        </w:tabs>
        <w:kinsoku/>
        <w:wordWrap/>
        <w:overflowPunct/>
        <w:topLinePunct w:val="0"/>
        <w:autoSpaceDE w:val="0"/>
        <w:autoSpaceDN w:val="0"/>
        <w:bidi w:val="0"/>
        <w:snapToGrid/>
        <w:spacing w:line="560" w:lineRule="exact"/>
        <w:ind w:right="0" w:rightChars="0" w:firstLine="640" w:firstLineChars="200"/>
        <w:jc w:val="both"/>
        <w:textAlignment w:val="auto"/>
        <w:rPr>
          <w:rFonts w:hint="eastAsia" w:ascii="仿宋_GB2312" w:hAnsi="仿宋_GB2312" w:eastAsia="仿宋_GB2312" w:cs="仿宋_GB2312"/>
          <w:kern w:val="2"/>
          <w:sz w:val="32"/>
          <w:szCs w:val="32"/>
          <w:u w:val="none"/>
          <w:lang w:val="en-US" w:eastAsia="zh-CN" w:bidi="ar-SA"/>
        </w:rPr>
      </w:pPr>
      <w:r>
        <w:rPr>
          <w:rFonts w:hint="eastAsia" w:ascii="楷体_GB2312" w:hAnsi="楷体_GB2312" w:eastAsia="楷体_GB2312" w:cs="楷体_GB2312"/>
          <w:kern w:val="2"/>
          <w:sz w:val="32"/>
          <w:szCs w:val="32"/>
          <w:u w:val="none"/>
          <w:lang w:val="en-US" w:eastAsia="zh-CN" w:bidi="ar-SA"/>
        </w:rPr>
        <w:t>（一）服务范围：</w:t>
      </w:r>
      <w:r>
        <w:rPr>
          <w:rFonts w:hint="eastAsia" w:ascii="仿宋_GB2312" w:hAnsi="仿宋_GB2312" w:eastAsia="仿宋_GB2312" w:cs="仿宋_GB2312"/>
          <w:kern w:val="2"/>
          <w:sz w:val="32"/>
          <w:szCs w:val="32"/>
          <w:u w:val="none"/>
          <w:lang w:val="en-US" w:eastAsia="zh-CN" w:bidi="ar-SA"/>
        </w:rPr>
        <w:t>广州市南沙区</w:t>
      </w:r>
    </w:p>
    <w:p w14:paraId="2B747E1D">
      <w:pPr>
        <w:keepNext w:val="0"/>
        <w:keepLines w:val="0"/>
        <w:pageBreakBefore w:val="0"/>
        <w:kinsoku/>
        <w:wordWrap/>
        <w:overflowPunct/>
        <w:topLinePunct w:val="0"/>
        <w:bidi w:val="0"/>
        <w:snapToGrid/>
        <w:spacing w:line="560" w:lineRule="exact"/>
        <w:ind w:right="0" w:rightChars="0" w:firstLine="640" w:firstLineChars="200"/>
        <w:textAlignment w:val="auto"/>
        <w:rPr>
          <w:rFonts w:hint="eastAsia" w:ascii="楷体_GB2312" w:hAnsi="楷体_GB2312" w:eastAsia="楷体_GB2312" w:cs="楷体_GB2312"/>
          <w:kern w:val="2"/>
          <w:sz w:val="32"/>
          <w:szCs w:val="32"/>
          <w:u w:val="none"/>
        </w:rPr>
      </w:pPr>
      <w:r>
        <w:rPr>
          <w:rFonts w:hint="eastAsia" w:ascii="楷体_GB2312" w:hAnsi="楷体_GB2312" w:eastAsia="楷体_GB2312" w:cs="楷体_GB2312"/>
          <w:kern w:val="2"/>
          <w:sz w:val="32"/>
          <w:szCs w:val="32"/>
          <w:u w:val="none"/>
        </w:rPr>
        <w:t>（二）服务对象</w:t>
      </w:r>
    </w:p>
    <w:p w14:paraId="38F196A1">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1.本区户籍60周岁及以上申请居家社区养老服务和服务资助（含助餐配餐送餐服务资助、家庭养老床位建床及护理补贴、居家适老化改造、“平安通”资助等）的老年人。</w:t>
      </w:r>
    </w:p>
    <w:p w14:paraId="1F6F4E9A">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2.本区户籍60周岁以上申请轮候入住公办养老机构的老年人。</w:t>
      </w:r>
    </w:p>
    <w:p w14:paraId="3D027401">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3.申请民办养老机构护理补贴的老年人。</w:t>
      </w:r>
    </w:p>
    <w:p w14:paraId="3F3793EF">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4.申请散居特困供养补贴的人员。</w:t>
      </w:r>
    </w:p>
    <w:p w14:paraId="182F5098">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Fonts w:hint="default"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5.本区户籍其他需要申请开展老年人照护需求综合评估的人员。</w:t>
      </w:r>
    </w:p>
    <w:p w14:paraId="3A7386D3">
      <w:pPr>
        <w:keepNext w:val="0"/>
        <w:keepLines w:val="0"/>
        <w:pageBreakBefore w:val="0"/>
        <w:kinsoku/>
        <w:wordWrap/>
        <w:overflowPunct/>
        <w:topLinePunct w:val="0"/>
        <w:bidi w:val="0"/>
        <w:adjustRightInd w:val="0"/>
        <w:snapToGrid/>
        <w:spacing w:line="560" w:lineRule="exact"/>
        <w:ind w:right="0" w:rightChars="0" w:firstLine="640" w:firstLineChars="200"/>
        <w:textAlignment w:val="auto"/>
        <w:rPr>
          <w:rFonts w:hint="eastAsia" w:ascii="楷体_GB2312" w:hAnsi="楷体_GB2312" w:eastAsia="楷体_GB2312" w:cs="楷体_GB2312"/>
          <w:sz w:val="32"/>
          <w:szCs w:val="32"/>
          <w:u w:val="none"/>
        </w:rPr>
      </w:pPr>
      <w:r>
        <w:rPr>
          <w:rFonts w:hint="eastAsia" w:ascii="楷体_GB2312" w:hAnsi="楷体_GB2312" w:eastAsia="楷体_GB2312" w:cs="楷体_GB2312"/>
          <w:sz w:val="32"/>
          <w:szCs w:val="32"/>
          <w:u w:val="none"/>
        </w:rPr>
        <w:t>（三）服务内容</w:t>
      </w:r>
    </w:p>
    <w:p w14:paraId="6F9DF958">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Fonts w:hint="default"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评估机构根据《广州市老年人照护需求综合评估管理办法》《广州市老年人照护需求综合评估规范》等文件要求，为服务对象进行老年人照护需求综合评估，根据评估结果给出服务建议并形成《老年人照护需求等级评定报告表》，评估结果作为享受养老服务及相关政府补贴等政策的重要依据。特困人员生活自理能力评估需结合《广州市人民政府办公厅关于落实特困人员救助供养工作的通知》（穗府办规〔2023〕8号）要求办理相关综合评估事宜。</w:t>
      </w:r>
    </w:p>
    <w:p w14:paraId="500C084E">
      <w:pPr>
        <w:keepNext w:val="0"/>
        <w:keepLines w:val="0"/>
        <w:pageBreakBefore w:val="0"/>
        <w:kinsoku/>
        <w:wordWrap/>
        <w:overflowPunct/>
        <w:topLinePunct w:val="0"/>
        <w:bidi w:val="0"/>
        <w:adjustRightInd/>
        <w:snapToGrid/>
        <w:spacing w:line="560" w:lineRule="exact"/>
        <w:ind w:right="0" w:rightChars="0" w:firstLine="640" w:firstLineChars="200"/>
        <w:textAlignment w:val="auto"/>
        <w:rPr>
          <w:rFonts w:hint="eastAsia" w:ascii="楷体_GB2312" w:hAnsi="楷体_GB2312" w:eastAsia="楷体_GB2312" w:cs="楷体_GB2312"/>
          <w:sz w:val="32"/>
          <w:szCs w:val="32"/>
          <w:u w:val="none"/>
        </w:rPr>
      </w:pPr>
      <w:r>
        <w:rPr>
          <w:rFonts w:hint="eastAsia" w:ascii="楷体_GB2312" w:hAnsi="楷体_GB2312" w:eastAsia="楷体_GB2312" w:cs="楷体_GB2312"/>
          <w:sz w:val="32"/>
          <w:szCs w:val="32"/>
          <w:u w:val="none"/>
        </w:rPr>
        <w:t>（四）服务方式</w:t>
      </w:r>
    </w:p>
    <w:p w14:paraId="2BA617E4">
      <w:pPr>
        <w:keepNext w:val="0"/>
        <w:keepLines w:val="0"/>
        <w:pageBreakBefore w:val="0"/>
        <w:kinsoku/>
        <w:wordWrap/>
        <w:overflowPunct/>
        <w:topLinePunct w:val="0"/>
        <w:bidi w:val="0"/>
        <w:snapToGrid/>
        <w:spacing w:line="560" w:lineRule="exact"/>
        <w:ind w:right="0" w:rightChars="0" w:firstLine="640" w:firstLineChars="200"/>
        <w:textAlignment w:val="auto"/>
        <w:rPr>
          <w:rFonts w:hint="eastAsia" w:ascii="仿宋_GB2312" w:hAnsi="黑体" w:eastAsia="仿宋_GB2312" w:cs="Times New Roman"/>
          <w:color w:val="000000"/>
          <w:sz w:val="32"/>
          <w:szCs w:val="32"/>
          <w:u w:val="none"/>
        </w:rPr>
      </w:pPr>
      <w:r>
        <w:rPr>
          <w:rFonts w:hint="eastAsia" w:ascii="仿宋_GB2312" w:hAnsi="黑体" w:eastAsia="仿宋_GB2312" w:cs="Times New Roman"/>
          <w:color w:val="000000"/>
          <w:sz w:val="32"/>
          <w:szCs w:val="32"/>
          <w:u w:val="none"/>
        </w:rPr>
        <w:t>评估方式分为定点评估和入户评估。评估机构应结合实际选择合适的评估方式开展评估工作。</w:t>
      </w:r>
    </w:p>
    <w:p w14:paraId="0913C0EB">
      <w:pPr>
        <w:keepNext w:val="0"/>
        <w:keepLines w:val="0"/>
        <w:pageBreakBefore w:val="0"/>
        <w:kinsoku/>
        <w:wordWrap/>
        <w:overflowPunct/>
        <w:topLinePunct w:val="0"/>
        <w:bidi w:val="0"/>
        <w:snapToGrid/>
        <w:spacing w:line="560" w:lineRule="exact"/>
        <w:ind w:right="0" w:rightChars="0" w:firstLine="640" w:firstLineChars="200"/>
        <w:textAlignment w:val="auto"/>
        <w:rPr>
          <w:rFonts w:hint="eastAsia" w:ascii="仿宋_GB2312" w:hAnsi="黑体" w:eastAsia="仿宋_GB2312" w:cs="Times New Roman"/>
          <w:color w:val="000000"/>
          <w:sz w:val="32"/>
          <w:szCs w:val="32"/>
          <w:u w:val="none"/>
        </w:rPr>
      </w:pPr>
      <w:r>
        <w:rPr>
          <w:rFonts w:hint="eastAsia" w:ascii="仿宋_GB2312" w:hAnsi="黑体" w:eastAsia="仿宋_GB2312" w:cs="Times New Roman"/>
          <w:color w:val="000000"/>
          <w:sz w:val="32"/>
          <w:szCs w:val="32"/>
          <w:u w:val="none"/>
        </w:rPr>
        <w:t>（一）定点评估：行动方便的服务对象应自行前往定点评估点（一般为村（居）委、敬老院、社区养老服务设施等）接受集中评估。项目周期内，定点评估数量占总评估数量的比例应控制在60%-70%。</w:t>
      </w:r>
    </w:p>
    <w:p w14:paraId="30B911AD">
      <w:pPr>
        <w:keepNext w:val="0"/>
        <w:keepLines w:val="0"/>
        <w:pageBreakBefore w:val="0"/>
        <w:kinsoku/>
        <w:wordWrap/>
        <w:overflowPunct/>
        <w:topLinePunct w:val="0"/>
        <w:bidi w:val="0"/>
        <w:snapToGrid/>
        <w:spacing w:line="560" w:lineRule="exact"/>
        <w:ind w:right="0" w:rightChars="0" w:firstLine="640" w:firstLineChars="200"/>
        <w:textAlignment w:val="auto"/>
        <w:rPr>
          <w:rFonts w:hint="eastAsia" w:ascii="仿宋_GB2312" w:hAnsi="仿宋" w:eastAsia="仿宋_GB2312" w:cs="Times New Roman"/>
          <w:color w:val="000000"/>
          <w:sz w:val="32"/>
          <w:szCs w:val="32"/>
          <w:u w:val="none"/>
        </w:rPr>
      </w:pPr>
      <w:r>
        <w:rPr>
          <w:rFonts w:hint="eastAsia" w:ascii="仿宋_GB2312" w:hAnsi="黑体" w:eastAsia="仿宋_GB2312" w:cs="Times New Roman"/>
          <w:color w:val="000000"/>
          <w:sz w:val="32"/>
          <w:szCs w:val="32"/>
          <w:u w:val="none"/>
        </w:rPr>
        <w:t>（二）入户评估：行动不便、肢体、精神及智力残疾、高龄、重度失能等服务对象均由评估机构上门进行评估。项目周期内，入户评估数量占总评估数量的比例应控制在30%-40%。</w:t>
      </w:r>
    </w:p>
    <w:p w14:paraId="722AB7FC">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黑体" w:hAnsi="黑体" w:eastAsia="黑体" w:cs="黑体"/>
          <w:sz w:val="32"/>
          <w:szCs w:val="32"/>
          <w:u w:val="none"/>
          <w:lang w:val="en-US" w:eastAsia="zh-CN"/>
        </w:rPr>
      </w:pPr>
      <w:r>
        <w:rPr>
          <w:rFonts w:hint="eastAsia" w:ascii="黑体" w:hAnsi="黑体" w:eastAsia="黑体" w:cs="黑体"/>
          <w:sz w:val="32"/>
          <w:szCs w:val="32"/>
          <w:u w:val="none"/>
          <w:lang w:val="en-US" w:eastAsia="zh-CN"/>
        </w:rPr>
        <w:t>三、评估机构资质要求及人员配备要求</w:t>
      </w:r>
    </w:p>
    <w:p w14:paraId="5702B148">
      <w:pPr>
        <w:keepNext w:val="0"/>
        <w:keepLines w:val="0"/>
        <w:pageBreakBefore w:val="0"/>
        <w:kinsoku/>
        <w:wordWrap/>
        <w:overflowPunct/>
        <w:topLinePunct w:val="0"/>
        <w:bidi w:val="0"/>
        <w:snapToGrid/>
        <w:spacing w:line="560" w:lineRule="exact"/>
        <w:ind w:right="0" w:rightChars="0" w:firstLine="640" w:firstLineChars="200"/>
        <w:textAlignment w:val="auto"/>
        <w:rPr>
          <w:rFonts w:hint="eastAsia" w:ascii="仿宋_GB2312" w:hAnsi="仿宋" w:eastAsia="仿宋_GB2312" w:cs="Times New Roman"/>
          <w:color w:val="000000"/>
          <w:sz w:val="32"/>
          <w:szCs w:val="32"/>
          <w:u w:val="none"/>
          <w:lang w:val="en-US" w:eastAsia="zh-CN"/>
        </w:rPr>
      </w:pPr>
      <w:r>
        <w:rPr>
          <w:rFonts w:hint="eastAsia" w:ascii="仿宋_GB2312" w:hAnsi="仿宋" w:eastAsia="仿宋_GB2312" w:cs="Times New Roman"/>
          <w:color w:val="000000"/>
          <w:sz w:val="32"/>
          <w:szCs w:val="32"/>
          <w:u w:val="none"/>
          <w:lang w:val="en-US" w:eastAsia="zh-CN"/>
        </w:rPr>
        <w:t>评估机构和人员配备必须符合《广州市卫生健康委员会 广州市民政局 广州市医疗保障局 广州市残疾人联合会关于印发广州市老年人照护需求综合评估管理办法的通知》（穗卫规字〔2024〕5号）和《广州市卫生健康委员会 广州市民政局 广州市医疗保障局 广州市残疾人联合会关于印发广州市老年人照护需求综合评估规范的通知》（穗卫家庭〔2024〕7号）的要求。若政策规范文件发生调整，以最新的政策规范文件要求为准。</w:t>
      </w:r>
    </w:p>
    <w:p w14:paraId="5CFCB61D">
      <w:pPr>
        <w:keepNext w:val="0"/>
        <w:keepLines w:val="0"/>
        <w:pageBreakBefore w:val="0"/>
        <w:kinsoku/>
        <w:wordWrap/>
        <w:overflowPunct/>
        <w:topLinePunct w:val="0"/>
        <w:bidi w:val="0"/>
        <w:snapToGrid/>
        <w:spacing w:line="560" w:lineRule="exact"/>
        <w:ind w:right="0" w:rightChars="0" w:firstLine="640" w:firstLineChars="200"/>
        <w:textAlignment w:val="auto"/>
        <w:rPr>
          <w:rFonts w:hint="eastAsia" w:ascii="楷体_GB2312" w:hAnsi="楷体_GB2312" w:eastAsia="楷体_GB2312" w:cs="楷体_GB2312"/>
          <w:color w:val="000000"/>
          <w:sz w:val="32"/>
          <w:szCs w:val="32"/>
          <w:u w:val="none"/>
          <w:lang w:val="en-US" w:eastAsia="zh-CN"/>
        </w:rPr>
      </w:pPr>
      <w:r>
        <w:rPr>
          <w:rFonts w:hint="eastAsia" w:ascii="楷体_GB2312" w:hAnsi="楷体_GB2312" w:eastAsia="楷体_GB2312" w:cs="楷体_GB2312"/>
          <w:color w:val="000000"/>
          <w:sz w:val="32"/>
          <w:szCs w:val="32"/>
          <w:u w:val="none"/>
          <w:lang w:val="en-US" w:eastAsia="zh-CN"/>
        </w:rPr>
        <w:t>（一）评估机构资质要求</w:t>
      </w:r>
    </w:p>
    <w:p w14:paraId="07874598">
      <w:pPr>
        <w:keepNext w:val="0"/>
        <w:keepLines w:val="0"/>
        <w:pageBreakBefore w:val="0"/>
        <w:kinsoku/>
        <w:wordWrap/>
        <w:overflowPunct/>
        <w:topLinePunct w:val="0"/>
        <w:bidi w:val="0"/>
        <w:snapToGrid/>
        <w:spacing w:line="560" w:lineRule="exact"/>
        <w:ind w:right="0" w:rightChars="0" w:firstLine="640" w:firstLineChars="200"/>
        <w:textAlignment w:val="auto"/>
        <w:rPr>
          <w:rFonts w:hint="eastAsia" w:ascii="仿宋_GB2312" w:hAnsi="仿宋" w:eastAsia="仿宋_GB2312" w:cs="Times New Roman"/>
          <w:color w:val="000000"/>
          <w:sz w:val="32"/>
          <w:szCs w:val="32"/>
          <w:u w:val="none"/>
          <w:lang w:val="en-US" w:eastAsia="zh-CN"/>
        </w:rPr>
      </w:pPr>
      <w:r>
        <w:rPr>
          <w:rFonts w:hint="eastAsia" w:ascii="仿宋_GB2312" w:hAnsi="仿宋" w:eastAsia="仿宋_GB2312" w:cs="Times New Roman"/>
          <w:color w:val="000000"/>
          <w:sz w:val="32"/>
          <w:szCs w:val="32"/>
          <w:u w:val="none"/>
          <w:lang w:val="en-US" w:eastAsia="zh-CN"/>
        </w:rPr>
        <w:t>1.评估机构应为依法设立且有评估力量的社会组织或企事业单位，业务范围内应包含“养老服务”或“评估咨询”内容。</w:t>
      </w:r>
    </w:p>
    <w:p w14:paraId="5D0D69C3">
      <w:pPr>
        <w:keepNext w:val="0"/>
        <w:keepLines w:val="0"/>
        <w:pageBreakBefore w:val="0"/>
        <w:kinsoku/>
        <w:wordWrap/>
        <w:overflowPunct/>
        <w:topLinePunct w:val="0"/>
        <w:bidi w:val="0"/>
        <w:snapToGrid/>
        <w:spacing w:line="560" w:lineRule="exact"/>
        <w:ind w:right="0" w:rightChars="0" w:firstLine="640" w:firstLineChars="200"/>
        <w:textAlignment w:val="auto"/>
        <w:rPr>
          <w:rFonts w:hint="eastAsia" w:ascii="仿宋_GB2312" w:hAnsi="仿宋" w:eastAsia="仿宋_GB2312" w:cs="Times New Roman"/>
          <w:color w:val="000000"/>
          <w:sz w:val="32"/>
          <w:szCs w:val="32"/>
          <w:u w:val="none"/>
          <w:lang w:val="en-US" w:eastAsia="zh-CN"/>
        </w:rPr>
      </w:pPr>
      <w:r>
        <w:rPr>
          <w:rFonts w:hint="eastAsia" w:ascii="仿宋_GB2312" w:hAnsi="仿宋" w:eastAsia="仿宋_GB2312" w:cs="Times New Roman"/>
          <w:color w:val="000000"/>
          <w:sz w:val="32"/>
          <w:szCs w:val="32"/>
          <w:u w:val="none"/>
          <w:lang w:val="en-US" w:eastAsia="zh-CN"/>
        </w:rPr>
        <w:t>2.在南沙区有固定的评估人员、专职的评估质控员、办公场所及评估专用车辆（若目前在南沙区无固定评估场所、设施设备及工具的，需在应标文件中承诺后期会在南沙区提供评估服务所需要的评估场所、设施设备及工具）。</w:t>
      </w:r>
    </w:p>
    <w:p w14:paraId="044D2656">
      <w:pPr>
        <w:keepNext w:val="0"/>
        <w:keepLines w:val="0"/>
        <w:pageBreakBefore w:val="0"/>
        <w:kinsoku/>
        <w:wordWrap/>
        <w:overflowPunct/>
        <w:topLinePunct w:val="0"/>
        <w:bidi w:val="0"/>
        <w:snapToGrid/>
        <w:spacing w:line="560" w:lineRule="exact"/>
        <w:ind w:right="0" w:rightChars="0" w:firstLine="640" w:firstLineChars="200"/>
        <w:textAlignment w:val="auto"/>
        <w:rPr>
          <w:rFonts w:hint="eastAsia" w:ascii="仿宋_GB2312" w:hAnsi="仿宋" w:eastAsia="仿宋_GB2312" w:cs="Times New Roman"/>
          <w:color w:val="000000"/>
          <w:sz w:val="32"/>
          <w:szCs w:val="32"/>
          <w:u w:val="none"/>
          <w:lang w:val="en-US" w:eastAsia="zh-CN"/>
        </w:rPr>
      </w:pPr>
      <w:r>
        <w:rPr>
          <w:rFonts w:hint="eastAsia" w:ascii="仿宋_GB2312" w:hAnsi="仿宋" w:eastAsia="仿宋_GB2312" w:cs="Times New Roman"/>
          <w:color w:val="000000"/>
          <w:sz w:val="32"/>
          <w:szCs w:val="32"/>
          <w:u w:val="none"/>
          <w:lang w:val="en-US" w:eastAsia="zh-CN"/>
        </w:rPr>
        <w:t>3.应具有良好的财务资金状况，具备完善的人事管理、财务管理、档案管理、评估业务管理、质量控制管理等制度。</w:t>
      </w:r>
    </w:p>
    <w:p w14:paraId="71CA589C">
      <w:pPr>
        <w:keepNext w:val="0"/>
        <w:keepLines w:val="0"/>
        <w:pageBreakBefore w:val="0"/>
        <w:kinsoku/>
        <w:wordWrap/>
        <w:overflowPunct/>
        <w:topLinePunct w:val="0"/>
        <w:bidi w:val="0"/>
        <w:snapToGrid/>
        <w:spacing w:line="560" w:lineRule="exact"/>
        <w:ind w:right="0" w:rightChars="0" w:firstLine="640" w:firstLineChars="200"/>
        <w:textAlignment w:val="auto"/>
        <w:rPr>
          <w:rFonts w:hint="default" w:ascii="仿宋_GB2312" w:hAnsi="仿宋" w:eastAsia="仿宋_GB2312" w:cs="Times New Roman"/>
          <w:color w:val="000000"/>
          <w:sz w:val="32"/>
          <w:szCs w:val="32"/>
          <w:u w:val="none"/>
          <w:lang w:val="en-US" w:eastAsia="zh-CN"/>
        </w:rPr>
      </w:pPr>
      <w:r>
        <w:rPr>
          <w:rFonts w:hint="eastAsia" w:ascii="仿宋_GB2312" w:hAnsi="仿宋" w:eastAsia="仿宋_GB2312" w:cs="Times New Roman"/>
          <w:color w:val="000000"/>
          <w:sz w:val="32"/>
          <w:szCs w:val="32"/>
          <w:u w:val="none"/>
          <w:lang w:val="en-US" w:eastAsia="zh-CN"/>
        </w:rPr>
        <w:t>★4.评估机构须配备具有相关专业技术背景，且经全市统一培训合格的评估人员负责实施评估。评估机构需安排1名工作人员具体跟进和对接项目的实施。</w:t>
      </w:r>
    </w:p>
    <w:p w14:paraId="56E153CE">
      <w:pPr>
        <w:keepNext w:val="0"/>
        <w:keepLines w:val="0"/>
        <w:pageBreakBefore w:val="0"/>
        <w:kinsoku/>
        <w:wordWrap/>
        <w:overflowPunct/>
        <w:topLinePunct w:val="0"/>
        <w:bidi w:val="0"/>
        <w:snapToGrid/>
        <w:spacing w:line="560" w:lineRule="exact"/>
        <w:ind w:right="0" w:rightChars="0" w:firstLine="640" w:firstLineChars="200"/>
        <w:textAlignment w:val="auto"/>
        <w:rPr>
          <w:rFonts w:hint="eastAsia" w:ascii="仿宋_GB2312" w:hAnsi="仿宋" w:eastAsia="仿宋_GB2312" w:cs="Times New Roman"/>
          <w:color w:val="000000"/>
          <w:sz w:val="32"/>
          <w:szCs w:val="32"/>
          <w:u w:val="none"/>
          <w:lang w:val="en-US" w:eastAsia="zh-CN"/>
        </w:rPr>
      </w:pPr>
      <w:r>
        <w:rPr>
          <w:rFonts w:hint="eastAsia" w:ascii="仿宋_GB2312" w:hAnsi="仿宋" w:eastAsia="仿宋_GB2312" w:cs="Times New Roman"/>
          <w:color w:val="000000"/>
          <w:sz w:val="32"/>
          <w:szCs w:val="32"/>
          <w:u w:val="none"/>
          <w:lang w:val="en-US" w:eastAsia="zh-CN"/>
        </w:rPr>
        <w:t>5.所聘评估人员应当符合广州市、南沙区民政部门的相关规定要求。</w:t>
      </w:r>
    </w:p>
    <w:p w14:paraId="24C0612D">
      <w:pPr>
        <w:keepNext w:val="0"/>
        <w:keepLines w:val="0"/>
        <w:pageBreakBefore w:val="0"/>
        <w:kinsoku/>
        <w:wordWrap/>
        <w:overflowPunct/>
        <w:topLinePunct w:val="0"/>
        <w:bidi w:val="0"/>
        <w:snapToGrid/>
        <w:spacing w:line="560" w:lineRule="exact"/>
        <w:ind w:right="0" w:rightChars="0" w:firstLine="640" w:firstLineChars="200"/>
        <w:textAlignment w:val="auto"/>
        <w:rPr>
          <w:rFonts w:hint="eastAsia" w:ascii="仿宋_GB2312" w:hAnsi="仿宋" w:eastAsia="仿宋_GB2312" w:cs="Times New Roman"/>
          <w:color w:val="000000"/>
          <w:sz w:val="32"/>
          <w:szCs w:val="32"/>
          <w:u w:val="none"/>
          <w:lang w:val="en-US" w:eastAsia="zh-CN"/>
        </w:rPr>
      </w:pPr>
      <w:r>
        <w:rPr>
          <w:rFonts w:hint="eastAsia" w:ascii="仿宋_GB2312" w:hAnsi="仿宋" w:eastAsia="仿宋_GB2312" w:cs="Times New Roman"/>
          <w:color w:val="000000"/>
          <w:sz w:val="32"/>
          <w:szCs w:val="32"/>
          <w:u w:val="none"/>
          <w:lang w:val="en-US" w:eastAsia="zh-CN"/>
        </w:rPr>
        <w:t>6.建立本机构评估质量控制管理制度及工作规范，定期组织工作人员参加广州市、南沙区民政部门举办的业务培训。</w:t>
      </w:r>
    </w:p>
    <w:p w14:paraId="75F995D3">
      <w:pPr>
        <w:keepNext w:val="0"/>
        <w:keepLines w:val="0"/>
        <w:pageBreakBefore w:val="0"/>
        <w:kinsoku/>
        <w:wordWrap/>
        <w:overflowPunct/>
        <w:topLinePunct w:val="0"/>
        <w:bidi w:val="0"/>
        <w:snapToGrid/>
        <w:spacing w:line="560" w:lineRule="exact"/>
        <w:ind w:right="0" w:rightChars="0" w:firstLine="640" w:firstLineChars="200"/>
        <w:textAlignment w:val="auto"/>
        <w:rPr>
          <w:rFonts w:hint="eastAsia" w:ascii="仿宋_GB2312" w:hAnsi="仿宋" w:eastAsia="仿宋_GB2312" w:cs="Times New Roman"/>
          <w:color w:val="000000"/>
          <w:sz w:val="32"/>
          <w:szCs w:val="32"/>
          <w:u w:val="none"/>
          <w:lang w:val="en-US" w:eastAsia="zh-CN"/>
        </w:rPr>
      </w:pPr>
      <w:r>
        <w:rPr>
          <w:rFonts w:hint="eastAsia" w:ascii="仿宋_GB2312" w:hAnsi="仿宋" w:eastAsia="仿宋_GB2312" w:cs="Times New Roman"/>
          <w:color w:val="000000"/>
          <w:sz w:val="32"/>
          <w:szCs w:val="32"/>
          <w:u w:val="none"/>
          <w:lang w:val="en-US" w:eastAsia="zh-CN"/>
        </w:rPr>
        <w:t>7.近3年内无重大违法记录，未被列入严重违法失信名单。提供“信用中国”（www.creditchina.gov.cn）和中国政府采购网（www.ccgp.gov.cn）查询的信用记录，若暂无信息记录，报价机构须提供“参加政府采购活动前三年内，在经营活动中没有重大违法记录”声明函原件。</w:t>
      </w:r>
    </w:p>
    <w:p w14:paraId="2CD5FDF8">
      <w:pPr>
        <w:keepNext w:val="0"/>
        <w:keepLines w:val="0"/>
        <w:pageBreakBefore w:val="0"/>
        <w:kinsoku/>
        <w:wordWrap/>
        <w:overflowPunct/>
        <w:topLinePunct w:val="0"/>
        <w:bidi w:val="0"/>
        <w:snapToGrid/>
        <w:spacing w:line="560" w:lineRule="exact"/>
        <w:ind w:right="0" w:rightChars="0" w:firstLine="640" w:firstLineChars="200"/>
        <w:textAlignment w:val="auto"/>
        <w:rPr>
          <w:rFonts w:hint="eastAsia" w:ascii="仿宋_GB2312" w:hAnsi="仿宋" w:eastAsia="仿宋_GB2312" w:cs="Times New Roman"/>
          <w:color w:val="000000"/>
          <w:sz w:val="32"/>
          <w:szCs w:val="32"/>
          <w:u w:val="none"/>
          <w:lang w:val="en-US" w:eastAsia="zh-CN"/>
        </w:rPr>
      </w:pPr>
      <w:r>
        <w:rPr>
          <w:rFonts w:hint="eastAsia" w:ascii="仿宋_GB2312" w:hAnsi="仿宋" w:eastAsia="仿宋_GB2312" w:cs="Times New Roman"/>
          <w:color w:val="000000"/>
          <w:sz w:val="32"/>
          <w:szCs w:val="32"/>
          <w:u w:val="none"/>
          <w:lang w:val="en-US" w:eastAsia="zh-CN"/>
        </w:rPr>
        <w:t>8.已承接南沙区政府购买居家养老服务项目或老年人照护需求评估机构第三方质量评价项目的服务机构，在合同期限内不得同时承接本项目。</w:t>
      </w:r>
    </w:p>
    <w:p w14:paraId="2E02F2E0">
      <w:pPr>
        <w:keepNext w:val="0"/>
        <w:keepLines w:val="0"/>
        <w:pageBreakBefore w:val="0"/>
        <w:kinsoku/>
        <w:wordWrap/>
        <w:overflowPunct/>
        <w:topLinePunct w:val="0"/>
        <w:bidi w:val="0"/>
        <w:snapToGrid/>
        <w:spacing w:line="560" w:lineRule="exact"/>
        <w:ind w:right="0" w:rightChars="0" w:firstLine="640" w:firstLineChars="200"/>
        <w:textAlignment w:val="auto"/>
        <w:rPr>
          <w:rFonts w:hint="eastAsia" w:ascii="仿宋_GB2312" w:hAnsi="仿宋" w:eastAsia="仿宋_GB2312" w:cs="Times New Roman"/>
          <w:color w:val="000000"/>
          <w:sz w:val="32"/>
          <w:szCs w:val="32"/>
          <w:u w:val="none"/>
          <w:lang w:val="en-US" w:eastAsia="zh-CN"/>
        </w:rPr>
      </w:pPr>
      <w:r>
        <w:rPr>
          <w:rFonts w:hint="eastAsia" w:ascii="仿宋_GB2312" w:hAnsi="仿宋" w:eastAsia="仿宋_GB2312" w:cs="Times New Roman"/>
          <w:color w:val="000000"/>
          <w:sz w:val="32"/>
          <w:szCs w:val="32"/>
          <w:u w:val="none"/>
          <w:lang w:val="en-US" w:eastAsia="zh-CN"/>
        </w:rPr>
        <w:t>9.本项目不接受联合体询价、存在控股关系的单位同时投标和不具备独立法人资格的个人参与询价。</w:t>
      </w:r>
    </w:p>
    <w:p w14:paraId="39E88EB2">
      <w:pPr>
        <w:keepNext w:val="0"/>
        <w:keepLines w:val="0"/>
        <w:pageBreakBefore w:val="0"/>
        <w:kinsoku/>
        <w:wordWrap/>
        <w:overflowPunct/>
        <w:topLinePunct w:val="0"/>
        <w:bidi w:val="0"/>
        <w:snapToGrid/>
        <w:spacing w:line="560" w:lineRule="exact"/>
        <w:ind w:right="0" w:rightChars="0" w:firstLine="640" w:firstLineChars="200"/>
        <w:textAlignment w:val="auto"/>
        <w:rPr>
          <w:rFonts w:hint="eastAsia" w:ascii="仿宋_GB2312" w:hAnsi="仿宋" w:eastAsia="仿宋_GB2312" w:cs="Times New Roman"/>
          <w:color w:val="000000"/>
          <w:sz w:val="32"/>
          <w:szCs w:val="32"/>
          <w:u w:val="none"/>
          <w:lang w:val="en-US" w:eastAsia="zh-CN"/>
        </w:rPr>
      </w:pPr>
      <w:r>
        <w:rPr>
          <w:rFonts w:hint="eastAsia" w:ascii="仿宋_GB2312" w:hAnsi="仿宋" w:eastAsia="仿宋_GB2312" w:cs="Times New Roman"/>
          <w:color w:val="000000"/>
          <w:sz w:val="32"/>
          <w:szCs w:val="32"/>
          <w:u w:val="none"/>
          <w:lang w:val="en-US" w:eastAsia="zh-CN"/>
        </w:rPr>
        <w:t>10.法律、行政法规等规定的其他条件。</w:t>
      </w:r>
    </w:p>
    <w:p w14:paraId="0CB9C577">
      <w:pPr>
        <w:keepNext w:val="0"/>
        <w:keepLines w:val="0"/>
        <w:pageBreakBefore w:val="0"/>
        <w:kinsoku/>
        <w:wordWrap/>
        <w:overflowPunct/>
        <w:topLinePunct w:val="0"/>
        <w:bidi w:val="0"/>
        <w:snapToGrid/>
        <w:spacing w:line="560" w:lineRule="exact"/>
        <w:ind w:right="0" w:rightChars="0" w:firstLine="640" w:firstLineChars="200"/>
        <w:textAlignment w:val="auto"/>
        <w:rPr>
          <w:rFonts w:hint="eastAsia" w:ascii="楷体_GB2312" w:hAnsi="楷体_GB2312" w:eastAsia="楷体_GB2312" w:cs="楷体_GB2312"/>
          <w:color w:val="000000"/>
          <w:sz w:val="32"/>
          <w:szCs w:val="32"/>
          <w:u w:val="none"/>
          <w:lang w:val="en-US" w:eastAsia="zh-CN"/>
        </w:rPr>
      </w:pPr>
      <w:r>
        <w:rPr>
          <w:rFonts w:hint="eastAsia" w:ascii="楷体_GB2312" w:hAnsi="楷体_GB2312" w:eastAsia="楷体_GB2312" w:cs="楷体_GB2312"/>
          <w:color w:val="000000"/>
          <w:sz w:val="32"/>
          <w:szCs w:val="32"/>
          <w:u w:val="none"/>
          <w:lang w:val="en-US" w:eastAsia="zh-CN"/>
        </w:rPr>
        <w:t>（二）评估人员要求</w:t>
      </w:r>
    </w:p>
    <w:p w14:paraId="3DCCD52C">
      <w:pPr>
        <w:keepNext w:val="0"/>
        <w:keepLines w:val="0"/>
        <w:pageBreakBefore w:val="0"/>
        <w:kinsoku/>
        <w:wordWrap/>
        <w:overflowPunct/>
        <w:topLinePunct w:val="0"/>
        <w:bidi w:val="0"/>
        <w:snapToGrid/>
        <w:spacing w:line="560" w:lineRule="exact"/>
        <w:ind w:right="0" w:rightChars="0" w:firstLine="640" w:firstLineChars="200"/>
        <w:textAlignment w:val="auto"/>
        <w:rPr>
          <w:rFonts w:hint="eastAsia" w:ascii="仿宋_GB2312" w:hAnsi="仿宋" w:eastAsia="仿宋_GB2312" w:cs="Times New Roman"/>
          <w:color w:val="000000"/>
          <w:sz w:val="32"/>
          <w:szCs w:val="32"/>
          <w:u w:val="none"/>
          <w:lang w:val="en-US" w:eastAsia="zh-CN"/>
        </w:rPr>
      </w:pPr>
      <w:r>
        <w:rPr>
          <w:rFonts w:hint="eastAsia" w:ascii="仿宋_GB2312" w:hAnsi="仿宋" w:eastAsia="仿宋_GB2312" w:cs="Times New Roman"/>
          <w:color w:val="000000"/>
          <w:sz w:val="32"/>
          <w:szCs w:val="32"/>
          <w:u w:val="none"/>
          <w:lang w:val="en-US" w:eastAsia="zh-CN"/>
        </w:rPr>
        <w:t>1.评估人员包括评估员和评估专家。评估员负责采集评估信息，协助开展现场评估；评估专家负责开展现场评估，提出评估结论。</w:t>
      </w:r>
    </w:p>
    <w:p w14:paraId="63142F45">
      <w:pPr>
        <w:keepNext w:val="0"/>
        <w:keepLines w:val="0"/>
        <w:pageBreakBefore w:val="0"/>
        <w:kinsoku/>
        <w:wordWrap/>
        <w:overflowPunct/>
        <w:topLinePunct w:val="0"/>
        <w:bidi w:val="0"/>
        <w:snapToGrid/>
        <w:spacing w:line="560" w:lineRule="exact"/>
        <w:ind w:right="0" w:rightChars="0" w:firstLine="640" w:firstLineChars="200"/>
        <w:textAlignment w:val="auto"/>
        <w:rPr>
          <w:rFonts w:hint="eastAsia" w:ascii="仿宋_GB2312" w:hAnsi="仿宋" w:eastAsia="仿宋_GB2312" w:cs="Times New Roman"/>
          <w:color w:val="000000"/>
          <w:sz w:val="32"/>
          <w:szCs w:val="32"/>
          <w:u w:val="none"/>
          <w:lang w:val="en-US" w:eastAsia="zh-CN"/>
        </w:rPr>
      </w:pPr>
      <w:r>
        <w:rPr>
          <w:rFonts w:hint="eastAsia" w:ascii="仿宋_GB2312" w:hAnsi="仿宋_GB2312" w:eastAsia="仿宋_GB2312" w:cs="仿宋_GB2312"/>
          <w:kern w:val="0"/>
          <w:sz w:val="32"/>
          <w:szCs w:val="24"/>
          <w:u w:val="none"/>
        </w:rPr>
        <w:t>★</w:t>
      </w:r>
      <w:r>
        <w:rPr>
          <w:rFonts w:hint="eastAsia" w:ascii="仿宋_GB2312" w:hAnsi="仿宋" w:eastAsia="仿宋_GB2312" w:cs="Times New Roman"/>
          <w:color w:val="000000"/>
          <w:sz w:val="32"/>
          <w:szCs w:val="32"/>
          <w:u w:val="none"/>
          <w:lang w:val="en-US" w:eastAsia="zh-CN"/>
        </w:rPr>
        <w:t>2.评估员应具备以下基本条件：</w:t>
      </w:r>
    </w:p>
    <w:p w14:paraId="3EC6E7EA">
      <w:pPr>
        <w:keepNext w:val="0"/>
        <w:keepLines w:val="0"/>
        <w:pageBreakBefore w:val="0"/>
        <w:kinsoku/>
        <w:wordWrap/>
        <w:overflowPunct/>
        <w:topLinePunct w:val="0"/>
        <w:bidi w:val="0"/>
        <w:snapToGrid/>
        <w:spacing w:line="560" w:lineRule="exact"/>
        <w:ind w:right="0" w:rightChars="0" w:firstLine="640" w:firstLineChars="200"/>
        <w:textAlignment w:val="auto"/>
        <w:rPr>
          <w:rFonts w:hint="eastAsia" w:ascii="仿宋_GB2312" w:hAnsi="仿宋" w:eastAsia="仿宋_GB2312" w:cs="Times New Roman"/>
          <w:color w:val="000000"/>
          <w:sz w:val="32"/>
          <w:szCs w:val="32"/>
          <w:u w:val="none"/>
          <w:lang w:val="en-US" w:eastAsia="zh-CN"/>
        </w:rPr>
      </w:pPr>
      <w:r>
        <w:rPr>
          <w:rFonts w:hint="eastAsia" w:ascii="仿宋_GB2312" w:hAnsi="仿宋" w:eastAsia="仿宋_GB2312" w:cs="Times New Roman"/>
          <w:color w:val="000000"/>
          <w:sz w:val="32"/>
          <w:szCs w:val="32"/>
          <w:u w:val="none"/>
          <w:lang w:val="en-US" w:eastAsia="zh-CN"/>
        </w:rPr>
        <w:t>（1）具有良好的职业道德和职业操守，在工作中能够做到客观公正、廉洁自律、遵纪守法，相关行业领域无不良信用记录。</w:t>
      </w:r>
    </w:p>
    <w:p w14:paraId="79AEDC42">
      <w:pPr>
        <w:keepNext w:val="0"/>
        <w:keepLines w:val="0"/>
        <w:pageBreakBefore w:val="0"/>
        <w:kinsoku/>
        <w:wordWrap/>
        <w:overflowPunct/>
        <w:topLinePunct w:val="0"/>
        <w:bidi w:val="0"/>
        <w:snapToGrid/>
        <w:spacing w:line="560" w:lineRule="exact"/>
        <w:ind w:right="0" w:rightChars="0" w:firstLine="640" w:firstLineChars="200"/>
        <w:textAlignment w:val="auto"/>
        <w:rPr>
          <w:rFonts w:hint="eastAsia" w:ascii="仿宋_GB2312" w:hAnsi="仿宋" w:eastAsia="仿宋_GB2312" w:cs="Times New Roman"/>
          <w:color w:val="000000"/>
          <w:sz w:val="32"/>
          <w:szCs w:val="32"/>
          <w:u w:val="none"/>
          <w:lang w:val="en-US" w:eastAsia="zh-CN"/>
        </w:rPr>
      </w:pPr>
      <w:r>
        <w:rPr>
          <w:rFonts w:hint="eastAsia" w:ascii="仿宋_GB2312" w:hAnsi="仿宋" w:eastAsia="仿宋_GB2312" w:cs="Times New Roman"/>
          <w:color w:val="000000"/>
          <w:sz w:val="32"/>
          <w:szCs w:val="32"/>
          <w:u w:val="none"/>
          <w:lang w:val="en-US" w:eastAsia="zh-CN"/>
        </w:rPr>
        <w:t>（2）具备临床医学、护理、康复、精神心理、公共卫生等执业资格或康复治疗师、养老护理员、社会工作者等相应资质，且具有2年以上相关工作经历。</w:t>
      </w:r>
    </w:p>
    <w:p w14:paraId="5458DEEB">
      <w:pPr>
        <w:keepNext w:val="0"/>
        <w:keepLines w:val="0"/>
        <w:pageBreakBefore w:val="0"/>
        <w:kinsoku/>
        <w:wordWrap/>
        <w:overflowPunct/>
        <w:topLinePunct w:val="0"/>
        <w:bidi w:val="0"/>
        <w:snapToGrid/>
        <w:spacing w:line="560" w:lineRule="exact"/>
        <w:ind w:right="0" w:rightChars="0" w:firstLine="640" w:firstLineChars="200"/>
        <w:textAlignment w:val="auto"/>
        <w:rPr>
          <w:rFonts w:hint="eastAsia" w:ascii="仿宋_GB2312" w:hAnsi="仿宋" w:eastAsia="仿宋_GB2312" w:cs="Times New Roman"/>
          <w:color w:val="000000"/>
          <w:sz w:val="32"/>
          <w:szCs w:val="32"/>
          <w:u w:val="none"/>
          <w:lang w:val="en-US" w:eastAsia="zh-CN"/>
        </w:rPr>
      </w:pPr>
      <w:r>
        <w:rPr>
          <w:rFonts w:hint="eastAsia" w:ascii="仿宋_GB2312" w:hAnsi="仿宋" w:eastAsia="仿宋_GB2312" w:cs="Times New Roman"/>
          <w:color w:val="000000"/>
          <w:sz w:val="32"/>
          <w:szCs w:val="32"/>
          <w:u w:val="none"/>
          <w:lang w:val="en-US" w:eastAsia="zh-CN"/>
        </w:rPr>
        <w:t>（3）参加规范化培训并考核合格，掌握相关老年人照护需求综合评估规范标准，熟悉评估操作要求。</w:t>
      </w:r>
    </w:p>
    <w:p w14:paraId="7362977D">
      <w:pPr>
        <w:keepNext w:val="0"/>
        <w:keepLines w:val="0"/>
        <w:pageBreakBefore w:val="0"/>
        <w:kinsoku/>
        <w:wordWrap/>
        <w:overflowPunct/>
        <w:topLinePunct w:val="0"/>
        <w:bidi w:val="0"/>
        <w:snapToGrid/>
        <w:spacing w:line="560" w:lineRule="exact"/>
        <w:ind w:right="0" w:rightChars="0" w:firstLine="640" w:firstLineChars="200"/>
        <w:textAlignment w:val="auto"/>
        <w:rPr>
          <w:rFonts w:hint="eastAsia" w:ascii="仿宋_GB2312" w:hAnsi="仿宋" w:eastAsia="仿宋_GB2312" w:cs="Times New Roman"/>
          <w:color w:val="000000"/>
          <w:sz w:val="32"/>
          <w:szCs w:val="32"/>
          <w:u w:val="none"/>
          <w:lang w:val="en-US" w:eastAsia="zh-CN"/>
        </w:rPr>
      </w:pPr>
      <w:r>
        <w:rPr>
          <w:rFonts w:hint="eastAsia" w:ascii="仿宋_GB2312" w:hAnsi="仿宋_GB2312" w:eastAsia="仿宋_GB2312" w:cs="仿宋_GB2312"/>
          <w:kern w:val="0"/>
          <w:sz w:val="32"/>
          <w:szCs w:val="24"/>
          <w:u w:val="none"/>
        </w:rPr>
        <w:t>★</w:t>
      </w:r>
      <w:r>
        <w:rPr>
          <w:rFonts w:hint="eastAsia" w:ascii="仿宋_GB2312" w:hAnsi="仿宋_GB2312" w:eastAsia="仿宋_GB2312" w:cs="仿宋_GB2312"/>
          <w:kern w:val="0"/>
          <w:sz w:val="32"/>
          <w:szCs w:val="24"/>
          <w:u w:val="none"/>
          <w:lang w:val="en-US" w:eastAsia="zh-CN"/>
        </w:rPr>
        <w:t>3.</w:t>
      </w:r>
      <w:r>
        <w:rPr>
          <w:rFonts w:hint="eastAsia" w:ascii="仿宋_GB2312" w:hAnsi="仿宋" w:eastAsia="仿宋_GB2312" w:cs="Times New Roman"/>
          <w:color w:val="000000"/>
          <w:sz w:val="32"/>
          <w:szCs w:val="32"/>
          <w:u w:val="none"/>
          <w:lang w:val="en-US" w:eastAsia="zh-CN"/>
        </w:rPr>
        <w:t>评估专家除必须具备评估员3项基本条件外，还应具有临床医学、护理、康复、精神心理、公共卫生领域中级及以上职称和2年及以上相关工作经历。</w:t>
      </w:r>
    </w:p>
    <w:p w14:paraId="6C3E1E48">
      <w:pPr>
        <w:keepNext w:val="0"/>
        <w:keepLines w:val="0"/>
        <w:pageBreakBefore w:val="0"/>
        <w:kinsoku/>
        <w:wordWrap/>
        <w:overflowPunct/>
        <w:topLinePunct w:val="0"/>
        <w:bidi w:val="0"/>
        <w:snapToGrid/>
        <w:spacing w:line="560" w:lineRule="exact"/>
        <w:ind w:right="0" w:rightChars="0" w:firstLine="640" w:firstLineChars="200"/>
        <w:textAlignment w:val="auto"/>
        <w:rPr>
          <w:rFonts w:hint="eastAsia" w:ascii="仿宋_GB2312" w:hAnsi="仿宋" w:eastAsia="仿宋_GB2312" w:cs="Times New Roman"/>
          <w:color w:val="000000"/>
          <w:sz w:val="32"/>
          <w:szCs w:val="32"/>
          <w:u w:val="none"/>
          <w:lang w:val="en-US" w:eastAsia="zh-CN"/>
        </w:rPr>
      </w:pPr>
      <w:r>
        <w:rPr>
          <w:rFonts w:hint="eastAsia" w:ascii="仿宋_GB2312" w:hAnsi="仿宋" w:eastAsia="仿宋_GB2312" w:cs="Times New Roman"/>
          <w:color w:val="000000"/>
          <w:sz w:val="32"/>
          <w:szCs w:val="32"/>
          <w:u w:val="none"/>
          <w:lang w:val="en-US" w:eastAsia="zh-CN"/>
        </w:rPr>
        <w:t>4.每次评估原则上应有至少2名评估人员同时进行现场评估，其中至少有1名评估专家。</w:t>
      </w:r>
    </w:p>
    <w:p w14:paraId="3B6C3891">
      <w:pPr>
        <w:keepNext w:val="0"/>
        <w:keepLines w:val="0"/>
        <w:pageBreakBefore w:val="0"/>
        <w:kinsoku/>
        <w:wordWrap/>
        <w:overflowPunct/>
        <w:topLinePunct w:val="0"/>
        <w:bidi w:val="0"/>
        <w:snapToGrid/>
        <w:spacing w:line="560" w:lineRule="exact"/>
        <w:ind w:right="0" w:rightChars="0" w:firstLine="640" w:firstLineChars="200"/>
        <w:textAlignment w:val="auto"/>
        <w:rPr>
          <w:rFonts w:hint="eastAsia" w:ascii="仿宋_GB2312" w:hAnsi="仿宋" w:eastAsia="仿宋_GB2312" w:cs="Times New Roman"/>
          <w:color w:val="000000"/>
          <w:sz w:val="32"/>
          <w:szCs w:val="32"/>
          <w:u w:val="none"/>
          <w:lang w:val="en-US" w:eastAsia="zh-CN"/>
        </w:rPr>
      </w:pPr>
      <w:r>
        <w:rPr>
          <w:rFonts w:hint="eastAsia" w:ascii="仿宋_GB2312" w:hAnsi="仿宋" w:eastAsia="仿宋_GB2312" w:cs="Times New Roman"/>
          <w:color w:val="000000"/>
          <w:sz w:val="32"/>
          <w:szCs w:val="32"/>
          <w:u w:val="none"/>
          <w:lang w:val="en-US" w:eastAsia="zh-CN"/>
        </w:rPr>
        <w:t>5.评估人员应严格执行评估规范要求，独立、客观、公正地开展评估工作。与评估对象有亲属或利害关系的，应当回避。</w:t>
      </w:r>
    </w:p>
    <w:p w14:paraId="1AD8E311">
      <w:pPr>
        <w:keepNext w:val="0"/>
        <w:keepLines w:val="0"/>
        <w:pageBreakBefore w:val="0"/>
        <w:kinsoku/>
        <w:wordWrap/>
        <w:overflowPunct/>
        <w:topLinePunct w:val="0"/>
        <w:bidi w:val="0"/>
        <w:snapToGrid/>
        <w:spacing w:line="560" w:lineRule="exact"/>
        <w:ind w:right="0" w:rightChars="0" w:firstLine="640" w:firstLineChars="200"/>
        <w:textAlignment w:val="auto"/>
        <w:rPr>
          <w:rFonts w:hint="eastAsia" w:ascii="仿宋_GB2312" w:hAnsi="仿宋" w:eastAsia="仿宋_GB2312" w:cs="Times New Roman"/>
          <w:color w:val="000000"/>
          <w:sz w:val="32"/>
          <w:szCs w:val="32"/>
          <w:u w:val="none"/>
          <w:lang w:val="en-US" w:eastAsia="zh-CN"/>
        </w:rPr>
      </w:pPr>
      <w:r>
        <w:rPr>
          <w:rFonts w:hint="eastAsia" w:ascii="仿宋_GB2312" w:hAnsi="仿宋" w:eastAsia="仿宋_GB2312" w:cs="Times New Roman"/>
          <w:color w:val="000000"/>
          <w:sz w:val="32"/>
          <w:szCs w:val="32"/>
          <w:u w:val="none"/>
          <w:lang w:val="en-US" w:eastAsia="zh-CN"/>
        </w:rPr>
        <w:t>6.评估员应当规范着装，佩戴有自己身份标识的证件；态度和蔼，使用礼貌用语。</w:t>
      </w:r>
    </w:p>
    <w:p w14:paraId="27194C80">
      <w:pPr>
        <w:keepNext w:val="0"/>
        <w:keepLines w:val="0"/>
        <w:pageBreakBefore w:val="0"/>
        <w:kinsoku/>
        <w:wordWrap/>
        <w:overflowPunct/>
        <w:topLinePunct w:val="0"/>
        <w:bidi w:val="0"/>
        <w:snapToGrid/>
        <w:spacing w:line="560" w:lineRule="exact"/>
        <w:ind w:right="0" w:rightChars="0" w:firstLine="640" w:firstLineChars="200"/>
        <w:textAlignment w:val="auto"/>
        <w:rPr>
          <w:rFonts w:hint="eastAsia" w:ascii="黑体" w:hAnsi="黑体" w:eastAsia="黑体" w:cs="黑体"/>
          <w:sz w:val="32"/>
          <w:szCs w:val="32"/>
          <w:u w:val="none"/>
          <w:lang w:val="en-US" w:eastAsia="zh-CN"/>
        </w:rPr>
      </w:pPr>
      <w:r>
        <w:rPr>
          <w:rFonts w:hint="eastAsia" w:ascii="黑体" w:hAnsi="黑体" w:eastAsia="黑体" w:cs="黑体"/>
          <w:sz w:val="32"/>
          <w:szCs w:val="32"/>
          <w:u w:val="none"/>
          <w:lang w:val="en-US" w:eastAsia="zh-CN"/>
        </w:rPr>
        <w:t>四、评估实施</w:t>
      </w:r>
    </w:p>
    <w:p w14:paraId="44F9759B">
      <w:pPr>
        <w:keepNext w:val="0"/>
        <w:keepLines w:val="0"/>
        <w:pageBreakBefore w:val="0"/>
        <w:kinsoku/>
        <w:wordWrap/>
        <w:overflowPunct/>
        <w:topLinePunct w:val="0"/>
        <w:bidi w:val="0"/>
        <w:snapToGrid/>
        <w:spacing w:line="560" w:lineRule="exact"/>
        <w:ind w:right="0" w:rightChars="0" w:firstLine="640" w:firstLineChars="200"/>
        <w:textAlignment w:val="auto"/>
        <w:rPr>
          <w:rFonts w:hint="eastAsia" w:ascii="楷体_GB2312" w:hAnsi="楷体_GB2312" w:eastAsia="楷体_GB2312" w:cs="楷体_GB2312"/>
          <w:color w:val="000000"/>
          <w:sz w:val="32"/>
          <w:szCs w:val="32"/>
          <w:u w:val="none"/>
          <w:lang w:val="en-US" w:eastAsia="zh-CN"/>
        </w:rPr>
      </w:pPr>
      <w:r>
        <w:rPr>
          <w:rFonts w:hint="eastAsia" w:ascii="楷体_GB2312" w:hAnsi="楷体_GB2312" w:eastAsia="楷体_GB2312" w:cs="楷体_GB2312"/>
          <w:color w:val="000000"/>
          <w:sz w:val="32"/>
          <w:szCs w:val="32"/>
          <w:u w:val="none"/>
          <w:lang w:val="en-US" w:eastAsia="zh-CN"/>
        </w:rPr>
        <w:t>（一）评估流程</w:t>
      </w:r>
    </w:p>
    <w:p w14:paraId="12E40EB4">
      <w:pPr>
        <w:keepNext w:val="0"/>
        <w:keepLines w:val="0"/>
        <w:pageBreakBefore w:val="0"/>
        <w:kinsoku/>
        <w:wordWrap/>
        <w:overflowPunct/>
        <w:topLinePunct w:val="0"/>
        <w:bidi w:val="0"/>
        <w:snapToGrid/>
        <w:spacing w:line="560" w:lineRule="exact"/>
        <w:ind w:right="0" w:rightChars="0" w:firstLine="640" w:firstLineChars="200"/>
        <w:textAlignment w:val="auto"/>
        <w:rPr>
          <w:rFonts w:hint="eastAsia" w:ascii="仿宋_GB2312" w:hAnsi="仿宋" w:eastAsia="仿宋_GB2312" w:cs="Times New Roman"/>
          <w:color w:val="000000"/>
          <w:sz w:val="32"/>
          <w:szCs w:val="32"/>
          <w:u w:val="none"/>
          <w:lang w:val="en-US" w:eastAsia="zh-CN"/>
        </w:rPr>
      </w:pPr>
      <w:r>
        <w:rPr>
          <w:rFonts w:hint="eastAsia" w:ascii="仿宋_GB2312" w:hAnsi="仿宋" w:eastAsia="仿宋_GB2312" w:cs="Times New Roman"/>
          <w:color w:val="000000"/>
          <w:sz w:val="32"/>
          <w:szCs w:val="32"/>
          <w:u w:val="none"/>
          <w:lang w:val="en-US" w:eastAsia="zh-CN"/>
        </w:rPr>
        <w:t>1.受理审核。评估机构通过相关信息平台受理审核评估申请后，应及时反馈受理审核结果，申请材料不完整或不符合受理条件的，通过原渠道一次性告知其需要补充的全部材料或不符合受理的具体原因。患各种危重疾病、传染病急需治疗或尚处于治疗过程中身体状况不稳定的和不符合待遇享受条件的不予受理。</w:t>
      </w:r>
    </w:p>
    <w:p w14:paraId="715A0406">
      <w:pPr>
        <w:keepNext w:val="0"/>
        <w:keepLines w:val="0"/>
        <w:pageBreakBefore w:val="0"/>
        <w:kinsoku/>
        <w:wordWrap/>
        <w:overflowPunct/>
        <w:topLinePunct w:val="0"/>
        <w:bidi w:val="0"/>
        <w:snapToGrid/>
        <w:spacing w:line="560" w:lineRule="exact"/>
        <w:ind w:right="0" w:rightChars="0" w:firstLine="640" w:firstLineChars="200"/>
        <w:textAlignment w:val="auto"/>
        <w:rPr>
          <w:rFonts w:hint="eastAsia" w:ascii="仿宋_GB2312" w:hAnsi="仿宋" w:eastAsia="仿宋_GB2312" w:cs="Times New Roman"/>
          <w:color w:val="000000"/>
          <w:sz w:val="32"/>
          <w:szCs w:val="32"/>
          <w:u w:val="none"/>
          <w:lang w:val="en-US" w:eastAsia="zh-CN"/>
        </w:rPr>
      </w:pPr>
      <w:r>
        <w:rPr>
          <w:rFonts w:hint="eastAsia" w:ascii="仿宋_GB2312" w:hAnsi="仿宋" w:eastAsia="仿宋_GB2312" w:cs="Times New Roman"/>
          <w:color w:val="000000"/>
          <w:sz w:val="32"/>
          <w:szCs w:val="32"/>
          <w:u w:val="none"/>
          <w:lang w:val="en-US" w:eastAsia="zh-CN"/>
        </w:rPr>
        <w:t>2.现场评估。评估机构组织开展现场评估。评估人员根据评估标准客观、公正采集评估信息，形成评估记录，并由评估对象或其监护人、委托代理人与评估人员双方签名确认。</w:t>
      </w:r>
    </w:p>
    <w:p w14:paraId="7D5A47F5">
      <w:pPr>
        <w:keepNext w:val="0"/>
        <w:keepLines w:val="0"/>
        <w:pageBreakBefore w:val="0"/>
        <w:kinsoku/>
        <w:wordWrap/>
        <w:overflowPunct/>
        <w:topLinePunct w:val="0"/>
        <w:bidi w:val="0"/>
        <w:snapToGrid/>
        <w:spacing w:line="560" w:lineRule="exact"/>
        <w:ind w:right="0" w:rightChars="0" w:firstLine="640" w:firstLineChars="200"/>
        <w:textAlignment w:val="auto"/>
        <w:rPr>
          <w:rFonts w:hint="eastAsia" w:ascii="仿宋_GB2312" w:hAnsi="仿宋" w:eastAsia="仿宋_GB2312" w:cs="Times New Roman"/>
          <w:color w:val="000000"/>
          <w:sz w:val="32"/>
          <w:szCs w:val="32"/>
          <w:u w:val="none"/>
          <w:lang w:val="en-US" w:eastAsia="zh-CN"/>
        </w:rPr>
      </w:pPr>
      <w:r>
        <w:rPr>
          <w:rFonts w:hint="eastAsia" w:ascii="仿宋_GB2312" w:hAnsi="仿宋" w:eastAsia="仿宋_GB2312" w:cs="Times New Roman"/>
          <w:color w:val="000000"/>
          <w:sz w:val="32"/>
          <w:szCs w:val="32"/>
          <w:u w:val="none"/>
          <w:lang w:val="en-US" w:eastAsia="zh-CN"/>
        </w:rPr>
        <w:t xml:space="preserve">3.复核与结论。评估结论应经过至少2名评估专家的评估确认。现场评估人员可直接提出评估结论的，由现场评估人员提出评估结论。现场评估人员不能直接提出评估结论的，由评估机构组织评估专家依据现场采集信息提出评估结论。 </w:t>
      </w:r>
    </w:p>
    <w:p w14:paraId="3851BE35">
      <w:pPr>
        <w:keepNext w:val="0"/>
        <w:keepLines w:val="0"/>
        <w:pageBreakBefore w:val="0"/>
        <w:kinsoku/>
        <w:wordWrap/>
        <w:overflowPunct/>
        <w:topLinePunct w:val="0"/>
        <w:bidi w:val="0"/>
        <w:snapToGrid/>
        <w:spacing w:line="560" w:lineRule="exact"/>
        <w:ind w:right="0" w:rightChars="0" w:firstLine="640" w:firstLineChars="200"/>
        <w:textAlignment w:val="auto"/>
        <w:rPr>
          <w:rFonts w:hint="eastAsia" w:ascii="仿宋_GB2312" w:hAnsi="仿宋" w:eastAsia="仿宋_GB2312" w:cs="Times New Roman"/>
          <w:color w:val="000000"/>
          <w:sz w:val="32"/>
          <w:szCs w:val="32"/>
          <w:u w:val="none"/>
          <w:lang w:val="en-US" w:eastAsia="zh-CN"/>
        </w:rPr>
      </w:pPr>
      <w:r>
        <w:rPr>
          <w:rFonts w:hint="eastAsia" w:ascii="仿宋_GB2312" w:hAnsi="仿宋" w:eastAsia="仿宋_GB2312" w:cs="Times New Roman"/>
          <w:color w:val="000000"/>
          <w:sz w:val="32"/>
          <w:szCs w:val="32"/>
          <w:u w:val="none"/>
          <w:lang w:val="en-US" w:eastAsia="zh-CN"/>
        </w:rPr>
        <w:t>评估机构严格按照评估程序开展评估，其中受理审核、现场评估、复核与结论的总体时限不超过13个工作日。</w:t>
      </w:r>
    </w:p>
    <w:p w14:paraId="16F4DC3B">
      <w:pPr>
        <w:keepNext w:val="0"/>
        <w:keepLines w:val="0"/>
        <w:pageBreakBefore w:val="0"/>
        <w:kinsoku/>
        <w:wordWrap/>
        <w:overflowPunct/>
        <w:topLinePunct w:val="0"/>
        <w:bidi w:val="0"/>
        <w:snapToGrid/>
        <w:spacing w:line="560" w:lineRule="exact"/>
        <w:ind w:right="0" w:rightChars="0" w:firstLine="640" w:firstLineChars="200"/>
        <w:textAlignment w:val="auto"/>
        <w:rPr>
          <w:rFonts w:hint="eastAsia" w:ascii="仿宋_GB2312" w:hAnsi="仿宋" w:eastAsia="仿宋_GB2312" w:cs="Times New Roman"/>
          <w:color w:val="000000"/>
          <w:sz w:val="32"/>
          <w:szCs w:val="32"/>
          <w:u w:val="none"/>
          <w:lang w:val="en-US" w:eastAsia="zh-CN"/>
        </w:rPr>
      </w:pPr>
      <w:r>
        <w:rPr>
          <w:rFonts w:hint="eastAsia" w:ascii="仿宋_GB2312" w:hAnsi="仿宋" w:eastAsia="仿宋_GB2312" w:cs="Times New Roman"/>
          <w:color w:val="000000"/>
          <w:sz w:val="32"/>
          <w:szCs w:val="32"/>
          <w:u w:val="none"/>
          <w:lang w:val="en-US" w:eastAsia="zh-CN"/>
        </w:rPr>
        <w:t xml:space="preserve">4.公示与送达。评估机构应将评估结论推送至民政或医疗保障部门信息平台或评估对象常住地社区居委会（村委）在适当范围内公示3个工作日，接受社会监督。公示期内有异议的，可在公示期内实名反映情况，由评估机构复核处理。经公示无异议后次日出具评估结论，由评估机构在评估结论上盖章并于5个工作日内送达评估对象或其监护人、委托代理人。   </w:t>
      </w:r>
    </w:p>
    <w:p w14:paraId="111613C8">
      <w:pPr>
        <w:keepNext w:val="0"/>
        <w:keepLines w:val="0"/>
        <w:pageBreakBefore w:val="0"/>
        <w:kinsoku/>
        <w:wordWrap/>
        <w:overflowPunct/>
        <w:topLinePunct w:val="0"/>
        <w:bidi w:val="0"/>
        <w:snapToGrid/>
        <w:spacing w:line="560" w:lineRule="exact"/>
        <w:ind w:right="0" w:rightChars="0" w:firstLine="640" w:firstLineChars="200"/>
        <w:textAlignment w:val="auto"/>
        <w:rPr>
          <w:rFonts w:hint="eastAsia" w:ascii="仿宋_GB2312" w:hAnsi="仿宋" w:eastAsia="仿宋_GB2312" w:cs="Times New Roman"/>
          <w:color w:val="000000"/>
          <w:sz w:val="32"/>
          <w:szCs w:val="32"/>
          <w:u w:val="none"/>
          <w:lang w:val="en-US" w:eastAsia="zh-CN"/>
        </w:rPr>
      </w:pPr>
      <w:r>
        <w:rPr>
          <w:rFonts w:hint="eastAsia" w:ascii="仿宋_GB2312" w:hAnsi="仿宋" w:eastAsia="仿宋_GB2312" w:cs="Times New Roman"/>
          <w:color w:val="000000"/>
          <w:sz w:val="32"/>
          <w:szCs w:val="32"/>
          <w:u w:val="none"/>
          <w:lang w:val="en-US" w:eastAsia="zh-CN"/>
        </w:rPr>
        <w:t>5.异议复评。评估对象或其监护人、委托代理人对老年人照护需求综合评估结论有异议的，自收到评定结论7个工作日内，通过原渠道或常住地街（镇）社区卫生服务中心（镇卫生院）提出复评申请。区卫生健康部门具体组织实施复评，初评机构应向复评机构提供初评时完整信息，包括初评现场影像资料、笔录等。区卫生健康部门组织2名以上具有高级职称的评估专家团队依据初评现场采集信息提出复评结论，并在10个工作日内将复评结论送达至评估对象或其监护人、委托代理人。必要时采取现场核实方式。参加初评的评估机构和评估人员须回避。复评结论为本次评估的最终结论。</w:t>
      </w:r>
    </w:p>
    <w:p w14:paraId="3570CE88">
      <w:pPr>
        <w:pStyle w:val="6"/>
        <w:keepNext w:val="0"/>
        <w:keepLines w:val="0"/>
        <w:pageBreakBefore w:val="0"/>
        <w:kinsoku/>
        <w:wordWrap/>
        <w:overflowPunct/>
        <w:topLinePunct w:val="0"/>
        <w:bidi w:val="0"/>
        <w:snapToGrid/>
        <w:spacing w:line="560" w:lineRule="exact"/>
        <w:ind w:right="0" w:rightChars="0" w:firstLine="643"/>
        <w:textAlignment w:val="auto"/>
        <w:rPr>
          <w:rFonts w:hint="eastAsia" w:ascii="楷体_GB2312" w:hAnsi="楷体_GB2312" w:eastAsia="楷体_GB2312" w:cs="楷体_GB2312"/>
          <w:sz w:val="32"/>
          <w:u w:val="none"/>
          <w:lang w:val="en-US" w:eastAsia="zh-CN"/>
        </w:rPr>
      </w:pPr>
      <w:r>
        <w:rPr>
          <w:rFonts w:hint="eastAsia" w:ascii="楷体_GB2312" w:hAnsi="楷体_GB2312" w:eastAsia="楷体_GB2312" w:cs="楷体_GB2312"/>
          <w:sz w:val="32"/>
          <w:u w:val="none"/>
          <w:lang w:val="en-US" w:eastAsia="zh-CN"/>
        </w:rPr>
        <w:t>（二）监督管理</w:t>
      </w:r>
    </w:p>
    <w:p w14:paraId="5A13D692">
      <w:pPr>
        <w:pStyle w:val="6"/>
        <w:keepNext w:val="0"/>
        <w:keepLines w:val="0"/>
        <w:pageBreakBefore w:val="0"/>
        <w:kinsoku/>
        <w:wordWrap/>
        <w:overflowPunct/>
        <w:topLinePunct w:val="0"/>
        <w:bidi w:val="0"/>
        <w:snapToGrid/>
        <w:spacing w:line="560" w:lineRule="exact"/>
        <w:ind w:right="0" w:rightChars="0" w:firstLine="643"/>
        <w:textAlignment w:val="auto"/>
        <w:rPr>
          <w:rFonts w:hint="eastAsia" w:ascii="仿宋_GB2312" w:hAnsi="仿宋_GB2312" w:eastAsia="仿宋_GB2312" w:cs="仿宋_GB2312"/>
          <w:sz w:val="32"/>
          <w:u w:val="none"/>
          <w:lang w:val="en-US" w:eastAsia="zh-CN"/>
        </w:rPr>
      </w:pPr>
      <w:r>
        <w:rPr>
          <w:rFonts w:hint="eastAsia" w:ascii="仿宋_GB2312" w:hAnsi="仿宋_GB2312" w:eastAsia="仿宋_GB2312" w:cs="仿宋_GB2312"/>
          <w:sz w:val="32"/>
          <w:u w:val="none"/>
          <w:lang w:val="en-US" w:eastAsia="zh-CN"/>
        </w:rPr>
        <w:t>评估服务需接受广州市南沙区民政局监督管理。如承接机构存在捏造数据、弄虚作假、徇私舞弊行为并查证属实的，广州市南沙区民政局有权单方面解除合同，并无需承担违约责任，该承接机构在2年内不得参与广州市南沙区政府购买老年人照护需求等级评估项目，并列入居家社区养老服务供应商“黑名单”。</w:t>
      </w:r>
    </w:p>
    <w:p w14:paraId="0FBDDDED">
      <w:pPr>
        <w:keepNext w:val="0"/>
        <w:keepLines w:val="0"/>
        <w:pageBreakBefore w:val="0"/>
        <w:kinsoku/>
        <w:wordWrap/>
        <w:overflowPunct/>
        <w:topLinePunct w:val="0"/>
        <w:bidi w:val="0"/>
        <w:snapToGrid/>
        <w:spacing w:line="560" w:lineRule="exact"/>
        <w:ind w:right="0" w:rightChars="0" w:firstLine="640" w:firstLineChars="200"/>
        <w:textAlignment w:val="auto"/>
        <w:rPr>
          <w:rFonts w:hint="eastAsia" w:ascii="黑体" w:hAnsi="黑体" w:eastAsia="黑体" w:cs="黑体"/>
          <w:sz w:val="32"/>
          <w:szCs w:val="32"/>
          <w:u w:val="none"/>
        </w:rPr>
      </w:pPr>
      <w:r>
        <w:rPr>
          <w:rFonts w:hint="eastAsia" w:ascii="黑体" w:hAnsi="黑体" w:eastAsia="黑体" w:cs="黑体"/>
          <w:sz w:val="32"/>
          <w:szCs w:val="32"/>
          <w:u w:val="none"/>
        </w:rPr>
        <w:t>五、保密要求</w:t>
      </w:r>
    </w:p>
    <w:p w14:paraId="18966CDD">
      <w:pPr>
        <w:keepNext w:val="0"/>
        <w:keepLines w:val="0"/>
        <w:pageBreakBefore w:val="0"/>
        <w:kinsoku/>
        <w:wordWrap/>
        <w:overflowPunct/>
        <w:topLinePunct w:val="0"/>
        <w:bidi w:val="0"/>
        <w:snapToGrid/>
        <w:spacing w:line="560" w:lineRule="exact"/>
        <w:ind w:right="0" w:rightChars="0"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u w:val="none"/>
        </w:rPr>
        <w:t>承接机构须对本项目涉及评估对象个人</w:t>
      </w:r>
      <w:r>
        <w:rPr>
          <w:rFonts w:hint="eastAsia" w:ascii="仿宋_GB2312" w:hAnsi="仿宋_GB2312" w:eastAsia="仿宋_GB2312" w:cs="仿宋_GB2312"/>
          <w:sz w:val="32"/>
          <w:u w:val="none"/>
          <w:lang w:val="en-US" w:eastAsia="zh-CN"/>
        </w:rPr>
        <w:t>信息</w:t>
      </w:r>
      <w:r>
        <w:rPr>
          <w:rFonts w:hint="eastAsia" w:ascii="仿宋_GB2312" w:hAnsi="仿宋_GB2312" w:eastAsia="仿宋_GB2312" w:cs="仿宋_GB2312"/>
          <w:sz w:val="32"/>
          <w:u w:val="none"/>
        </w:rPr>
        <w:t>及评估相关信息进行保密，未经评估对象或其法定监护人</w:t>
      </w:r>
      <w:r>
        <w:rPr>
          <w:rFonts w:hint="eastAsia" w:ascii="仿宋_GB2312" w:hAnsi="仿宋_GB2312" w:eastAsia="仿宋_GB2312" w:cs="仿宋_GB2312"/>
          <w:sz w:val="32"/>
          <w:u w:val="none"/>
          <w:lang w:val="en-US" w:eastAsia="zh-CN"/>
        </w:rPr>
        <w:t>和广州市南沙区民政局</w:t>
      </w:r>
      <w:r>
        <w:rPr>
          <w:rFonts w:hint="eastAsia" w:ascii="仿宋_GB2312" w:hAnsi="仿宋_GB2312" w:eastAsia="仿宋_GB2312" w:cs="仿宋_GB2312"/>
          <w:sz w:val="32"/>
          <w:u w:val="none"/>
        </w:rPr>
        <w:t>书面许可，不得对外披露，</w:t>
      </w:r>
      <w:r>
        <w:rPr>
          <w:rFonts w:hint="eastAsia" w:ascii="仿宋_GB2312" w:hAnsi="仿宋_GB2312" w:eastAsia="仿宋_GB2312" w:cs="仿宋_GB2312"/>
          <w:sz w:val="32"/>
          <w:szCs w:val="32"/>
          <w:u w:val="none"/>
        </w:rPr>
        <w:t>不得以任何形式提供给第三方，不得在参与本项目工作之外使用这些保密信息。保密期限为永久。</w:t>
      </w:r>
    </w:p>
    <w:p w14:paraId="32987C2A">
      <w:pPr>
        <w:keepNext w:val="0"/>
        <w:keepLines w:val="0"/>
        <w:pageBreakBefore w:val="0"/>
        <w:kinsoku/>
        <w:wordWrap/>
        <w:overflowPunct/>
        <w:topLinePunct w:val="0"/>
        <w:bidi w:val="0"/>
        <w:snapToGrid/>
        <w:spacing w:line="560" w:lineRule="exact"/>
        <w:ind w:right="0" w:rightChars="0" w:firstLine="640" w:firstLineChars="200"/>
        <w:textAlignment w:val="auto"/>
        <w:rPr>
          <w:rFonts w:hint="eastAsia" w:ascii="仿宋_GB2312" w:hAnsi="仿宋_GB2312" w:eastAsia="仿宋_GB2312" w:cs="仿宋_GB2312"/>
          <w:sz w:val="32"/>
          <w:u w:val="none"/>
        </w:rPr>
      </w:pPr>
      <w:r>
        <w:rPr>
          <w:rFonts w:hint="eastAsia" w:ascii="仿宋_GB2312" w:hAnsi="仿宋_GB2312" w:eastAsia="仿宋_GB2312" w:cs="仿宋_GB2312"/>
          <w:sz w:val="32"/>
          <w:u w:val="none"/>
        </w:rPr>
        <w:t>承接</w:t>
      </w:r>
      <w:r>
        <w:rPr>
          <w:rFonts w:hint="eastAsia" w:ascii="仿宋_GB2312" w:hAnsi="仿宋_GB2312" w:eastAsia="仿宋_GB2312" w:cs="仿宋_GB2312"/>
          <w:sz w:val="32"/>
          <w:szCs w:val="32"/>
          <w:u w:val="none"/>
        </w:rPr>
        <w:t>机构在本项目终止后不得保留以任何形式存储的评估对象的任何信息数据，不得利用该项目的保密信息数据为其他的单位（包括自办单位）或项目服务。</w:t>
      </w:r>
    </w:p>
    <w:p w14:paraId="5A1A7F6C">
      <w:pPr>
        <w:keepNext w:val="0"/>
        <w:keepLines w:val="0"/>
        <w:pageBreakBefore w:val="0"/>
        <w:kinsoku/>
        <w:wordWrap/>
        <w:overflowPunct/>
        <w:topLinePunct w:val="0"/>
        <w:bidi w:val="0"/>
        <w:snapToGrid/>
        <w:spacing w:line="560" w:lineRule="exact"/>
        <w:ind w:right="0" w:rightChars="0" w:firstLine="640" w:firstLineChars="200"/>
        <w:textAlignment w:val="auto"/>
        <w:rPr>
          <w:rFonts w:hint="eastAsia" w:ascii="黑体" w:hAnsi="黑体" w:eastAsia="黑体" w:cs="黑体"/>
          <w:sz w:val="32"/>
          <w:szCs w:val="32"/>
          <w:u w:val="none"/>
        </w:rPr>
      </w:pPr>
      <w:r>
        <w:rPr>
          <w:rFonts w:hint="eastAsia" w:ascii="黑体" w:hAnsi="黑体" w:eastAsia="黑体" w:cs="黑体"/>
          <w:sz w:val="32"/>
          <w:szCs w:val="32"/>
          <w:u w:val="none"/>
        </w:rPr>
        <w:t>六、项目验收</w:t>
      </w:r>
    </w:p>
    <w:p w14:paraId="53BB524F">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Times New Roman" w:eastAsia="仿宋_GB2312" w:cs="Times New Roman"/>
          <w:color w:val="auto"/>
          <w:sz w:val="32"/>
          <w:szCs w:val="32"/>
          <w:highlight w:val="none"/>
          <w:u w:val="none"/>
          <w:lang w:val="en-US" w:eastAsia="zh-CN"/>
        </w:rPr>
      </w:pPr>
      <w:r>
        <w:rPr>
          <w:rFonts w:hint="eastAsia" w:ascii="仿宋_GB2312" w:hAnsi="Times New Roman" w:eastAsia="仿宋_GB2312" w:cs="Times New Roman"/>
          <w:color w:val="auto"/>
          <w:sz w:val="32"/>
          <w:szCs w:val="32"/>
          <w:highlight w:val="none"/>
          <w:u w:val="none"/>
          <w:lang w:val="en-US" w:eastAsia="zh-CN"/>
        </w:rPr>
        <w:t>承接机构运营期满后需向广州市南沙区民政局提交评估工作相关材料，由广州市南沙区民政局通过资料查阅、评估回访等方式进行验收；验收结果以100分为满分，60分为合格，不满60分为不合格。以60分为界，每低1分广州市南沙区民政局直接在当期向承接机构支付的费用中扣取1%的违约金。</w:t>
      </w:r>
    </w:p>
    <w:p w14:paraId="44FC1D88">
      <w:pPr>
        <w:keepNext w:val="0"/>
        <w:keepLines w:val="0"/>
        <w:pageBreakBefore w:val="0"/>
        <w:numPr>
          <w:ilvl w:val="0"/>
          <w:numId w:val="0"/>
        </w:numPr>
        <w:kinsoku/>
        <w:wordWrap/>
        <w:overflowPunct/>
        <w:topLinePunct w:val="0"/>
        <w:bidi w:val="0"/>
        <w:snapToGrid/>
        <w:spacing w:line="560" w:lineRule="exact"/>
        <w:ind w:right="0" w:rightChars="0" w:firstLine="640" w:firstLineChars="200"/>
        <w:textAlignment w:val="auto"/>
        <w:rPr>
          <w:rFonts w:hint="eastAsia" w:ascii="黑体" w:hAnsi="黑体" w:eastAsia="黑体" w:cs="黑体"/>
          <w:sz w:val="32"/>
          <w:szCs w:val="32"/>
          <w:u w:val="none"/>
        </w:rPr>
      </w:pPr>
      <w:r>
        <w:rPr>
          <w:rFonts w:hint="eastAsia" w:ascii="黑体" w:hAnsi="黑体" w:eastAsia="黑体" w:cs="黑体"/>
          <w:sz w:val="32"/>
          <w:szCs w:val="32"/>
          <w:u w:val="none"/>
          <w:lang w:eastAsia="zh-CN"/>
        </w:rPr>
        <w:t>七、</w:t>
      </w:r>
      <w:r>
        <w:rPr>
          <w:rFonts w:hint="eastAsia" w:ascii="黑体" w:hAnsi="黑体" w:eastAsia="黑体" w:cs="黑体"/>
          <w:sz w:val="32"/>
          <w:szCs w:val="32"/>
          <w:u w:val="none"/>
        </w:rPr>
        <w:t>其他</w:t>
      </w:r>
    </w:p>
    <w:p w14:paraId="72F468A7">
      <w:pPr>
        <w:keepNext w:val="0"/>
        <w:keepLines w:val="0"/>
        <w:pageBreakBefore w:val="0"/>
        <w:kinsoku/>
        <w:wordWrap/>
        <w:overflowPunct/>
        <w:topLinePunct w:val="0"/>
        <w:bidi w:val="0"/>
        <w:snapToGrid/>
        <w:spacing w:line="560" w:lineRule="exact"/>
        <w:ind w:right="0" w:rightChars="0"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（一）合同期间若上级政策规范文件发生调整，以最新的政策规范文件要求为准。</w:t>
      </w:r>
    </w:p>
    <w:p w14:paraId="4FD2A409">
      <w:pPr>
        <w:keepNext w:val="0"/>
        <w:keepLines w:val="0"/>
        <w:pageBreakBefore w:val="0"/>
        <w:kinsoku/>
        <w:wordWrap/>
        <w:overflowPunct/>
        <w:topLinePunct w:val="0"/>
        <w:bidi w:val="0"/>
        <w:snapToGrid/>
        <w:spacing w:line="560" w:lineRule="exact"/>
        <w:ind w:right="0" w:rightChars="0" w:firstLine="640" w:firstLineChars="200"/>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rPr>
        <w:t>（二）在合同履行期间，承接机构应及时把握资金使用情况，</w:t>
      </w:r>
      <w:r>
        <w:rPr>
          <w:rFonts w:hint="eastAsia" w:ascii="仿宋_GB2312" w:hAnsi="仿宋_GB2312" w:eastAsia="仿宋_GB2312" w:cs="仿宋_GB2312"/>
          <w:sz w:val="32"/>
          <w:szCs w:val="32"/>
          <w:u w:val="none"/>
          <w:lang w:eastAsia="zh-CN"/>
        </w:rPr>
        <w:t>每月</w:t>
      </w:r>
      <w:r>
        <w:rPr>
          <w:rFonts w:hint="eastAsia" w:ascii="仿宋_GB2312" w:hAnsi="仿宋_GB2312" w:eastAsia="仿宋_GB2312" w:cs="仿宋_GB2312"/>
          <w:sz w:val="32"/>
          <w:szCs w:val="32"/>
          <w:u w:val="none"/>
        </w:rPr>
        <w:t>动态更新资金使用台账，并书面告知广州市南沙区民政局。</w:t>
      </w:r>
    </w:p>
    <w:sectPr>
      <w:footerReference r:id="rId3" w:type="default"/>
      <w:pgSz w:w="11906" w:h="16838"/>
      <w:pgMar w:top="1440" w:right="1689" w:bottom="1440" w:left="1689"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黑体_GBK">
    <w:panose1 w:val="02000000000000000000"/>
    <w:charset w:val="86"/>
    <w:family w:val="auto"/>
    <w:pitch w:val="default"/>
    <w:sig w:usb0="00000001" w:usb1="08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6099BE">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1A7445">
                          <w:pPr>
                            <w:pStyle w:val="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1D1A7445">
                    <w:pPr>
                      <w:pStyle w:val="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3697CCB"/>
    <w:rsid w:val="1FF73345"/>
    <w:rsid w:val="1FFC0D54"/>
    <w:rsid w:val="2BD37F9E"/>
    <w:rsid w:val="2FDFFEF7"/>
    <w:rsid w:val="348B749F"/>
    <w:rsid w:val="35F82B5E"/>
    <w:rsid w:val="37FF8791"/>
    <w:rsid w:val="38B848B4"/>
    <w:rsid w:val="3BCFB8DB"/>
    <w:rsid w:val="3F3146B5"/>
    <w:rsid w:val="52620E08"/>
    <w:rsid w:val="53067EC3"/>
    <w:rsid w:val="5DA76763"/>
    <w:rsid w:val="67BD07D9"/>
    <w:rsid w:val="6A487B3E"/>
    <w:rsid w:val="6A825D2B"/>
    <w:rsid w:val="6DDFA413"/>
    <w:rsid w:val="6E53A236"/>
    <w:rsid w:val="6F571235"/>
    <w:rsid w:val="7BDF1F98"/>
    <w:rsid w:val="7C7F061B"/>
    <w:rsid w:val="7FEF5FA7"/>
    <w:rsid w:val="AAEED840"/>
    <w:rsid w:val="BFEB0E3F"/>
    <w:rsid w:val="CFFFCD77"/>
    <w:rsid w:val="DE4EAA05"/>
    <w:rsid w:val="E1BE52A8"/>
    <w:rsid w:val="F5FCE5FA"/>
    <w:rsid w:val="FE3FBD2C"/>
    <w:rsid w:val="FE8E5950"/>
    <w:rsid w:val="FFFBE2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段"/>
    <w:qFormat/>
    <w:uiPriority w:val="0"/>
    <w:pPr>
      <w:widowControl/>
      <w:tabs>
        <w:tab w:val="center" w:pos="4201"/>
        <w:tab w:val="right" w:leader="dot" w:pos="9298"/>
      </w:tabs>
      <w:autoSpaceDE w:val="0"/>
      <w:autoSpaceDN w:val="0"/>
      <w:ind w:firstLine="420" w:firstLineChars="200"/>
      <w:jc w:val="both"/>
    </w:pPr>
    <w:rPr>
      <w:rFonts w:ascii="宋体" w:hAnsi="宋体" w:eastAsia="宋体" w:cs="Times New Roman"/>
      <w:kern w:val="24"/>
      <w:sz w:val="20"/>
      <w:szCs w:val="3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3708</Words>
  <Characters>3823</Characters>
  <Lines>0</Lines>
  <Paragraphs>0</Paragraphs>
  <TotalTime>31</TotalTime>
  <ScaleCrop>false</ScaleCrop>
  <LinksUpToDate>false</LinksUpToDate>
  <CharactersWithSpaces>3833</CharactersWithSpaces>
  <Application>WPS Office_12.8.2.19550_F1E327BC-269C-435d-A152-05C5408002CA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2014-11-04T20:08:00Z</dcterms:created>
  <dc:creator>Administrator</dc:creator>
  <cp:lastModifiedBy>Mzj-yl-001</cp:lastModifiedBy>
  <cp:lastPrinted>2025-05-21T11:49:00Z</cp:lastPrinted>
  <dcterms:modified xsi:type="dcterms:W3CDTF">2025-05-29T15:48:50Z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2052-12.8.2.19550</vt:lpwstr>
  </property>
  <property fmtid="{D5CDD505-2E9C-101B-9397-08002B2CF9AE}" pid="3" name="ICV">
    <vt:lpwstr>F8EDC2242E834497B62CFD883A7D7605_13</vt:lpwstr>
  </property>
  <property fmtid="{D5CDD505-2E9C-101B-9397-08002B2CF9AE}" pid="4" name="KSOTemplateDocerSaveRecord">
    <vt:lpwstr>eyJoZGlkIjoiMzEwNTM5NzYwMDRjMzkwZTVkZjY2ODkwMGIxNGU0OTUiLCJ1c2VySWQiOiIyMDYwMjIxNDQifQ==</vt:lpwstr>
  </property>
</Properties>
</file>