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3D9C2">
      <w:pPr>
        <w:keepNext w:val="0"/>
        <w:keepLines w:val="0"/>
        <w:pageBreakBefore w:val="0"/>
        <w:widowControl w:val="0"/>
        <w:kinsoku/>
        <w:wordWrap/>
        <w:overflowPunct/>
        <w:topLinePunct w:val="0"/>
        <w:autoSpaceDE/>
        <w:autoSpaceDN w:val="0"/>
        <w:bidi w:val="0"/>
        <w:adjustRightInd/>
        <w:snapToGrid/>
        <w:spacing w:line="540" w:lineRule="exact"/>
        <w:ind w:firstLine="0"/>
        <w:jc w:val="both"/>
        <w:textAlignment w:val="auto"/>
        <w:rPr>
          <w:rFonts w:hint="default" w:ascii="Times New Roman" w:hAnsi="Times New Roman" w:eastAsia="方正小标宋简体" w:cs="Times New Roman"/>
          <w:b w:val="0"/>
          <w:i w:val="0"/>
          <w:snapToGrid/>
          <w:color w:val="333333"/>
          <w:sz w:val="44"/>
          <w:szCs w:val="44"/>
          <w:lang w:eastAsia="zh-CN"/>
        </w:rPr>
      </w:pPr>
      <w:r>
        <w:rPr>
          <w:rFonts w:hint="default" w:ascii="Times New Roman" w:hAnsi="Times New Roman" w:eastAsia="黑体" w:cs="Times New Roman"/>
          <w:b w:val="0"/>
          <w:i w:val="0"/>
          <w:snapToGrid/>
          <w:color w:val="333333"/>
          <w:sz w:val="32"/>
          <w:szCs w:val="32"/>
          <w:lang w:eastAsia="zh-CN"/>
        </w:rPr>
        <w:t>附件</w:t>
      </w:r>
    </w:p>
    <w:p w14:paraId="7225ED15">
      <w:pPr>
        <w:keepNext w:val="0"/>
        <w:keepLines w:val="0"/>
        <w:pageBreakBefore w:val="0"/>
        <w:widowControl w:val="0"/>
        <w:kinsoku/>
        <w:wordWrap/>
        <w:overflowPunct/>
        <w:topLinePunct w:val="0"/>
        <w:autoSpaceDE/>
        <w:autoSpaceDN w:val="0"/>
        <w:bidi w:val="0"/>
        <w:adjustRightInd/>
        <w:snapToGrid/>
        <w:spacing w:line="540" w:lineRule="exact"/>
        <w:ind w:firstLine="0"/>
        <w:jc w:val="center"/>
        <w:textAlignment w:val="auto"/>
        <w:rPr>
          <w:rFonts w:hint="default" w:ascii="Times New Roman" w:hAnsi="Times New Roman" w:eastAsia="方正小标宋简体" w:cs="Times New Roman"/>
          <w:b w:val="0"/>
          <w:i w:val="0"/>
          <w:snapToGrid/>
          <w:color w:val="333333"/>
          <w:sz w:val="44"/>
          <w:szCs w:val="44"/>
          <w:lang w:eastAsia="zh-CN"/>
        </w:rPr>
      </w:pPr>
      <w:r>
        <w:rPr>
          <w:rFonts w:hint="default" w:ascii="Times New Roman" w:hAnsi="Times New Roman" w:eastAsia="方正小标宋简体" w:cs="Times New Roman"/>
          <w:b w:val="0"/>
          <w:i w:val="0"/>
          <w:snapToGrid/>
          <w:color w:val="333333"/>
          <w:sz w:val="44"/>
          <w:szCs w:val="44"/>
          <w:lang w:eastAsia="zh-CN"/>
        </w:rPr>
        <w:t>评审标准</w:t>
      </w:r>
    </w:p>
    <w:p w14:paraId="4F8BCA7F">
      <w:pPr>
        <w:keepNext w:val="0"/>
        <w:keepLines w:val="0"/>
        <w:pageBreakBefore w:val="0"/>
        <w:widowControl w:val="0"/>
        <w:kinsoku/>
        <w:wordWrap/>
        <w:overflowPunct/>
        <w:topLinePunct w:val="0"/>
        <w:autoSpaceDE/>
        <w:autoSpaceDN w:val="0"/>
        <w:bidi w:val="0"/>
        <w:adjustRightInd/>
        <w:snapToGrid/>
        <w:spacing w:line="540" w:lineRule="exact"/>
        <w:ind w:firstLine="0"/>
        <w:jc w:val="both"/>
        <w:textAlignment w:val="auto"/>
        <w:rPr>
          <w:rFonts w:hint="default" w:ascii="Times New Roman" w:hAnsi="Times New Roman" w:eastAsia="仿宋_GB2312" w:cs="Times New Roman"/>
          <w:b w:val="0"/>
          <w:i w:val="0"/>
          <w:snapToGrid/>
          <w:color w:val="333333"/>
          <w:sz w:val="32"/>
          <w:szCs w:val="32"/>
          <w:lang w:eastAsia="zh-CN"/>
        </w:rPr>
      </w:pPr>
      <w:r>
        <w:rPr>
          <w:rFonts w:hint="default" w:ascii="Times New Roman" w:hAnsi="Times New Roman" w:eastAsia="仿宋_GB2312" w:cs="Times New Roman"/>
          <w:b w:val="0"/>
          <w:i w:val="0"/>
          <w:snapToGrid/>
          <w:color w:val="333333"/>
          <w:sz w:val="32"/>
          <w:szCs w:val="32"/>
          <w:lang w:eastAsia="zh-CN"/>
        </w:rPr>
        <w:t>　</w:t>
      </w:r>
    </w:p>
    <w:tbl>
      <w:tblPr>
        <w:tblStyle w:val="9"/>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2175"/>
        <w:gridCol w:w="5910"/>
      </w:tblGrid>
      <w:tr w14:paraId="6E89D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trPr>
        <w:tc>
          <w:tcPr>
            <w:tcW w:w="1093" w:type="dxa"/>
            <w:tcBorders>
              <w:tl2br w:val="nil"/>
              <w:tr2bl w:val="nil"/>
            </w:tcBorders>
            <w:noWrap w:val="0"/>
            <w:vAlign w:val="center"/>
          </w:tcPr>
          <w:p w14:paraId="7F9ED46D">
            <w:pPr>
              <w:jc w:val="both"/>
              <w:rPr>
                <w:rFonts w:hint="default" w:ascii="Times New Roman" w:hAnsi="Times New Roman" w:cs="Times New Roman"/>
                <w:color w:val="auto"/>
                <w:lang w:eastAsia="en-US"/>
              </w:rPr>
            </w:pPr>
            <w:r>
              <w:rPr>
                <w:rFonts w:hint="default" w:ascii="Times New Roman" w:hAnsi="Times New Roman" w:cs="Times New Roman"/>
                <w:color w:val="auto"/>
                <w:lang w:eastAsia="en-US"/>
              </w:rPr>
              <w:t>评审因素</w:t>
            </w:r>
          </w:p>
        </w:tc>
        <w:tc>
          <w:tcPr>
            <w:tcW w:w="8085" w:type="dxa"/>
            <w:gridSpan w:val="2"/>
            <w:tcBorders>
              <w:tl2br w:val="nil"/>
              <w:tr2bl w:val="nil"/>
            </w:tcBorders>
            <w:noWrap w:val="0"/>
            <w:vAlign w:val="center"/>
          </w:tcPr>
          <w:p w14:paraId="3F130102">
            <w:pPr>
              <w:jc w:val="center"/>
              <w:rPr>
                <w:rFonts w:hint="default" w:ascii="Times New Roman" w:hAnsi="Times New Roman" w:cs="Times New Roman"/>
                <w:color w:val="auto"/>
                <w:lang w:eastAsia="en-US"/>
              </w:rPr>
            </w:pPr>
            <w:r>
              <w:rPr>
                <w:rFonts w:hint="default" w:ascii="Times New Roman" w:hAnsi="Times New Roman" w:cs="Times New Roman"/>
                <w:color w:val="auto"/>
                <w:lang w:eastAsia="en-US"/>
              </w:rPr>
              <w:t>评审标准</w:t>
            </w:r>
          </w:p>
        </w:tc>
      </w:tr>
      <w:tr w14:paraId="012E3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exact"/>
        </w:trPr>
        <w:tc>
          <w:tcPr>
            <w:tcW w:w="1093" w:type="dxa"/>
            <w:tcBorders>
              <w:tl2br w:val="nil"/>
              <w:tr2bl w:val="nil"/>
            </w:tcBorders>
            <w:noWrap w:val="0"/>
            <w:vAlign w:val="center"/>
          </w:tcPr>
          <w:p w14:paraId="654B4028">
            <w:pPr>
              <w:jc w:val="center"/>
              <w:rPr>
                <w:rFonts w:hint="default" w:ascii="Times New Roman" w:hAnsi="Times New Roman" w:cs="Times New Roman"/>
                <w:color w:val="auto"/>
                <w:lang w:eastAsia="en-US"/>
              </w:rPr>
            </w:pPr>
            <w:r>
              <w:rPr>
                <w:rFonts w:hint="default" w:ascii="Times New Roman" w:hAnsi="Times New Roman" w:cs="Times New Roman"/>
                <w:color w:val="auto"/>
                <w:lang w:eastAsia="en-US"/>
              </w:rPr>
              <w:t>分值构成</w:t>
            </w:r>
          </w:p>
        </w:tc>
        <w:tc>
          <w:tcPr>
            <w:tcW w:w="8085" w:type="dxa"/>
            <w:gridSpan w:val="2"/>
            <w:tcBorders>
              <w:tl2br w:val="nil"/>
              <w:tr2bl w:val="nil"/>
            </w:tcBorders>
            <w:noWrap w:val="0"/>
            <w:vAlign w:val="center"/>
          </w:tcPr>
          <w:p w14:paraId="57463CC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技术部分</w:t>
            </w:r>
            <w:r>
              <w:rPr>
                <w:rFonts w:hint="eastAsia" w:ascii="Times New Roman" w:hAnsi="Times New Roman" w:eastAsia="宋体" w:cs="Times New Roman"/>
                <w:color w:val="auto"/>
                <w:lang w:val="en-US" w:eastAsia="zh-CN"/>
              </w:rPr>
              <w:t>45</w:t>
            </w:r>
            <w:r>
              <w:rPr>
                <w:rFonts w:hint="default" w:ascii="Times New Roman" w:hAnsi="Times New Roman" w:eastAsia="宋体" w:cs="Times New Roman"/>
                <w:color w:val="auto"/>
                <w:lang w:val="en-US" w:eastAsia="zh-CN"/>
              </w:rPr>
              <w:t>分；</w:t>
            </w:r>
          </w:p>
          <w:p w14:paraId="026EB57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商务部分</w:t>
            </w:r>
            <w:r>
              <w:rPr>
                <w:rFonts w:hint="eastAsia" w:ascii="Times New Roman" w:hAnsi="Times New Roman" w:eastAsia="宋体" w:cs="Times New Roman"/>
                <w:color w:val="auto"/>
                <w:lang w:val="en-US" w:eastAsia="zh-CN"/>
              </w:rPr>
              <w:t>45</w:t>
            </w:r>
            <w:r>
              <w:rPr>
                <w:rFonts w:hint="default" w:ascii="Times New Roman" w:hAnsi="Times New Roman" w:eastAsia="宋体" w:cs="Times New Roman"/>
                <w:color w:val="auto"/>
                <w:lang w:val="en-US" w:eastAsia="zh-CN"/>
              </w:rPr>
              <w:t>分；</w:t>
            </w:r>
          </w:p>
          <w:p w14:paraId="049DD01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lang w:eastAsia="zh-CN"/>
              </w:rPr>
            </w:pPr>
            <w:r>
              <w:rPr>
                <w:rFonts w:hint="default" w:ascii="Times New Roman" w:hAnsi="Times New Roman" w:eastAsia="宋体" w:cs="Times New Roman"/>
                <w:color w:val="auto"/>
                <w:lang w:val="en-US" w:eastAsia="zh-CN"/>
              </w:rPr>
              <w:t>价格部分</w:t>
            </w:r>
            <w:r>
              <w:rPr>
                <w:rFonts w:hint="eastAsia" w:ascii="Times New Roman" w:hAnsi="Times New Roman" w:eastAsia="宋体" w:cs="Times New Roman"/>
                <w:color w:val="auto"/>
                <w:lang w:val="en-US" w:eastAsia="zh-CN"/>
              </w:rPr>
              <w:t>10</w:t>
            </w:r>
            <w:r>
              <w:rPr>
                <w:rFonts w:hint="default" w:ascii="Times New Roman" w:hAnsi="Times New Roman" w:eastAsia="宋体" w:cs="Times New Roman"/>
                <w:color w:val="auto"/>
                <w:lang w:val="en-US" w:eastAsia="zh-CN"/>
              </w:rPr>
              <w:t>分。</w:t>
            </w:r>
          </w:p>
        </w:tc>
      </w:tr>
      <w:tr w14:paraId="75FC4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exact"/>
        </w:trPr>
        <w:tc>
          <w:tcPr>
            <w:tcW w:w="1093" w:type="dxa"/>
            <w:vMerge w:val="restart"/>
            <w:tcBorders>
              <w:tl2br w:val="nil"/>
              <w:tr2bl w:val="nil"/>
            </w:tcBorders>
            <w:noWrap w:val="0"/>
            <w:vAlign w:val="center"/>
          </w:tcPr>
          <w:p w14:paraId="774912EA">
            <w:pPr>
              <w:jc w:val="center"/>
              <w:rPr>
                <w:rFonts w:hint="eastAsia" w:ascii="Times New Roman" w:hAnsi="Times New Roman" w:cs="Times New Roman" w:eastAsiaTheme="minorEastAsia"/>
                <w:color w:val="auto"/>
                <w:lang w:eastAsia="zh-CN"/>
              </w:rPr>
            </w:pPr>
            <w:r>
              <w:rPr>
                <w:rFonts w:hint="default" w:ascii="Times New Roman" w:hAnsi="Times New Roman" w:cs="Times New Roman"/>
                <w:color w:val="auto"/>
                <w:lang w:eastAsia="en-US"/>
              </w:rPr>
              <w:t>技术部分</w:t>
            </w:r>
            <w:r>
              <w:rPr>
                <w:rFonts w:hint="eastAsia" w:ascii="Times New Roman" w:hAnsi="Times New Roman" w:cs="Times New Roman"/>
                <w:color w:val="auto"/>
                <w:lang w:eastAsia="zh-CN"/>
              </w:rPr>
              <w:t>（</w:t>
            </w:r>
            <w:r>
              <w:rPr>
                <w:rFonts w:hint="eastAsia" w:ascii="Times New Roman" w:hAnsi="Times New Roman" w:eastAsia="宋体" w:cs="Times New Roman"/>
                <w:color w:val="auto"/>
                <w:lang w:val="en-US" w:eastAsia="zh-CN"/>
              </w:rPr>
              <w:t>45</w:t>
            </w:r>
            <w:r>
              <w:rPr>
                <w:rFonts w:hint="default" w:ascii="Times New Roman" w:hAnsi="Times New Roman" w:eastAsia="宋体" w:cs="Times New Roman"/>
                <w:color w:val="auto"/>
                <w:lang w:val="en-US" w:eastAsia="zh-CN"/>
              </w:rPr>
              <w:t>分</w:t>
            </w:r>
            <w:r>
              <w:rPr>
                <w:rFonts w:hint="eastAsia" w:ascii="Times New Roman" w:hAnsi="Times New Roman" w:eastAsia="宋体" w:cs="Times New Roman"/>
                <w:color w:val="auto"/>
                <w:lang w:val="en-US" w:eastAsia="zh-CN"/>
              </w:rPr>
              <w:t>）</w:t>
            </w:r>
          </w:p>
        </w:tc>
        <w:tc>
          <w:tcPr>
            <w:tcW w:w="2175" w:type="dxa"/>
            <w:tcBorders>
              <w:tl2br w:val="nil"/>
              <w:tr2bl w:val="nil"/>
            </w:tcBorders>
            <w:noWrap w:val="0"/>
            <w:vAlign w:val="center"/>
          </w:tcPr>
          <w:p w14:paraId="56F920E1">
            <w:pPr>
              <w:jc w:val="center"/>
              <w:rPr>
                <w:rFonts w:hint="default" w:ascii="Times New Roman" w:hAnsi="Times New Roman" w:cs="Times New Roman"/>
                <w:color w:val="auto"/>
                <w:lang w:eastAsia="en-US"/>
              </w:rPr>
            </w:pPr>
            <w:r>
              <w:rPr>
                <w:rFonts w:hint="default" w:ascii="Times New Roman" w:hAnsi="Times New Roman" w:cs="Times New Roman"/>
                <w:color w:val="auto"/>
                <w:lang w:eastAsia="zh-CN"/>
              </w:rPr>
              <w:t>技术</w:t>
            </w:r>
            <w:r>
              <w:rPr>
                <w:rFonts w:hint="default" w:ascii="Times New Roman" w:hAnsi="Times New Roman" w:cs="Times New Roman"/>
                <w:color w:val="auto"/>
                <w:lang w:eastAsia="en-US"/>
              </w:rPr>
              <w:t>人员 (</w:t>
            </w:r>
            <w:r>
              <w:rPr>
                <w:rFonts w:hint="eastAsia" w:ascii="Times New Roman" w:hAnsi="Times New Roman" w:cs="Times New Roman"/>
                <w:color w:val="auto"/>
                <w:lang w:val="en-US" w:eastAsia="zh-CN"/>
              </w:rPr>
              <w:t>10.0</w:t>
            </w:r>
            <w:r>
              <w:rPr>
                <w:rFonts w:hint="default" w:ascii="Times New Roman" w:hAnsi="Times New Roman" w:cs="Times New Roman"/>
                <w:color w:val="auto"/>
                <w:lang w:eastAsia="en-US"/>
              </w:rPr>
              <w:t>分)</w:t>
            </w:r>
          </w:p>
        </w:tc>
        <w:tc>
          <w:tcPr>
            <w:tcW w:w="5910" w:type="dxa"/>
            <w:tcBorders>
              <w:tl2br w:val="nil"/>
              <w:tr2bl w:val="nil"/>
            </w:tcBorders>
            <w:noWrap w:val="0"/>
            <w:vAlign w:val="center"/>
          </w:tcPr>
          <w:p w14:paraId="7F4ACA7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项目抽查团队有5人</w:t>
            </w:r>
            <w:r>
              <w:rPr>
                <w:rFonts w:hint="eastAsia" w:ascii="Times New Roman" w:hAnsi="Times New Roman" w:eastAsia="宋体" w:cs="Times New Roman"/>
                <w:color w:val="auto"/>
                <w:lang w:val="en-US" w:eastAsia="zh-CN"/>
              </w:rPr>
              <w:t>及</w:t>
            </w:r>
            <w:r>
              <w:rPr>
                <w:rFonts w:hint="default" w:ascii="Times New Roman" w:hAnsi="Times New Roman" w:eastAsia="宋体" w:cs="Times New Roman"/>
                <w:color w:val="auto"/>
                <w:lang w:val="en-US" w:eastAsia="zh-CN"/>
              </w:rPr>
              <w:t>以上，得</w:t>
            </w:r>
            <w:r>
              <w:rPr>
                <w:rFonts w:hint="eastAsia" w:ascii="Times New Roman" w:hAnsi="Times New Roman" w:eastAsia="宋体" w:cs="Times New Roman"/>
                <w:color w:val="auto"/>
                <w:lang w:val="en-US" w:eastAsia="zh-CN"/>
              </w:rPr>
              <w:t>10</w:t>
            </w:r>
            <w:r>
              <w:rPr>
                <w:rFonts w:hint="default" w:ascii="Times New Roman" w:hAnsi="Times New Roman" w:eastAsia="宋体" w:cs="Times New Roman"/>
                <w:color w:val="auto"/>
                <w:lang w:val="en-US" w:eastAsia="zh-CN"/>
              </w:rPr>
              <w:t>分；</w:t>
            </w:r>
          </w:p>
          <w:p w14:paraId="7CB3F91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项目抽查团队有3</w:t>
            </w: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lang w:val="en-US" w:eastAsia="zh-CN"/>
              </w:rPr>
              <w:t>人，得</w:t>
            </w: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lang w:val="en-US" w:eastAsia="zh-CN"/>
              </w:rPr>
              <w:t>分；</w:t>
            </w:r>
          </w:p>
          <w:p w14:paraId="65692FD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lang w:eastAsia="zh-CN"/>
              </w:rPr>
            </w:pP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项目抽查团队有不足</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人，</w:t>
            </w:r>
            <w:r>
              <w:rPr>
                <w:rFonts w:hint="eastAsia" w:ascii="Times New Roman" w:hAnsi="Times New Roman" w:eastAsia="宋体" w:cs="Times New Roman"/>
                <w:color w:val="auto"/>
                <w:lang w:val="en-US" w:eastAsia="zh-CN"/>
              </w:rPr>
              <w:t>不得分</w:t>
            </w:r>
            <w:r>
              <w:rPr>
                <w:rFonts w:hint="default" w:ascii="Times New Roman" w:hAnsi="Times New Roman" w:eastAsia="宋体" w:cs="Times New Roman"/>
                <w:color w:val="auto"/>
                <w:lang w:val="en-US" w:eastAsia="zh-CN"/>
              </w:rPr>
              <w:t>。</w:t>
            </w:r>
          </w:p>
        </w:tc>
      </w:tr>
      <w:tr w14:paraId="6BEE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7" w:hRule="exact"/>
        </w:trPr>
        <w:tc>
          <w:tcPr>
            <w:tcW w:w="1093" w:type="dxa"/>
            <w:vMerge w:val="continue"/>
            <w:tcBorders>
              <w:tl2br w:val="nil"/>
              <w:tr2bl w:val="nil"/>
            </w:tcBorders>
            <w:noWrap w:val="0"/>
            <w:vAlign w:val="center"/>
          </w:tcPr>
          <w:p w14:paraId="58E58C6A">
            <w:pPr>
              <w:jc w:val="center"/>
              <w:rPr>
                <w:rFonts w:hint="default" w:ascii="Times New Roman" w:hAnsi="Times New Roman" w:cs="Times New Roman"/>
                <w:color w:val="auto"/>
                <w:lang w:eastAsia="zh-CN"/>
              </w:rPr>
            </w:pPr>
          </w:p>
        </w:tc>
        <w:tc>
          <w:tcPr>
            <w:tcW w:w="2175" w:type="dxa"/>
            <w:tcBorders>
              <w:tl2br w:val="nil"/>
              <w:tr2bl w:val="nil"/>
            </w:tcBorders>
            <w:noWrap w:val="0"/>
            <w:vAlign w:val="center"/>
          </w:tcPr>
          <w:p w14:paraId="5631FA4D">
            <w:pPr>
              <w:numPr>
                <w:ilvl w:val="0"/>
                <w:numId w:val="0"/>
              </w:num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技术人员资质</w:t>
            </w:r>
          </w:p>
          <w:p w14:paraId="5468BDF8">
            <w:pPr>
              <w:jc w:val="center"/>
              <w:rPr>
                <w:color w:val="auto"/>
              </w:rPr>
            </w:pPr>
            <w:r>
              <w:rPr>
                <w:rFonts w:hint="eastAsia" w:ascii="Times New Roman" w:hAnsi="Times New Roman" w:eastAsia="宋体" w:cs="Times New Roman"/>
                <w:color w:val="auto"/>
                <w:lang w:val="en-US" w:eastAsia="zh-CN"/>
              </w:rPr>
              <w:t>（15.0分）</w:t>
            </w:r>
          </w:p>
          <w:p w14:paraId="365CE921">
            <w:pPr>
              <w:jc w:val="center"/>
              <w:rPr>
                <w:rFonts w:hint="default" w:ascii="Times New Roman" w:hAnsi="Times New Roman" w:cs="Times New Roman"/>
                <w:color w:val="auto"/>
                <w:lang w:eastAsia="zh-CN"/>
              </w:rPr>
            </w:pPr>
          </w:p>
        </w:tc>
        <w:tc>
          <w:tcPr>
            <w:tcW w:w="5910" w:type="dxa"/>
            <w:tcBorders>
              <w:tl2br w:val="nil"/>
              <w:tr2bl w:val="nil"/>
            </w:tcBorders>
            <w:noWrap w:val="0"/>
            <w:vAlign w:val="center"/>
          </w:tcPr>
          <w:p w14:paraId="28EB200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1.具有与抽查产品类别中任一类产品相关专业的副高级或以上职称的，每人得3分，最高得9分；</w:t>
            </w:r>
          </w:p>
          <w:p w14:paraId="744F23B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2.具有与抽查产品类别中任一类产品相关的专业中级职称，每人得1分，最高得6分。 </w:t>
            </w:r>
          </w:p>
          <w:p w14:paraId="1F678E6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color w:val="auto"/>
                <w:lang w:val="en-US" w:eastAsia="zh-CN"/>
              </w:rPr>
            </w:pPr>
            <w:r>
              <w:rPr>
                <w:rFonts w:hint="eastAsia" w:ascii="Times New Roman" w:hAnsi="Times New Roman" w:eastAsia="宋体" w:cs="Times New Roman"/>
                <w:color w:val="auto"/>
                <w:lang w:val="en-US" w:eastAsia="zh-CN"/>
              </w:rPr>
              <w:t>（本项累计最高得15分。 注：提供职称证书扫描件及上述人员2024年1月1日至投标截止日期间任意一个月在投标单位购买社会保险证明材料扫描件并加盖公章，同一人员同时具有多个职称证书的以最高级别得分，不累计得分。)</w:t>
            </w:r>
          </w:p>
        </w:tc>
      </w:tr>
      <w:tr w14:paraId="6939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4" w:hRule="exact"/>
        </w:trPr>
        <w:tc>
          <w:tcPr>
            <w:tcW w:w="1093" w:type="dxa"/>
            <w:vMerge w:val="continue"/>
            <w:tcBorders>
              <w:tl2br w:val="nil"/>
              <w:tr2bl w:val="nil"/>
            </w:tcBorders>
            <w:noWrap w:val="0"/>
            <w:vAlign w:val="center"/>
          </w:tcPr>
          <w:p w14:paraId="0BC82A28">
            <w:pPr>
              <w:jc w:val="center"/>
              <w:rPr>
                <w:rFonts w:hint="default" w:ascii="Times New Roman" w:hAnsi="Times New Roman" w:cs="Times New Roman"/>
                <w:color w:val="auto"/>
                <w:lang w:eastAsia="zh-CN"/>
              </w:rPr>
            </w:pPr>
          </w:p>
        </w:tc>
        <w:tc>
          <w:tcPr>
            <w:tcW w:w="2175" w:type="dxa"/>
            <w:tcBorders>
              <w:tl2br w:val="nil"/>
              <w:tr2bl w:val="nil"/>
            </w:tcBorders>
            <w:noWrap w:val="0"/>
            <w:vAlign w:val="center"/>
          </w:tcPr>
          <w:p w14:paraId="6F3C082D">
            <w:pPr>
              <w:jc w:val="center"/>
              <w:rPr>
                <w:rFonts w:hint="default" w:ascii="Times New Roman" w:hAnsi="Times New Roman" w:cs="Times New Roman"/>
                <w:color w:val="auto"/>
                <w:lang w:eastAsia="en-US"/>
              </w:rPr>
            </w:pPr>
            <w:r>
              <w:rPr>
                <w:rFonts w:hint="default" w:ascii="Times New Roman" w:hAnsi="Times New Roman" w:cs="Times New Roman"/>
                <w:color w:val="auto"/>
                <w:lang w:eastAsia="en-US"/>
              </w:rPr>
              <w:t>项目服务方案</w:t>
            </w:r>
          </w:p>
          <w:p w14:paraId="7CCFC742">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en-US"/>
              </w:rPr>
              <w:t>（</w:t>
            </w:r>
            <w:r>
              <w:rPr>
                <w:rFonts w:hint="eastAsia" w:ascii="Times New Roman" w:hAnsi="Times New Roman" w:cs="Times New Roman"/>
                <w:color w:val="auto"/>
                <w:lang w:val="en-US" w:eastAsia="zh-CN"/>
              </w:rPr>
              <w:t>20.0</w:t>
            </w:r>
            <w:r>
              <w:rPr>
                <w:rFonts w:hint="default" w:ascii="Times New Roman" w:hAnsi="Times New Roman" w:cs="Times New Roman"/>
                <w:color w:val="auto"/>
                <w:lang w:eastAsia="en-US"/>
              </w:rPr>
              <w:t>分)</w:t>
            </w:r>
          </w:p>
        </w:tc>
        <w:tc>
          <w:tcPr>
            <w:tcW w:w="5910" w:type="dxa"/>
            <w:tcBorders>
              <w:tl2br w:val="nil"/>
              <w:tr2bl w:val="nil"/>
            </w:tcBorders>
            <w:noWrap w:val="0"/>
            <w:vAlign w:val="center"/>
          </w:tcPr>
          <w:p w14:paraId="50858196">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color w:val="auto"/>
                <w:highlight w:val="none"/>
              </w:rPr>
              <w:t>对供应商提供的项目组织实施方案进行评审，方案内容包括但不限于项目组织架构、项目实施人力投入、进度计划、具体操作方案、服务保障措施等情况：</w:t>
            </w:r>
          </w:p>
          <w:p w14:paraId="29FCAE3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lang w:val="en-US" w:eastAsia="zh-CN"/>
              </w:rPr>
              <w:t>1.</w:t>
            </w:r>
            <w:r>
              <w:rPr>
                <w:color w:val="auto"/>
                <w:highlight w:val="none"/>
              </w:rPr>
              <w:t>实施方案、操作方案</w:t>
            </w:r>
            <w:r>
              <w:rPr>
                <w:rFonts w:hint="eastAsia"/>
                <w:color w:val="auto"/>
                <w:highlight w:val="none"/>
                <w:lang w:val="en-US" w:eastAsia="zh-CN"/>
              </w:rPr>
              <w:t>内容详细全面</w:t>
            </w:r>
            <w:r>
              <w:rPr>
                <w:color w:val="auto"/>
                <w:highlight w:val="none"/>
              </w:rPr>
              <w:t>、人力投入</w:t>
            </w:r>
            <w:r>
              <w:rPr>
                <w:rFonts w:hint="eastAsia"/>
                <w:color w:val="auto"/>
                <w:highlight w:val="none"/>
                <w:lang w:val="en-US" w:eastAsia="zh-CN"/>
              </w:rPr>
              <w:t>充</w:t>
            </w:r>
            <w:r>
              <w:rPr>
                <w:color w:val="auto"/>
                <w:highlight w:val="none"/>
              </w:rPr>
              <w:t>足，成员搭配合理，进度计划、服务保障措施</w:t>
            </w:r>
            <w:r>
              <w:rPr>
                <w:rFonts w:hint="eastAsia"/>
                <w:color w:val="auto"/>
                <w:highlight w:val="none"/>
                <w:lang w:val="en-US" w:eastAsia="zh-CN"/>
              </w:rPr>
              <w:t>贴合项目实际情况、可操作性强的</w:t>
            </w:r>
            <w:r>
              <w:rPr>
                <w:color w:val="auto"/>
                <w:highlight w:val="none"/>
              </w:rPr>
              <w:t>，得</w:t>
            </w:r>
            <w:r>
              <w:rPr>
                <w:rFonts w:hint="eastAsia"/>
                <w:color w:val="auto"/>
                <w:highlight w:val="none"/>
                <w:lang w:val="en-US" w:eastAsia="zh-CN"/>
              </w:rPr>
              <w:t>20</w:t>
            </w:r>
            <w:r>
              <w:rPr>
                <w:color w:val="auto"/>
                <w:highlight w:val="none"/>
              </w:rPr>
              <w:t>分；</w:t>
            </w:r>
          </w:p>
          <w:p w14:paraId="5FC6578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lang w:val="en-US" w:eastAsia="zh-CN"/>
              </w:rPr>
              <w:t>2.</w:t>
            </w:r>
            <w:r>
              <w:rPr>
                <w:color w:val="auto"/>
                <w:highlight w:val="none"/>
              </w:rPr>
              <w:t>实施方案、操作方案</w:t>
            </w:r>
            <w:r>
              <w:rPr>
                <w:rFonts w:hint="eastAsia"/>
                <w:color w:val="auto"/>
                <w:highlight w:val="none"/>
                <w:lang w:val="en-US" w:eastAsia="zh-CN"/>
              </w:rPr>
              <w:t>内容比较详细、</w:t>
            </w:r>
            <w:r>
              <w:rPr>
                <w:color w:val="auto"/>
                <w:highlight w:val="none"/>
              </w:rPr>
              <w:t>全面</w:t>
            </w:r>
            <w:r>
              <w:rPr>
                <w:rFonts w:hint="eastAsia"/>
                <w:color w:val="auto"/>
                <w:highlight w:val="none"/>
                <w:lang w:eastAsia="zh-CN"/>
              </w:rPr>
              <w:t>，</w:t>
            </w:r>
            <w:r>
              <w:rPr>
                <w:color w:val="auto"/>
                <w:highlight w:val="none"/>
              </w:rPr>
              <w:t>人力投入较</w:t>
            </w:r>
            <w:r>
              <w:rPr>
                <w:rFonts w:hint="eastAsia"/>
                <w:color w:val="auto"/>
                <w:highlight w:val="none"/>
                <w:lang w:val="en-US" w:eastAsia="zh-CN"/>
              </w:rPr>
              <w:t>充</w:t>
            </w:r>
            <w:r>
              <w:rPr>
                <w:color w:val="auto"/>
                <w:highlight w:val="none"/>
              </w:rPr>
              <w:t>足，成员搭配比较合理，进度计划、服务保障措施</w:t>
            </w:r>
            <w:r>
              <w:rPr>
                <w:rFonts w:hint="eastAsia"/>
                <w:color w:val="auto"/>
                <w:highlight w:val="none"/>
                <w:lang w:val="en-US" w:eastAsia="zh-CN"/>
              </w:rPr>
              <w:t>比较贴合项目实际情况</w:t>
            </w:r>
            <w:r>
              <w:rPr>
                <w:rFonts w:hint="eastAsia"/>
                <w:color w:val="auto"/>
                <w:highlight w:val="none"/>
                <w:lang w:eastAsia="zh-CN"/>
              </w:rPr>
              <w:t>、</w:t>
            </w:r>
            <w:r>
              <w:rPr>
                <w:rFonts w:hint="eastAsia"/>
                <w:color w:val="auto"/>
                <w:highlight w:val="none"/>
                <w:lang w:val="en-US" w:eastAsia="zh-CN"/>
              </w:rPr>
              <w:t>可操作性较强的</w:t>
            </w:r>
            <w:r>
              <w:rPr>
                <w:color w:val="auto"/>
                <w:highlight w:val="none"/>
              </w:rPr>
              <w:t>，得</w:t>
            </w:r>
            <w:r>
              <w:rPr>
                <w:rFonts w:hint="eastAsia"/>
                <w:color w:val="auto"/>
                <w:highlight w:val="none"/>
                <w:lang w:val="en-US" w:eastAsia="zh-CN"/>
              </w:rPr>
              <w:t>15</w:t>
            </w:r>
            <w:r>
              <w:rPr>
                <w:color w:val="auto"/>
                <w:highlight w:val="none"/>
              </w:rPr>
              <w:t>分；</w:t>
            </w:r>
          </w:p>
          <w:p w14:paraId="02A4ACA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lang w:val="en-US" w:eastAsia="zh-CN"/>
              </w:rPr>
              <w:t>3.</w:t>
            </w:r>
            <w:r>
              <w:rPr>
                <w:color w:val="auto"/>
                <w:highlight w:val="none"/>
              </w:rPr>
              <w:t>实施方案、操作方案</w:t>
            </w:r>
            <w:r>
              <w:rPr>
                <w:rFonts w:hint="eastAsia"/>
                <w:color w:val="auto"/>
                <w:highlight w:val="none"/>
                <w:lang w:val="en-US" w:eastAsia="zh-CN"/>
              </w:rPr>
              <w:t>内容较详细</w:t>
            </w:r>
            <w:r>
              <w:rPr>
                <w:color w:val="auto"/>
                <w:highlight w:val="none"/>
              </w:rPr>
              <w:t>不够全面、人力投入</w:t>
            </w:r>
            <w:r>
              <w:rPr>
                <w:rFonts w:hint="eastAsia"/>
                <w:color w:val="auto"/>
                <w:highlight w:val="none"/>
                <w:lang w:val="en-US" w:eastAsia="zh-CN"/>
              </w:rPr>
              <w:t>基本满足项目需求</w:t>
            </w:r>
            <w:r>
              <w:rPr>
                <w:color w:val="auto"/>
                <w:highlight w:val="none"/>
              </w:rPr>
              <w:t>，成员搭配不够合理，进度计划</w:t>
            </w:r>
            <w:r>
              <w:rPr>
                <w:rFonts w:hint="eastAsia"/>
                <w:color w:val="auto"/>
                <w:highlight w:val="none"/>
                <w:lang w:eastAsia="zh-CN"/>
              </w:rPr>
              <w:t>、</w:t>
            </w:r>
            <w:r>
              <w:rPr>
                <w:color w:val="auto"/>
                <w:highlight w:val="none"/>
              </w:rPr>
              <w:t>服务保障措施</w:t>
            </w:r>
            <w:r>
              <w:rPr>
                <w:rFonts w:hint="eastAsia"/>
                <w:color w:val="auto"/>
                <w:highlight w:val="none"/>
                <w:lang w:val="en-US" w:eastAsia="zh-CN"/>
              </w:rPr>
              <w:t>基本贴合项目实际情况</w:t>
            </w:r>
            <w:r>
              <w:rPr>
                <w:rFonts w:hint="eastAsia"/>
                <w:color w:val="auto"/>
                <w:highlight w:val="none"/>
                <w:lang w:eastAsia="zh-CN"/>
              </w:rPr>
              <w:t>、</w:t>
            </w:r>
            <w:r>
              <w:rPr>
                <w:rFonts w:hint="eastAsia"/>
                <w:color w:val="auto"/>
                <w:highlight w:val="none"/>
                <w:lang w:val="en-US" w:eastAsia="zh-CN"/>
              </w:rPr>
              <w:t>具有一定可操作性的</w:t>
            </w:r>
            <w:r>
              <w:rPr>
                <w:color w:val="auto"/>
                <w:highlight w:val="none"/>
              </w:rPr>
              <w:t>，</w:t>
            </w:r>
            <w:r>
              <w:rPr>
                <w:rFonts w:hint="eastAsia"/>
                <w:color w:val="auto"/>
                <w:highlight w:val="none"/>
                <w:lang w:val="en-US" w:eastAsia="zh-CN"/>
              </w:rPr>
              <w:t>得10</w:t>
            </w:r>
            <w:r>
              <w:rPr>
                <w:color w:val="auto"/>
                <w:highlight w:val="none"/>
              </w:rPr>
              <w:t>分；</w:t>
            </w:r>
          </w:p>
          <w:p w14:paraId="3F43E17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lang w:val="en-US" w:eastAsia="zh-CN"/>
              </w:rPr>
              <w:t>4.</w:t>
            </w:r>
            <w:r>
              <w:rPr>
                <w:color w:val="auto"/>
                <w:highlight w:val="none"/>
              </w:rPr>
              <w:t>实施方案、操作方案</w:t>
            </w:r>
            <w:r>
              <w:rPr>
                <w:rFonts w:hint="eastAsia"/>
                <w:color w:val="auto"/>
                <w:highlight w:val="none"/>
                <w:lang w:val="en-US" w:eastAsia="zh-CN"/>
              </w:rPr>
              <w:t>内容</w:t>
            </w:r>
            <w:r>
              <w:rPr>
                <w:color w:val="auto"/>
                <w:highlight w:val="none"/>
              </w:rPr>
              <w:t>简单、人力投入</w:t>
            </w:r>
            <w:r>
              <w:rPr>
                <w:rFonts w:hint="eastAsia"/>
                <w:color w:val="auto"/>
                <w:highlight w:val="none"/>
                <w:lang w:val="en-US" w:eastAsia="zh-CN"/>
              </w:rPr>
              <w:t>较少</w:t>
            </w:r>
            <w:r>
              <w:rPr>
                <w:color w:val="auto"/>
                <w:highlight w:val="none"/>
              </w:rPr>
              <w:t>，成员搭配不合理，进度计划</w:t>
            </w:r>
            <w:r>
              <w:rPr>
                <w:rFonts w:hint="eastAsia"/>
                <w:color w:val="auto"/>
                <w:highlight w:val="none"/>
                <w:lang w:eastAsia="zh-CN"/>
              </w:rPr>
              <w:t>、</w:t>
            </w:r>
            <w:r>
              <w:rPr>
                <w:color w:val="auto"/>
                <w:highlight w:val="none"/>
              </w:rPr>
              <w:t>服务保障措施</w:t>
            </w:r>
            <w:r>
              <w:rPr>
                <w:rFonts w:hint="eastAsia"/>
                <w:color w:val="auto"/>
                <w:highlight w:val="none"/>
                <w:lang w:val="en-US" w:eastAsia="zh-CN"/>
              </w:rPr>
              <w:t>未贴合项目实际情况</w:t>
            </w:r>
            <w:r>
              <w:rPr>
                <w:rFonts w:hint="eastAsia"/>
                <w:color w:val="auto"/>
                <w:highlight w:val="none"/>
                <w:lang w:eastAsia="zh-CN"/>
              </w:rPr>
              <w:t>、</w:t>
            </w:r>
            <w:r>
              <w:rPr>
                <w:rFonts w:hint="eastAsia"/>
                <w:color w:val="auto"/>
                <w:highlight w:val="none"/>
                <w:lang w:val="en-US" w:eastAsia="zh-CN"/>
              </w:rPr>
              <w:t>可操作性欠缺的</w:t>
            </w:r>
            <w:r>
              <w:rPr>
                <w:color w:val="auto"/>
                <w:highlight w:val="none"/>
              </w:rPr>
              <w:t>，得</w:t>
            </w:r>
            <w:r>
              <w:rPr>
                <w:rFonts w:hint="eastAsia"/>
                <w:color w:val="auto"/>
                <w:highlight w:val="none"/>
                <w:lang w:val="en-US" w:eastAsia="zh-CN"/>
              </w:rPr>
              <w:t>5</w:t>
            </w:r>
            <w:r>
              <w:rPr>
                <w:color w:val="auto"/>
                <w:highlight w:val="none"/>
              </w:rPr>
              <w:t>分。</w:t>
            </w:r>
          </w:p>
          <w:p w14:paraId="080B551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lang w:val="en-US" w:eastAsia="zh-CN"/>
              </w:rPr>
            </w:pPr>
            <w:r>
              <w:rPr>
                <w:rFonts w:hint="eastAsia"/>
                <w:color w:val="auto"/>
                <w:highlight w:val="none"/>
                <w:lang w:val="en-US" w:eastAsia="zh-CN"/>
              </w:rPr>
              <w:t>5.</w:t>
            </w:r>
            <w:r>
              <w:rPr>
                <w:color w:val="auto"/>
                <w:highlight w:val="none"/>
              </w:rPr>
              <w:t>未提供不得分。</w:t>
            </w:r>
          </w:p>
        </w:tc>
      </w:tr>
      <w:tr w14:paraId="62BA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exact"/>
        </w:trPr>
        <w:tc>
          <w:tcPr>
            <w:tcW w:w="1093" w:type="dxa"/>
            <w:vMerge w:val="restart"/>
            <w:tcBorders>
              <w:tl2br w:val="nil"/>
              <w:tr2bl w:val="nil"/>
            </w:tcBorders>
            <w:noWrap w:val="0"/>
            <w:vAlign w:val="center"/>
          </w:tcPr>
          <w:p w14:paraId="3C9FA4B0">
            <w:pPr>
              <w:jc w:val="center"/>
              <w:rPr>
                <w:rFonts w:hint="default"/>
                <w:color w:val="auto"/>
                <w:lang w:val="en-US" w:eastAsia="zh-CN"/>
              </w:rPr>
            </w:pPr>
            <w:r>
              <w:rPr>
                <w:rFonts w:hint="default" w:ascii="Times New Roman" w:hAnsi="Times New Roman" w:cs="Times New Roman"/>
                <w:color w:val="auto"/>
                <w:lang w:eastAsia="zh-CN"/>
              </w:rPr>
              <w:t>商务部分</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45分）</w:t>
            </w:r>
          </w:p>
        </w:tc>
        <w:tc>
          <w:tcPr>
            <w:tcW w:w="2175" w:type="dxa"/>
            <w:tcBorders>
              <w:tl2br w:val="nil"/>
              <w:tr2bl w:val="nil"/>
            </w:tcBorders>
            <w:noWrap w:val="0"/>
            <w:vAlign w:val="center"/>
          </w:tcPr>
          <w:p w14:paraId="3F61FAE3">
            <w:pPr>
              <w:numPr>
                <w:ilvl w:val="0"/>
                <w:numId w:val="0"/>
              </w:numPr>
              <w:jc w:val="center"/>
              <w:rPr>
                <w:rFonts w:hint="default" w:ascii="Times New Roman" w:hAnsi="Times New Roman" w:eastAsia="宋体" w:cs="Times New Roman"/>
                <w:color w:val="auto"/>
                <w:lang w:eastAsia="en-US"/>
              </w:rPr>
            </w:pPr>
            <w:r>
              <w:rPr>
                <w:rFonts w:hint="default" w:ascii="Times New Roman" w:hAnsi="Times New Roman" w:eastAsia="宋体" w:cs="Times New Roman"/>
                <w:color w:val="auto"/>
                <w:lang w:eastAsia="en-US"/>
              </w:rPr>
              <w:t>同类项目经验</w:t>
            </w:r>
          </w:p>
          <w:p w14:paraId="55DBBBEB">
            <w:pPr>
              <w:numPr>
                <w:ilvl w:val="0"/>
                <w:numId w:val="0"/>
              </w:numPr>
              <w:ind w:left="0" w:leftChars="0" w:firstLine="0" w:firstLineChars="0"/>
              <w:jc w:val="center"/>
              <w:rPr>
                <w:rFonts w:hint="default" w:ascii="Times New Roman" w:hAnsi="Times New Roman" w:eastAsia="宋体" w:cs="Times New Roman"/>
                <w:color w:val="auto"/>
                <w:kern w:val="2"/>
                <w:sz w:val="21"/>
                <w:lang w:val="en-US" w:eastAsia="zh-CN"/>
              </w:rPr>
            </w:pPr>
            <w:r>
              <w:rPr>
                <w:rFonts w:hint="default" w:ascii="Times New Roman" w:hAnsi="Times New Roman" w:eastAsia="宋体" w:cs="Times New Roman"/>
                <w:color w:val="auto"/>
                <w:lang w:eastAsia="en-US"/>
              </w:rPr>
              <w:t>（</w:t>
            </w:r>
            <w:r>
              <w:rPr>
                <w:rFonts w:hint="eastAsia" w:ascii="Times New Roman" w:hAnsi="Times New Roman" w:eastAsia="宋体" w:cs="Times New Roman"/>
                <w:color w:val="auto"/>
                <w:lang w:val="en-US" w:eastAsia="zh-CN"/>
              </w:rPr>
              <w:t>20.0</w:t>
            </w:r>
            <w:r>
              <w:rPr>
                <w:rFonts w:hint="default" w:ascii="Times New Roman" w:hAnsi="Times New Roman" w:eastAsia="宋体" w:cs="Times New Roman"/>
                <w:color w:val="auto"/>
                <w:lang w:eastAsia="en-US"/>
              </w:rPr>
              <w:t>分）</w:t>
            </w:r>
          </w:p>
        </w:tc>
        <w:tc>
          <w:tcPr>
            <w:tcW w:w="5910" w:type="dxa"/>
            <w:tcBorders>
              <w:tl2br w:val="nil"/>
              <w:tr2bl w:val="nil"/>
            </w:tcBorders>
            <w:noWrap w:val="0"/>
            <w:vAlign w:val="center"/>
          </w:tcPr>
          <w:p w14:paraId="6D21927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color w:val="auto"/>
                <w:lang w:val="en-US" w:eastAsia="zh-CN"/>
              </w:rPr>
            </w:pPr>
            <w:r>
              <w:rPr>
                <w:rFonts w:hint="default"/>
                <w:color w:val="auto"/>
                <w:lang w:eastAsia="zh-CN"/>
              </w:rPr>
              <w:t>具有参</w:t>
            </w:r>
            <w:r>
              <w:rPr>
                <w:rFonts w:hint="default"/>
                <w:color w:val="auto"/>
                <w:highlight w:val="none"/>
                <w:lang w:eastAsia="zh-CN"/>
              </w:rPr>
              <w:t>与政府抽查项目经验</w:t>
            </w:r>
            <w:r>
              <w:rPr>
                <w:rFonts w:hint="default"/>
                <w:color w:val="auto"/>
                <w:lang w:eastAsia="zh-CN"/>
              </w:rPr>
              <w:t>，每提供1次项目证明经验得5分，最高得</w:t>
            </w:r>
            <w:r>
              <w:rPr>
                <w:rFonts w:hint="eastAsia"/>
                <w:color w:val="auto"/>
                <w:lang w:val="en-US" w:eastAsia="zh-CN"/>
              </w:rPr>
              <w:t>20</w:t>
            </w:r>
            <w:r>
              <w:rPr>
                <w:rFonts w:hint="default"/>
                <w:color w:val="auto"/>
                <w:lang w:eastAsia="zh-CN"/>
              </w:rPr>
              <w:t>分</w:t>
            </w:r>
            <w:r>
              <w:rPr>
                <w:color w:val="auto"/>
                <w:highlight w:val="none"/>
              </w:rPr>
              <w:t>【</w:t>
            </w:r>
            <w:r>
              <w:rPr>
                <w:rFonts w:hint="default"/>
                <w:color w:val="auto"/>
                <w:lang w:val="en-US" w:eastAsia="zh-CN"/>
              </w:rPr>
              <w:t>：</w:t>
            </w:r>
            <w:r>
              <w:rPr>
                <w:rFonts w:hint="default"/>
                <w:color w:val="auto"/>
                <w:lang w:eastAsia="zh-CN"/>
              </w:rPr>
              <w:t>需提供2022年1月1日至投标截止日前（以合同签订时间为准）组织或参与的通知或者合同，否则不得分</w:t>
            </w:r>
            <w:r>
              <w:rPr>
                <w:color w:val="auto"/>
                <w:highlight w:val="none"/>
              </w:rPr>
              <w:t>】</w:t>
            </w:r>
            <w:r>
              <w:rPr>
                <w:rFonts w:hint="default"/>
                <w:color w:val="auto"/>
                <w:lang w:eastAsia="zh-CN"/>
              </w:rPr>
              <w:t>。</w:t>
            </w:r>
          </w:p>
        </w:tc>
      </w:tr>
      <w:tr w14:paraId="3132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1093" w:type="dxa"/>
            <w:vMerge w:val="continue"/>
            <w:tcBorders>
              <w:tl2br w:val="nil"/>
              <w:tr2bl w:val="nil"/>
            </w:tcBorders>
            <w:noWrap w:val="0"/>
            <w:vAlign w:val="center"/>
          </w:tcPr>
          <w:p w14:paraId="793D76F6">
            <w:pPr>
              <w:jc w:val="both"/>
              <w:rPr>
                <w:rFonts w:hint="default" w:ascii="Times New Roman" w:hAnsi="Times New Roman" w:cs="Times New Roman"/>
                <w:color w:val="auto"/>
                <w:lang w:eastAsia="en-US"/>
              </w:rPr>
            </w:pPr>
          </w:p>
        </w:tc>
        <w:tc>
          <w:tcPr>
            <w:tcW w:w="2175" w:type="dxa"/>
            <w:tcBorders>
              <w:tl2br w:val="nil"/>
              <w:tr2bl w:val="nil"/>
            </w:tcBorders>
            <w:noWrap w:val="0"/>
            <w:vAlign w:val="center"/>
          </w:tcPr>
          <w:p w14:paraId="5D1439C7">
            <w:pPr>
              <w:numPr>
                <w:ilvl w:val="0"/>
                <w:numId w:val="0"/>
              </w:numPr>
              <w:bidi w:val="0"/>
              <w:jc w:val="center"/>
              <w:rPr>
                <w:color w:val="auto"/>
                <w:highlight w:val="none"/>
              </w:rPr>
            </w:pPr>
            <w:r>
              <w:rPr>
                <w:color w:val="auto"/>
                <w:highlight w:val="none"/>
              </w:rPr>
              <w:t>供应商</w:t>
            </w:r>
            <w:r>
              <w:rPr>
                <w:rFonts w:hint="eastAsia"/>
                <w:color w:val="auto"/>
                <w:highlight w:val="none"/>
                <w:lang w:val="en-US" w:eastAsia="zh-CN"/>
              </w:rPr>
              <w:t>综合</w:t>
            </w:r>
            <w:r>
              <w:rPr>
                <w:color w:val="auto"/>
                <w:highlight w:val="none"/>
              </w:rPr>
              <w:t>实力</w:t>
            </w:r>
          </w:p>
          <w:p w14:paraId="114FCC62">
            <w:pPr>
              <w:numPr>
                <w:ilvl w:val="0"/>
                <w:numId w:val="0"/>
              </w:numPr>
              <w:bidi w:val="0"/>
              <w:jc w:val="cente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10</w:t>
            </w:r>
            <w:r>
              <w:rPr>
                <w:color w:val="auto"/>
                <w:highlight w:val="none"/>
              </w:rPr>
              <w:t>.0分</w:t>
            </w:r>
            <w:r>
              <w:rPr>
                <w:rFonts w:hint="eastAsia"/>
                <w:color w:val="auto"/>
                <w:highlight w:val="none"/>
                <w:lang w:eastAsia="zh-CN"/>
              </w:rPr>
              <w:t>）</w:t>
            </w:r>
          </w:p>
        </w:tc>
        <w:tc>
          <w:tcPr>
            <w:tcW w:w="5910" w:type="dxa"/>
            <w:tcBorders>
              <w:tl2br w:val="nil"/>
              <w:tr2bl w:val="nil"/>
            </w:tcBorders>
            <w:noWrap w:val="0"/>
            <w:vAlign w:val="center"/>
          </w:tcPr>
          <w:p w14:paraId="1FB180D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color w:val="auto"/>
                <w:highlight w:val="none"/>
              </w:rPr>
            </w:pPr>
            <w:r>
              <w:rPr>
                <w:color w:val="auto"/>
                <w:highlight w:val="none"/>
              </w:rPr>
              <w:t>从以下方面对供应商</w:t>
            </w:r>
            <w:r>
              <w:rPr>
                <w:rFonts w:hint="eastAsia"/>
                <w:color w:val="auto"/>
                <w:highlight w:val="none"/>
                <w:lang w:val="en-US" w:eastAsia="zh-CN"/>
              </w:rPr>
              <w:t>综合</w:t>
            </w:r>
            <w:r>
              <w:rPr>
                <w:color w:val="auto"/>
                <w:highlight w:val="none"/>
              </w:rPr>
              <w:t>实力进行评审，本项累计最高得1</w:t>
            </w:r>
            <w:r>
              <w:rPr>
                <w:rFonts w:hint="eastAsia"/>
                <w:color w:val="auto"/>
                <w:highlight w:val="none"/>
                <w:lang w:val="en-US" w:eastAsia="zh-CN"/>
              </w:rPr>
              <w:t>0</w:t>
            </w:r>
            <w:r>
              <w:rPr>
                <w:color w:val="auto"/>
                <w:highlight w:val="none"/>
              </w:rPr>
              <w:t>分。</w:t>
            </w:r>
          </w:p>
          <w:p w14:paraId="68B381C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color w:val="auto"/>
                <w:highlight w:val="none"/>
              </w:rPr>
            </w:pPr>
            <w:r>
              <w:rPr>
                <w:color w:val="auto"/>
                <w:highlight w:val="none"/>
              </w:rPr>
              <w:t>1</w:t>
            </w:r>
            <w:r>
              <w:rPr>
                <w:rFonts w:hint="eastAsia"/>
                <w:color w:val="auto"/>
                <w:highlight w:val="none"/>
                <w:lang w:val="en-US" w:eastAsia="zh-CN"/>
              </w:rPr>
              <w:t>.</w:t>
            </w:r>
            <w:r>
              <w:rPr>
                <w:color w:val="auto"/>
                <w:highlight w:val="none"/>
              </w:rPr>
              <w:t>供应商或其实验室具有 CNAS 资质、</w:t>
            </w:r>
            <w:r>
              <w:rPr>
                <w:rFonts w:hint="eastAsia"/>
                <w:color w:val="auto"/>
                <w:highlight w:val="none"/>
                <w:lang w:val="en-US" w:eastAsia="zh-CN"/>
              </w:rPr>
              <w:t>检验检查机构资质认定证书</w:t>
            </w:r>
            <w:r>
              <w:rPr>
                <w:color w:val="auto"/>
                <w:highlight w:val="none"/>
              </w:rPr>
              <w:t>，每具</w:t>
            </w:r>
            <w:bookmarkStart w:id="0" w:name="_GoBack"/>
            <w:bookmarkEnd w:id="0"/>
            <w:r>
              <w:rPr>
                <w:color w:val="auto"/>
                <w:highlight w:val="none"/>
              </w:rPr>
              <w:t>有一项得</w:t>
            </w:r>
            <w:r>
              <w:rPr>
                <w:rFonts w:hint="eastAsia"/>
                <w:color w:val="auto"/>
                <w:highlight w:val="none"/>
                <w:lang w:val="en-US" w:eastAsia="zh-CN"/>
              </w:rPr>
              <w:t>4</w:t>
            </w:r>
            <w:r>
              <w:rPr>
                <w:color w:val="auto"/>
                <w:highlight w:val="none"/>
              </w:rPr>
              <w:t xml:space="preserve"> 分，本小项最高得 </w:t>
            </w:r>
            <w:r>
              <w:rPr>
                <w:rFonts w:hint="eastAsia"/>
                <w:color w:val="auto"/>
                <w:highlight w:val="none"/>
                <w:lang w:val="en-US" w:eastAsia="zh-CN"/>
              </w:rPr>
              <w:t>8</w:t>
            </w:r>
            <w:r>
              <w:rPr>
                <w:color w:val="auto"/>
                <w:highlight w:val="none"/>
              </w:rPr>
              <w:t>分，没有不得分。 【注：须提供</w:t>
            </w:r>
            <w:r>
              <w:rPr>
                <w:rFonts w:hint="eastAsia"/>
                <w:color w:val="auto"/>
                <w:highlight w:val="none"/>
                <w:lang w:val="en-US" w:eastAsia="zh-CN"/>
              </w:rPr>
              <w:t>有效的以上要求</w:t>
            </w:r>
            <w:r>
              <w:rPr>
                <w:color w:val="auto"/>
                <w:highlight w:val="none"/>
              </w:rPr>
              <w:t>资质证书，未提供不得分】</w:t>
            </w:r>
          </w:p>
          <w:p w14:paraId="3E92802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color w:val="auto"/>
                <w:highlight w:val="none"/>
                <w:lang w:val="en-US" w:eastAsia="zh-CN"/>
              </w:rPr>
            </w:pPr>
            <w:r>
              <w:rPr>
                <w:rFonts w:hint="eastAsia"/>
                <w:color w:val="auto"/>
                <w:highlight w:val="none"/>
                <w:lang w:val="en-US" w:eastAsia="zh-CN"/>
              </w:rPr>
              <w:t>2.其他相关检验资质，得2分。</w:t>
            </w:r>
            <w:r>
              <w:rPr>
                <w:color w:val="auto"/>
                <w:highlight w:val="none"/>
              </w:rPr>
              <w:t>【注：须提供</w:t>
            </w:r>
            <w:r>
              <w:rPr>
                <w:rFonts w:hint="eastAsia"/>
                <w:color w:val="auto"/>
                <w:highlight w:val="none"/>
                <w:lang w:val="en-US" w:eastAsia="zh-CN"/>
              </w:rPr>
              <w:t>有效的以上要求</w:t>
            </w:r>
            <w:r>
              <w:rPr>
                <w:color w:val="auto"/>
                <w:highlight w:val="none"/>
              </w:rPr>
              <w:t>资质证书，未提供不得分。】</w:t>
            </w:r>
          </w:p>
        </w:tc>
      </w:tr>
      <w:tr w14:paraId="25C9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093" w:type="dxa"/>
            <w:vMerge w:val="continue"/>
            <w:tcBorders>
              <w:tl2br w:val="nil"/>
              <w:tr2bl w:val="nil"/>
            </w:tcBorders>
            <w:noWrap w:val="0"/>
            <w:vAlign w:val="center"/>
          </w:tcPr>
          <w:p w14:paraId="5E8090EB">
            <w:pPr>
              <w:jc w:val="both"/>
              <w:rPr>
                <w:rFonts w:hint="default" w:ascii="Times New Roman" w:hAnsi="Times New Roman" w:cs="Times New Roman"/>
                <w:color w:val="auto"/>
                <w:lang w:eastAsia="en-US"/>
              </w:rPr>
            </w:pPr>
          </w:p>
        </w:tc>
        <w:tc>
          <w:tcPr>
            <w:tcW w:w="2175" w:type="dxa"/>
            <w:tcBorders>
              <w:tl2br w:val="nil"/>
              <w:tr2bl w:val="nil"/>
            </w:tcBorders>
            <w:shd w:val="clear" w:color="auto" w:fill="auto"/>
            <w:noWrap w:val="0"/>
            <w:vAlign w:val="center"/>
          </w:tcPr>
          <w:p w14:paraId="064A786C">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拟投入检验设备情况 (</w:t>
            </w:r>
            <w:r>
              <w:rPr>
                <w:rFonts w:hint="eastAsia" w:ascii="Times New Roman" w:hAnsi="Times New Roman" w:cs="Times New Roman"/>
                <w:color w:val="auto"/>
                <w:lang w:val="en-US" w:eastAsia="zh-CN"/>
              </w:rPr>
              <w:t>10</w:t>
            </w:r>
            <w:r>
              <w:rPr>
                <w:rFonts w:hint="default" w:ascii="Times New Roman" w:hAnsi="Times New Roman" w:cs="Times New Roman"/>
                <w:color w:val="auto"/>
                <w:lang w:eastAsia="zh-CN"/>
              </w:rPr>
              <w:t>.0分)</w:t>
            </w:r>
          </w:p>
        </w:tc>
        <w:tc>
          <w:tcPr>
            <w:tcW w:w="5910" w:type="dxa"/>
            <w:tcBorders>
              <w:tl2br w:val="nil"/>
              <w:tr2bl w:val="nil"/>
            </w:tcBorders>
            <w:shd w:val="clear" w:color="auto" w:fill="auto"/>
            <w:noWrap w:val="0"/>
            <w:vAlign w:val="center"/>
          </w:tcPr>
          <w:p w14:paraId="1B03EC9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供应商的</w:t>
            </w:r>
            <w:r>
              <w:rPr>
                <w:rFonts w:hint="eastAsia" w:ascii="Times New Roman" w:hAnsi="Times New Roman" w:cs="Times New Roman"/>
                <w:color w:val="auto"/>
                <w:lang w:val="en-US" w:eastAsia="zh-CN"/>
              </w:rPr>
              <w:t>拟投入</w:t>
            </w:r>
            <w:r>
              <w:rPr>
                <w:rFonts w:hint="default" w:ascii="Times New Roman" w:hAnsi="Times New Roman" w:cs="Times New Roman"/>
                <w:color w:val="auto"/>
                <w:lang w:val="en-US" w:eastAsia="zh-CN"/>
              </w:rPr>
              <w:t xml:space="preserve">检验设备仪器情况：每具有一种得 </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 xml:space="preserve"> 分，最高得</w:t>
            </w: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分。没有或不能按要求提供相关证明材料的不得分。 【注：须同时提供①设备清单②设备照片】</w:t>
            </w:r>
          </w:p>
        </w:tc>
      </w:tr>
      <w:tr w14:paraId="3E462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trPr>
        <w:tc>
          <w:tcPr>
            <w:tcW w:w="1093" w:type="dxa"/>
            <w:vMerge w:val="continue"/>
            <w:tcBorders>
              <w:tl2br w:val="nil"/>
              <w:tr2bl w:val="nil"/>
            </w:tcBorders>
            <w:noWrap w:val="0"/>
            <w:vAlign w:val="center"/>
          </w:tcPr>
          <w:p w14:paraId="1C68ECF8">
            <w:pPr>
              <w:jc w:val="both"/>
              <w:rPr>
                <w:rFonts w:hint="default" w:ascii="Times New Roman" w:hAnsi="Times New Roman" w:cs="Times New Roman"/>
                <w:color w:val="auto"/>
                <w:lang w:eastAsia="en-US"/>
              </w:rPr>
            </w:pPr>
          </w:p>
        </w:tc>
        <w:tc>
          <w:tcPr>
            <w:tcW w:w="2175" w:type="dxa"/>
            <w:tcBorders>
              <w:tl2br w:val="nil"/>
              <w:tr2bl w:val="nil"/>
            </w:tcBorders>
            <w:noWrap w:val="0"/>
            <w:vAlign w:val="center"/>
          </w:tcPr>
          <w:p w14:paraId="4AAA4691">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服务响应度（</w:t>
            </w:r>
            <w:r>
              <w:rPr>
                <w:rFonts w:hint="eastAsia" w:ascii="Times New Roman" w:hAnsi="Times New Roman" w:cs="Times New Roman"/>
                <w:color w:val="auto"/>
                <w:lang w:val="en-US" w:eastAsia="zh-CN"/>
              </w:rPr>
              <w:t>5.0</w:t>
            </w:r>
            <w:r>
              <w:rPr>
                <w:rFonts w:hint="default" w:ascii="Times New Roman" w:hAnsi="Times New Roman" w:cs="Times New Roman"/>
                <w:color w:val="auto"/>
                <w:lang w:val="en-US" w:eastAsia="zh-CN"/>
              </w:rPr>
              <w:t>分</w:t>
            </w:r>
            <w:r>
              <w:rPr>
                <w:rFonts w:hint="default" w:ascii="Times New Roman" w:hAnsi="Times New Roman" w:cs="Times New Roman"/>
                <w:color w:val="auto"/>
                <w:lang w:eastAsia="zh-CN"/>
              </w:rPr>
              <w:t>）</w:t>
            </w:r>
          </w:p>
        </w:tc>
        <w:tc>
          <w:tcPr>
            <w:tcW w:w="5910" w:type="dxa"/>
            <w:tcBorders>
              <w:tl2br w:val="nil"/>
              <w:tr2bl w:val="nil"/>
            </w:tcBorders>
            <w:noWrap w:val="0"/>
            <w:vAlign w:val="center"/>
          </w:tcPr>
          <w:p w14:paraId="431AAE0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color w:val="auto"/>
                <w:lang w:val="en-US" w:eastAsia="zh-CN"/>
              </w:rPr>
            </w:pPr>
            <w:r>
              <w:rPr>
                <w:rFonts w:hint="eastAsia"/>
                <w:color w:val="auto"/>
                <w:lang w:val="en-US" w:eastAsia="zh-CN"/>
              </w:rPr>
              <w:t>1.提供服务响应承诺，项目人员能够2小时内响应服务的，得5分；</w:t>
            </w:r>
          </w:p>
          <w:p w14:paraId="10EE01A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color w:val="auto"/>
                <w:lang w:val="en-US" w:eastAsia="zh-CN"/>
              </w:rPr>
            </w:pPr>
            <w:r>
              <w:rPr>
                <w:rFonts w:hint="eastAsia"/>
                <w:color w:val="auto"/>
                <w:lang w:val="en-US" w:eastAsia="zh-CN"/>
              </w:rPr>
              <w:t>2.提供服务响应承诺，项目人员能够5小时内响应服务的，的2分；</w:t>
            </w:r>
          </w:p>
          <w:p w14:paraId="689F3E1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color w:val="auto"/>
                <w:lang w:val="en-US" w:eastAsia="zh-CN"/>
              </w:rPr>
            </w:pPr>
            <w:r>
              <w:rPr>
                <w:rFonts w:hint="eastAsia"/>
                <w:color w:val="auto"/>
                <w:lang w:val="en-US" w:eastAsia="zh-CN"/>
              </w:rPr>
              <w:t>3.提供服务响应承诺，项目人员不能在一天内响应服务的，不得分；</w:t>
            </w:r>
          </w:p>
        </w:tc>
      </w:tr>
      <w:tr w14:paraId="396A2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1093" w:type="dxa"/>
            <w:tcBorders>
              <w:tl2br w:val="nil"/>
              <w:tr2bl w:val="nil"/>
            </w:tcBorders>
            <w:noWrap w:val="0"/>
            <w:vAlign w:val="center"/>
          </w:tcPr>
          <w:p w14:paraId="5B8A1292">
            <w:pPr>
              <w:jc w:val="center"/>
              <w:rPr>
                <w:rFonts w:hint="default" w:ascii="Times New Roman" w:hAnsi="Times New Roman" w:cs="Times New Roman"/>
                <w:color w:val="auto"/>
                <w:lang w:eastAsia="zh-CN"/>
              </w:rPr>
            </w:pPr>
            <w:r>
              <w:rPr>
                <w:rFonts w:hint="default" w:ascii="Times New Roman" w:hAnsi="Times New Roman" w:cs="Times New Roman"/>
                <w:color w:val="auto"/>
                <w:lang w:eastAsia="en-US"/>
              </w:rPr>
              <w:t>价格部分</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10分）</w:t>
            </w:r>
          </w:p>
        </w:tc>
        <w:tc>
          <w:tcPr>
            <w:tcW w:w="2175" w:type="dxa"/>
            <w:tcBorders>
              <w:tl2br w:val="nil"/>
              <w:tr2bl w:val="nil"/>
            </w:tcBorders>
            <w:noWrap w:val="0"/>
            <w:vAlign w:val="center"/>
          </w:tcPr>
          <w:p w14:paraId="3797EF96">
            <w:pPr>
              <w:jc w:val="center"/>
              <w:rPr>
                <w:rFonts w:hint="default" w:ascii="Times New Roman" w:hAnsi="Times New Roman" w:cs="Times New Roman"/>
                <w:color w:val="auto"/>
                <w:lang w:eastAsia="en-US"/>
              </w:rPr>
            </w:pPr>
            <w:r>
              <w:rPr>
                <w:rFonts w:hint="default" w:ascii="Times New Roman" w:hAnsi="Times New Roman" w:cs="Times New Roman"/>
                <w:color w:val="auto"/>
                <w:lang w:eastAsia="en-US"/>
              </w:rPr>
              <w:t>价格高低（</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.0</w:t>
            </w:r>
            <w:r>
              <w:rPr>
                <w:rFonts w:hint="default" w:ascii="Times New Roman" w:hAnsi="Times New Roman" w:cs="Times New Roman"/>
                <w:color w:val="auto"/>
                <w:lang w:eastAsia="en-US"/>
              </w:rPr>
              <w:t>分）</w:t>
            </w:r>
          </w:p>
        </w:tc>
        <w:tc>
          <w:tcPr>
            <w:tcW w:w="5910" w:type="dxa"/>
            <w:tcBorders>
              <w:tl2br w:val="nil"/>
              <w:tr2bl w:val="nil"/>
            </w:tcBorders>
            <w:noWrap w:val="0"/>
            <w:vAlign w:val="center"/>
          </w:tcPr>
          <w:p w14:paraId="6339C57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投标报价得分＝（评标基准价/投标报价）×价格分值</w:t>
            </w:r>
          </w:p>
          <w:p w14:paraId="277E028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【注：满足招标文件要求且投标价格最低的投标报价为评标基准价。】</w:t>
            </w:r>
          </w:p>
        </w:tc>
      </w:tr>
    </w:tbl>
    <w:p w14:paraId="4D352359">
      <w:pPr>
        <w:pStyle w:val="4"/>
        <w:ind w:firstLine="640"/>
        <w:rPr>
          <w:rFonts w:hint="default" w:ascii="Times New Roman" w:hAnsi="Times New Roman" w:cs="Times New Roman"/>
          <w:lang w:eastAsia="zh-CN"/>
        </w:rPr>
      </w:pPr>
    </w:p>
    <w:p w14:paraId="434AE6D4">
      <w:pPr>
        <w:keepNext w:val="0"/>
        <w:keepLines w:val="0"/>
        <w:pageBreakBefore w:val="0"/>
        <w:widowControl w:val="0"/>
        <w:kinsoku/>
        <w:wordWrap/>
        <w:overflowPunct/>
        <w:topLinePunct w:val="0"/>
        <w:autoSpaceDE/>
        <w:autoSpaceDN w:val="0"/>
        <w:bidi w:val="0"/>
        <w:adjustRightInd/>
        <w:snapToGrid/>
        <w:spacing w:line="540" w:lineRule="exact"/>
        <w:ind w:firstLine="0"/>
        <w:jc w:val="both"/>
        <w:textAlignment w:val="auto"/>
        <w:rPr>
          <w:rFonts w:hint="default" w:ascii="Times New Roman" w:hAnsi="Times New Roman" w:eastAsia="仿宋_GB2312" w:cs="Times New Roman"/>
          <w:b w:val="0"/>
          <w:i w:val="0"/>
          <w:snapToGrid/>
          <w:color w:val="333333"/>
          <w:sz w:val="32"/>
          <w:szCs w:val="32"/>
          <w:lang w:eastAsia="zh-CN"/>
        </w:rPr>
      </w:pPr>
      <w:r>
        <w:rPr>
          <w:rFonts w:hint="default" w:ascii="Times New Roman" w:hAnsi="Times New Roman" w:eastAsia="仿宋_GB2312" w:cs="Times New Roman"/>
          <w:b w:val="0"/>
          <w:i w:val="0"/>
          <w:snapToGrid/>
          <w:color w:val="333333"/>
          <w:sz w:val="32"/>
          <w:szCs w:val="32"/>
          <w:lang w:eastAsia="zh-CN"/>
        </w:rPr>
        <w:t>　　</w:t>
      </w:r>
      <w:r>
        <w:rPr>
          <w:rFonts w:hint="default" w:ascii="Times New Roman" w:hAnsi="Times New Roman" w:eastAsia="仿宋_GB2312" w:cs="Times New Roman"/>
          <w:color w:val="auto"/>
          <w:kern w:val="2"/>
          <w:sz w:val="32"/>
          <w:szCs w:val="32"/>
          <w:lang w:val="en-US" w:eastAsia="zh-CN" w:bidi="ar-SA"/>
        </w:rPr>
        <w:t>注：报价人提供证明材料</w:t>
      </w:r>
      <w:r>
        <w:rPr>
          <w:rFonts w:hint="eastAsia" w:ascii="Times New Roman" w:hAnsi="Times New Roman" w:eastAsia="仿宋_GB2312" w:cs="Times New Roman"/>
          <w:color w:val="auto"/>
          <w:kern w:val="2"/>
          <w:sz w:val="32"/>
          <w:szCs w:val="32"/>
          <w:lang w:val="en-US" w:eastAsia="zh-CN" w:bidi="ar-SA"/>
        </w:rPr>
        <w:t>应与评分表的评审标准要求一一对应</w:t>
      </w:r>
      <w:r>
        <w:rPr>
          <w:rFonts w:hint="default" w:ascii="Times New Roman" w:hAnsi="Times New Roman" w:eastAsia="仿宋_GB2312" w:cs="Times New Roman"/>
          <w:color w:val="auto"/>
          <w:kern w:val="2"/>
          <w:sz w:val="32"/>
          <w:szCs w:val="32"/>
          <w:lang w:val="en-US" w:eastAsia="zh-CN" w:bidi="ar-SA"/>
        </w:rPr>
        <w:t>并标注，未按要求提供证明材料的，</w:t>
      </w:r>
      <w:r>
        <w:rPr>
          <w:rFonts w:hint="eastAsia" w:ascii="Times New Roman" w:hAnsi="Times New Roman" w:eastAsia="仿宋_GB2312" w:cs="Times New Roman"/>
          <w:color w:val="auto"/>
          <w:kern w:val="2"/>
          <w:sz w:val="32"/>
          <w:szCs w:val="32"/>
          <w:lang w:val="en-US" w:eastAsia="zh-CN" w:bidi="ar-SA"/>
        </w:rPr>
        <w:t>视</w:t>
      </w:r>
      <w:r>
        <w:rPr>
          <w:rFonts w:hint="default" w:ascii="Times New Roman" w:hAnsi="Times New Roman" w:eastAsia="仿宋_GB2312" w:cs="Times New Roman"/>
          <w:color w:val="auto"/>
          <w:kern w:val="2"/>
          <w:sz w:val="32"/>
          <w:szCs w:val="32"/>
          <w:lang w:val="en-US" w:eastAsia="zh-CN" w:bidi="ar-SA"/>
        </w:rPr>
        <w:t>该项能力因素不得分。</w:t>
      </w:r>
    </w:p>
    <w:p w14:paraId="647341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6549D"/>
    <w:rsid w:val="00D06161"/>
    <w:rsid w:val="037F7757"/>
    <w:rsid w:val="052E0BB0"/>
    <w:rsid w:val="06965446"/>
    <w:rsid w:val="079D696D"/>
    <w:rsid w:val="18F801A6"/>
    <w:rsid w:val="194D300E"/>
    <w:rsid w:val="2A18267C"/>
    <w:rsid w:val="322C1E52"/>
    <w:rsid w:val="325660F5"/>
    <w:rsid w:val="33750572"/>
    <w:rsid w:val="346722D1"/>
    <w:rsid w:val="35E3348B"/>
    <w:rsid w:val="391B0680"/>
    <w:rsid w:val="39D10AA3"/>
    <w:rsid w:val="3B597B77"/>
    <w:rsid w:val="3F9B3D7E"/>
    <w:rsid w:val="4D3F235F"/>
    <w:rsid w:val="548F5C4F"/>
    <w:rsid w:val="5659130F"/>
    <w:rsid w:val="58EC4E27"/>
    <w:rsid w:val="5946549D"/>
    <w:rsid w:val="5D6D3F49"/>
    <w:rsid w:val="5DE352BC"/>
    <w:rsid w:val="5EC878F9"/>
    <w:rsid w:val="5F451116"/>
    <w:rsid w:val="607301CC"/>
    <w:rsid w:val="64F7034C"/>
    <w:rsid w:val="6B885505"/>
    <w:rsid w:val="6D4F2026"/>
    <w:rsid w:val="703D085C"/>
    <w:rsid w:val="71D62D16"/>
    <w:rsid w:val="795F7C24"/>
    <w:rsid w:val="7D77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960"/>
        <w:tab w:val="left" w:pos="1582"/>
      </w:tabs>
      <w:spacing w:before="260" w:beforeLines="0" w:after="700" w:afterLines="0" w:line="415" w:lineRule="auto"/>
      <w:outlineLvl w:val="1"/>
    </w:pPr>
    <w:rPr>
      <w:rFonts w:ascii="Arial" w:hAnsi="Arial"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17"/>
      <w:szCs w:val="17"/>
      <w:lang w:val="zh-CN" w:eastAsia="zh-CN" w:bidi="zh-CN"/>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1218</Words>
  <Characters>1283</Characters>
  <Lines>0</Lines>
  <Paragraphs>0</Paragraphs>
  <TotalTime>1</TotalTime>
  <ScaleCrop>false</ScaleCrop>
  <LinksUpToDate>false</LinksUpToDate>
  <CharactersWithSpaces>1299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2025-05-19T08:51:00Z</dcterms:created>
  <dc:creator>黎巧莹</dc:creator>
  <cp:lastModifiedBy>黎巧莹</cp:lastModifiedBy>
  <cp:lastPrinted>2025-05-20T01:46:00Z</cp:lastPrinted>
  <dcterms:modified xsi:type="dcterms:W3CDTF">2025-05-21T03:06:56Z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7A06E4C8E0FD4419A84ABC00E0065368_11</vt:lpwstr>
  </property>
  <property fmtid="{D5CDD505-2E9C-101B-9397-08002B2CF9AE}" pid="4" name="KSOTemplateDocerSaveRecord">
    <vt:lpwstr>eyJoZGlkIjoiYmUzYThjYjVhNTgwNWEyM2Y4MmYzNjRiODQyZWI0YTQiLCJ1c2VySWQiOiIxNjg0ODM4MTQxIn0=</vt:lpwstr>
  </property>
</Properties>
</file>