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2453C">
      <w:pPr>
        <w:jc w:val="center"/>
        <w:rPr>
          <w:rFonts w:hint="eastAsia" w:ascii="方正小标宋简体" w:hAnsi="方正小标宋简体" w:eastAsia="方正小标宋简体" w:cs="方正小标宋简体"/>
          <w:color w:val="auto"/>
          <w:sz w:val="44"/>
          <w:szCs w:val="44"/>
          <w:lang w:val="en-US" w:eastAsia="zh-CN"/>
        </w:rPr>
      </w:pPr>
      <w:bookmarkStart w:id="0" w:name="_GoBack"/>
      <w:bookmarkEnd w:id="0"/>
      <w:r>
        <w:rPr>
          <w:sz w:val="44"/>
          <w:szCs w:val="44"/>
        </w:rPr>
        <mc:AlternateContent>
          <mc:Choice Requires="wps">
            <w:drawing>
              <wp:anchor distT="0" distB="0" distL="114300" distR="114300" simplePos="0" relativeHeight="251659264" behindDoc="0" locked="0" layoutInCell="1" allowOverlap="1">
                <wp:simplePos x="0" y="0"/>
                <wp:positionH relativeFrom="column">
                  <wp:posOffset>-305435</wp:posOffset>
                </wp:positionH>
                <wp:positionV relativeFrom="paragraph">
                  <wp:posOffset>-701675</wp:posOffset>
                </wp:positionV>
                <wp:extent cx="821055" cy="513080"/>
                <wp:effectExtent l="0" t="0" r="1905" b="5080"/>
                <wp:wrapNone/>
                <wp:docPr id="2" name="文本框 2"/>
                <wp:cNvGraphicFramePr/>
                <a:graphic xmlns:a="http://schemas.openxmlformats.org/drawingml/2006/main">
                  <a:graphicData uri="http://schemas.microsoft.com/office/word/2010/wordprocessingShape">
                    <wps:wsp>
                      <wps:cNvSpPr txBox="1"/>
                      <wps:spPr>
                        <a:xfrm>
                          <a:off x="608965" y="441325"/>
                          <a:ext cx="821055" cy="5130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2F73AC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5pt;margin-top:-55.25pt;height:40.4pt;width:64.65pt;z-index:251659264;mso-width-relative:page;mso-height-relative:page;" fillcolor="#FFFFFF [3201]" filled="t" stroked="f" coordsize="21600,21600" o:gfxdata="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3cnkA&#10;1gAAAAsBAAAPAAAAAAAAAAEAIAAAACIAAABkcnMvZG93bnJldi54bWxQSwECFAAUAAAACACHTuJA&#10;+ubi/FwCAACYBAAADgAAAAAAAAABACAAAAAlAQAAZHJzL2Uyb0RvYy54bWxQSwUGAAAAAAYABgBZ&#10;AQAA8wUAAAAA&#10;">
                <v:fill on="t" focussize="0,0"/>
                <v:stroke on="f" weight="0.5pt"/>
                <v:imagedata o:title=""/>
                <o:lock v:ext="edit" aspectratio="f"/>
                <v:textbox>
                  <w:txbxContent>
                    <w:p w14:paraId="72F73AC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v:textbox>
              </v:shape>
            </w:pict>
          </mc:Fallback>
        </mc:AlternateContent>
      </w:r>
      <w:r>
        <w:rPr>
          <w:rFonts w:hint="eastAsia" w:ascii="方正小标宋简体" w:hAnsi="方正小标宋简体" w:eastAsia="方正小标宋简体" w:cs="方正小标宋简体"/>
          <w:sz w:val="44"/>
          <w:szCs w:val="44"/>
          <w:lang w:val="en-US" w:eastAsia="zh-CN"/>
        </w:rPr>
        <w:t>公众反馈意见回复情况表</w:t>
      </w:r>
    </w:p>
    <w:tbl>
      <w:tblPr>
        <w:tblStyle w:val="3"/>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306"/>
        <w:gridCol w:w="1440"/>
        <w:gridCol w:w="5705"/>
      </w:tblGrid>
      <w:tr w14:paraId="1753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65" w:type="dxa"/>
            <w:vAlign w:val="center"/>
          </w:tcPr>
          <w:p w14:paraId="4A9446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6306" w:type="dxa"/>
            <w:vAlign w:val="center"/>
          </w:tcPr>
          <w:p w14:paraId="430EC2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公众反馈意见</w:t>
            </w:r>
          </w:p>
        </w:tc>
        <w:tc>
          <w:tcPr>
            <w:tcW w:w="1440" w:type="dxa"/>
            <w:vAlign w:val="center"/>
          </w:tcPr>
          <w:p w14:paraId="1C190A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采纳情况</w:t>
            </w:r>
          </w:p>
        </w:tc>
        <w:tc>
          <w:tcPr>
            <w:tcW w:w="5705" w:type="dxa"/>
            <w:vAlign w:val="center"/>
          </w:tcPr>
          <w:p w14:paraId="32478F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回复意见</w:t>
            </w:r>
          </w:p>
        </w:tc>
      </w:tr>
      <w:tr w14:paraId="0C5C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14:paraId="7595AB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w:t>
            </w:r>
          </w:p>
        </w:tc>
        <w:tc>
          <w:tcPr>
            <w:tcW w:w="6306" w:type="dxa"/>
            <w:vAlign w:val="center"/>
          </w:tcPr>
          <w:p w14:paraId="1056BE6F">
            <w:pPr>
              <w:jc w:val="both"/>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我作为一个常住南沙的居民，会经常前往体育馆及周边的滨水角公园游玩，现状部分设施和地面陈旧，地面老化，个人觉得提升很有必要。希望借此机会整体提升改造，尤其在海绵城市建设上能够系统的设计和研究，因为之前我看现场好像没有这部分海绵城市内容。</w:t>
            </w:r>
          </w:p>
        </w:tc>
        <w:tc>
          <w:tcPr>
            <w:tcW w:w="1440" w:type="dxa"/>
            <w:vAlign w:val="center"/>
          </w:tcPr>
          <w:p w14:paraId="3FAD5B23">
            <w:pPr>
              <w:jc w:val="center"/>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采纳</w:t>
            </w:r>
          </w:p>
        </w:tc>
        <w:tc>
          <w:tcPr>
            <w:tcW w:w="5705" w:type="dxa"/>
            <w:vAlign w:val="center"/>
          </w:tcPr>
          <w:p w14:paraId="2DC2828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同意采纳。本次提升改造结合现场情况增补了海绵城市相关内容，绿化区域结合现场情况在地形低洼处补充了下凹绿地和溢流口，新增雨水调蓄模块两处。硬质铺装区域原来的沥青路面改为透水沥青，部分人行道铺装翻新材料采用了砂基透水石材，满足海绵城市要求。</w:t>
            </w:r>
          </w:p>
        </w:tc>
      </w:tr>
      <w:tr w14:paraId="442D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14:paraId="4472C2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306" w:type="dxa"/>
            <w:vAlign w:val="center"/>
          </w:tcPr>
          <w:p w14:paraId="29EF571D">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临近蕉门水道一侧，由于红树林较为茂密，大部分通行路径的视野受限，灵山岛和横沥岛以及蕉门水道的景观面不能充分利用。同时临水侧有砌筑围栏，不能有效利用现有的浅滩。建议在不影响红树林和水道的条件下，适当设置、增加亲水面的范围和设施，合适位置开放围栏，充分利用现有浅滩，既可以开阔视野，又可以充分利用浅滩与红树林的交接，增加民众对于自然生态的认知。</w:t>
            </w:r>
          </w:p>
        </w:tc>
        <w:tc>
          <w:tcPr>
            <w:tcW w:w="1440" w:type="dxa"/>
            <w:vAlign w:val="center"/>
          </w:tcPr>
          <w:p w14:paraId="0CAFAAD6">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部分采纳</w:t>
            </w:r>
          </w:p>
        </w:tc>
        <w:tc>
          <w:tcPr>
            <w:tcW w:w="5705" w:type="dxa"/>
            <w:vAlign w:val="center"/>
          </w:tcPr>
          <w:p w14:paraId="29D9021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部分采纳。本次提升改造在不影响红树林和水道行洪的条件下，通过对临近蕉门水道一侧的浅滩采用清表和种植低矮植物的方式进行清理和规整，既提升了浅滩和红树林的观感质量，又优化了整体生态环境。考虑现有砌筑围栏是蕉门水道堤防的重要组成部分，承担着河道防洪和安全的重要职责，为确保防洪安全，本次提升改造不设置开放围栏。</w:t>
            </w:r>
          </w:p>
        </w:tc>
      </w:tr>
    </w:tbl>
    <w:p w14:paraId="3CBAE5F1">
      <w:pPr>
        <w:rPr>
          <w:rFonts w:hint="default" w:ascii="方正仿宋_GB2312" w:hAnsi="方正仿宋_GB2312" w:eastAsia="方正仿宋_GB2312" w:cs="方正仿宋_GB2312"/>
          <w:color w:val="auto"/>
          <w:sz w:val="32"/>
          <w:szCs w:val="32"/>
          <w:lang w:val="en-US" w:eastAsia="zh-CN"/>
        </w:rPr>
      </w:pPr>
    </w:p>
    <w:sectPr>
      <w:pgSz w:w="16838" w:h="11906" w:orient="landscape"/>
      <w:pgMar w:top="16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方正仿宋简体">
    <w:altName w:val="微软雅黑"/>
    <w:panose1 w:val="02010601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5A61D840-EB08-4C93-998D-7303613BA9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WZjZjNmZThkMGI2MTg5YzMxNGQwNjdjNTBmMGQifQ=="/>
  </w:docVars>
  <w:rsids>
    <w:rsidRoot w:val="53724CE2"/>
    <w:rsid w:val="153C1421"/>
    <w:rsid w:val="203D3AD5"/>
    <w:rsid w:val="22292271"/>
    <w:rsid w:val="247509BC"/>
    <w:rsid w:val="29FC1B1C"/>
    <w:rsid w:val="2B177428"/>
    <w:rsid w:val="36601C1A"/>
    <w:rsid w:val="394220AF"/>
    <w:rsid w:val="3A292F66"/>
    <w:rsid w:val="3C130FC4"/>
    <w:rsid w:val="3ECE0EE9"/>
    <w:rsid w:val="3FDE1D1C"/>
    <w:rsid w:val="40CF6FC7"/>
    <w:rsid w:val="42A619E1"/>
    <w:rsid w:val="42E94845"/>
    <w:rsid w:val="46110783"/>
    <w:rsid w:val="4FC36FBF"/>
    <w:rsid w:val="5030171A"/>
    <w:rsid w:val="53183877"/>
    <w:rsid w:val="53724CE2"/>
    <w:rsid w:val="57A31A4D"/>
    <w:rsid w:val="57F91A87"/>
    <w:rsid w:val="61964778"/>
    <w:rsid w:val="63FF32B6"/>
    <w:rsid w:val="66CD7D83"/>
    <w:rsid w:val="675237D4"/>
    <w:rsid w:val="6992444E"/>
    <w:rsid w:val="6D042472"/>
    <w:rsid w:val="751D1ECF"/>
    <w:rsid w:val="79DD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联系人及电话"/>
    <w:basedOn w:val="1"/>
    <w:qFormat/>
    <w:uiPriority w:val="0"/>
    <w:pPr>
      <w:jc w:val="center"/>
    </w:pPr>
    <w:rPr>
      <w:rFonts w:ascii="方正仿宋简体" w:eastAsia="仿宋" w:cs="宋体" w:hAnsiTheme="minorHAnsi"/>
      <w:sz w:val="32"/>
      <w:szCs w:val="20"/>
    </w:rPr>
  </w:style>
  <w:style w:type="paragraph" w:customStyle="1" w:styleId="6">
    <w:name w:val="印发"/>
    <w:basedOn w:val="1"/>
    <w:qFormat/>
    <w:uiPriority w:val="0"/>
    <w:pPr>
      <w:ind w:firstLine="317" w:firstLineChars="99"/>
    </w:pPr>
    <w:rPr>
      <w:rFonts w:ascii="方正仿宋简体" w:eastAsia="仿宋" w:cs="宋体"/>
      <w:sz w:val="32"/>
      <w:szCs w:val="20"/>
    </w:rPr>
  </w:style>
  <w:style w:type="character" w:customStyle="1" w:styleId="7">
    <w:name w:val="发送单位"/>
    <w:basedOn w:val="4"/>
    <w:qFormat/>
    <w:uiPriority w:val="0"/>
    <w:rPr>
      <w:rFonts w:ascii="方正仿宋简体" w:hAnsi="方正仿宋简体" w:eastAsia="方正仿宋简体"/>
      <w:sz w:val="32"/>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810</Words>
  <Characters>825</Characters>
  <Lines>0</Lines>
  <Paragraphs>0</Paragraphs>
  <TotalTime>13</TotalTime>
  <ScaleCrop>false</ScaleCrop>
  <LinksUpToDate>false</LinksUpToDate>
  <CharactersWithSpaces>869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2022-07-21T06:40:00Z</dcterms:created>
  <dc:creator>HP</dc:creator>
  <cp:lastModifiedBy>蒙家凤</cp:lastModifiedBy>
  <cp:lastPrinted>2022-08-01T08:23:00Z</cp:lastPrinted>
  <dcterms:modified xsi:type="dcterms:W3CDTF">2025-05-15T07:39:14Z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7CC5B186EC554A299D9DCB6B26784A42_13</vt:lpwstr>
  </property>
  <property fmtid="{D5CDD505-2E9C-101B-9397-08002B2CF9AE}" pid="4" name="KSOTemplateDocerSaveRecord">
    <vt:lpwstr>eyJoZGlkIjoiNWNlZWU1ZGU2NjMyNmMwYTRjZWI5YjFkYTcyOTBmMTAiLCJ1c2VySWQiOiIxNjkwMDM3MTk0In0=</vt:lpwstr>
  </property>
</Properties>
</file>