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sz w:val="44"/>
          <w:szCs w:val="44"/>
        </w:rPr>
      </w:pPr>
    </w:p>
    <w:p>
      <w:pPr>
        <w:spacing w:line="640" w:lineRule="exact"/>
        <w:jc w:val="center"/>
        <w:rPr>
          <w:rFonts w:hint="eastAsia" w:ascii="Times New Roman" w:hAnsi="Times New Roman" w:eastAsia="方正小标宋简体"/>
          <w:sz w:val="44"/>
          <w:szCs w:val="44"/>
        </w:rPr>
      </w:pPr>
    </w:p>
    <w:p>
      <w:pPr>
        <w:spacing w:line="640" w:lineRule="exact"/>
        <w:jc w:val="center"/>
        <w:rPr>
          <w:rFonts w:hint="eastAsia" w:ascii="Times New Roman" w:hAnsi="Times New Roman" w:eastAsia="方正小标宋简体"/>
          <w:sz w:val="44"/>
          <w:szCs w:val="44"/>
        </w:rPr>
      </w:pPr>
    </w:p>
    <w:p>
      <w:pPr>
        <w:spacing w:line="6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关于广州市南沙区2024年度第八十八批次城镇建设用地项目被征地农民</w:t>
      </w:r>
    </w:p>
    <w:p>
      <w:pPr>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养老保障方案</w:t>
      </w:r>
    </w:p>
    <w:p>
      <w:pPr>
        <w:spacing w:line="560" w:lineRule="exact"/>
        <w:jc w:val="center"/>
        <w:rPr>
          <w:rFonts w:ascii="Times New Roman" w:hAnsi="Times New Roman"/>
        </w:rPr>
      </w:pPr>
    </w:p>
    <w:p>
      <w:pPr>
        <w:spacing w:line="560" w:lineRule="exact"/>
        <w:ind w:firstLine="495"/>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2024年度第八十八批次城镇建设用地项目被征地农民养老保障方案如下：</w:t>
      </w:r>
    </w:p>
    <w:p>
      <w:pPr>
        <w:spacing w:line="560" w:lineRule="exact"/>
        <w:ind w:firstLine="495"/>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一、对广州市南沙区2024年度第八十八批次城镇建设用地项目涉及被征地农民实施社会养老保障。</w:t>
      </w:r>
    </w:p>
    <w:p>
      <w:pPr>
        <w:spacing w:line="560" w:lineRule="exact"/>
        <w:ind w:firstLine="495"/>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征地社保费筹集。依据广州市南沙区城市更新土地整备中心提供情况，该项目征收我区黄阁镇大井经济联合社集体土地面积共34.821亩，其中0亩属于农村集体经济组织留用地，目前征地双方尚未完成征地补偿安置协议签订。我区每亩平均征收农用地综合区片地价26.3万元／亩，征地社保费计提标准为2.90万元／亩（按26.3万元／亩的11%计算），该项目涉及需计提征地社保费共100.99万元，被征收土地属于农村集体经济组织留用地的，按规定不计提征地社保费。需计提资金共100.99万元由征地主体（用地单位）一次性预存入我区人力资源社会保障部门开设的“收缴被征地农民养老保障资金过渡户”，计入征地成本，纳入工程项目概算。</w:t>
      </w:r>
    </w:p>
    <w:p>
      <w:pPr>
        <w:spacing w:line="560" w:lineRule="exact"/>
        <w:ind w:firstLine="495"/>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spacing w:line="560" w:lineRule="exact"/>
        <w:ind w:firstLine="495"/>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征地社保费发放。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spacing w:line="560" w:lineRule="exact"/>
        <w:ind w:firstLine="495"/>
        <w:rPr>
          <w:rFonts w:hint="eastAsia" w:ascii="Times New Roman" w:hAnsi="Times New Roman" w:eastAsia="仿宋_GB2312"/>
          <w:sz w:val="32"/>
          <w:szCs w:val="32"/>
          <w:lang w:val="en-US" w:eastAsia="zh-CN"/>
        </w:rPr>
      </w:pPr>
    </w:p>
    <w:p>
      <w:pPr>
        <w:spacing w:line="560" w:lineRule="exact"/>
        <w:ind w:firstLine="495"/>
        <w:rPr>
          <w:rFonts w:ascii="Times New Roman" w:hAnsi="Times New Roman" w:eastAsia="仿宋_GB2312"/>
          <w:sz w:val="32"/>
          <w:szCs w:val="32"/>
        </w:rPr>
      </w:pPr>
      <w:r>
        <w:rPr>
          <w:rFonts w:hint="eastAsia" w:ascii="Times New Roman" w:hAnsi="Times New Roman" w:eastAsia="仿宋_GB2312"/>
          <w:sz w:val="32"/>
          <w:szCs w:val="32"/>
          <w:lang w:val="en-US" w:eastAsia="zh-CN"/>
        </w:rPr>
        <w:t>附件：征收土地及养老保障情况表</w:t>
      </w:r>
    </w:p>
    <w:p>
      <w:pPr>
        <w:spacing w:line="560" w:lineRule="exact"/>
        <w:ind w:firstLine="495"/>
        <w:rPr>
          <w:rFonts w:ascii="Times New Roman" w:hAnsi="Times New Roman" w:eastAsia="仿宋_GB2312"/>
          <w:sz w:val="32"/>
          <w:szCs w:val="32"/>
        </w:rPr>
      </w:pPr>
    </w:p>
    <w:p>
      <w:pPr>
        <w:spacing w:line="560" w:lineRule="exact"/>
        <w:ind w:firstLine="495"/>
        <w:rPr>
          <w:rFonts w:ascii="Times New Roman" w:hAnsi="Times New Roman" w:eastAsia="仿宋_GB2312"/>
          <w:sz w:val="32"/>
          <w:szCs w:val="32"/>
        </w:rPr>
      </w:pPr>
    </w:p>
    <w:p>
      <w:pPr>
        <w:spacing w:line="560" w:lineRule="exact"/>
        <w:ind w:firstLine="495"/>
        <w:rPr>
          <w:rFonts w:ascii="Times New Roman" w:hAnsi="Times New Roman" w:eastAsia="仿宋_GB2312"/>
          <w:sz w:val="32"/>
          <w:szCs w:val="32"/>
        </w:rPr>
      </w:pPr>
    </w:p>
    <w:p>
      <w:pPr>
        <w:spacing w:line="560" w:lineRule="exact"/>
        <w:ind w:firstLine="3680" w:firstLineChars="11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广州市南沙区黄阁镇人民政府</w:t>
      </w:r>
    </w:p>
    <w:p>
      <w:pPr>
        <w:spacing w:line="560" w:lineRule="exact"/>
        <w:ind w:firstLine="640" w:firstLineChars="200"/>
        <w:rPr>
          <w:rFonts w:ascii="Times New Roman" w:hAnsi="Times New Roman"/>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日</w:t>
      </w: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rPr>
          <w:rFonts w:ascii="Times New Roman" w:hAnsi="Times New Roman"/>
        </w:rPr>
      </w:pPr>
      <w:r>
        <w:rPr>
          <w:rFonts w:ascii="Times New Roman" w:hAnsi="Times New Roman"/>
        </w:rPr>
        <w:br w:type="page"/>
      </w:r>
    </w:p>
    <w:p>
      <w:pPr>
        <w:spacing w:line="560" w:lineRule="exact"/>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w:t>
      </w:r>
    </w:p>
    <w:p>
      <w:pPr>
        <w:spacing w:line="560" w:lineRule="exact"/>
        <w:jc w:val="both"/>
        <w:rPr>
          <w:rFonts w:hint="eastAsia" w:ascii="Times New Roman" w:hAnsi="Times New Roman" w:eastAsia="仿宋_GB2312"/>
          <w:sz w:val="32"/>
          <w:szCs w:val="32"/>
          <w:lang w:val="en-US" w:eastAsia="zh-CN"/>
        </w:rPr>
      </w:pPr>
    </w:p>
    <w:p>
      <w:pPr>
        <w:pStyle w:val="9"/>
        <w:spacing w:line="560" w:lineRule="exact"/>
        <w:jc w:val="center"/>
        <w:rPr>
          <w:rFonts w:hint="eastAsia" w:ascii="方正小标宋简体" w:hAnsi="方正小标宋简体" w:eastAsia="方正小标宋简体" w:cs="方正小标宋简体"/>
          <w:bCs/>
          <w:kern w:val="2"/>
          <w:sz w:val="44"/>
          <w:szCs w:val="32"/>
          <w:lang w:val="en-US" w:eastAsia="zh-CN" w:bidi="ar-SA"/>
        </w:rPr>
      </w:pPr>
      <w:r>
        <w:rPr>
          <w:rFonts w:hint="eastAsia" w:ascii="方正小标宋简体" w:hAnsi="方正小标宋简体" w:eastAsia="方正小标宋简体" w:cs="方正小标宋简体"/>
          <w:bCs/>
          <w:kern w:val="2"/>
          <w:sz w:val="44"/>
          <w:szCs w:val="32"/>
          <w:lang w:val="en-US" w:eastAsia="zh-CN" w:bidi="ar-SA"/>
        </w:rPr>
        <w:t>征收土地及养老保障情况表</w:t>
      </w:r>
    </w:p>
    <w:p>
      <w:pPr>
        <w:pStyle w:val="9"/>
        <w:spacing w:line="560" w:lineRule="exact"/>
        <w:jc w:val="right"/>
        <w:rPr>
          <w:rFonts w:hint="default" w:ascii="Times New Roman" w:hAnsi="Times New Roman" w:eastAsia="仿宋_GB2312"/>
          <w:szCs w:val="32"/>
          <w:lang w:val="en-US" w:eastAsia="zh-CN"/>
        </w:rPr>
      </w:pPr>
      <w:r>
        <w:rPr>
          <w:rFonts w:hint="eastAsia"/>
          <w:szCs w:val="32"/>
          <w:lang w:val="en-US" w:eastAsia="zh-CN"/>
        </w:rPr>
        <w:t>单位：亩、万元</w:t>
      </w:r>
    </w:p>
    <w:tbl>
      <w:tblPr>
        <w:tblStyle w:val="5"/>
        <w:tblW w:w="53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551"/>
        <w:gridCol w:w="2149"/>
        <w:gridCol w:w="2149"/>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gridSpan w:val="2"/>
            <w:vAlign w:val="center"/>
          </w:tcPr>
          <w:p>
            <w:pPr>
              <w:pStyle w:val="9"/>
              <w:spacing w:line="560" w:lineRule="exact"/>
              <w:jc w:val="center"/>
              <w:rPr>
                <w:rFonts w:hint="default"/>
                <w:szCs w:val="32"/>
                <w:lang w:val="en-US" w:eastAsia="zh-CN"/>
              </w:rPr>
            </w:pPr>
            <w:r>
              <w:rPr>
                <w:rFonts w:hint="eastAsia"/>
                <w:szCs w:val="32"/>
                <w:lang w:val="en-US" w:eastAsia="zh-CN"/>
              </w:rPr>
              <w:t>被征地单位</w:t>
            </w:r>
          </w:p>
        </w:tc>
        <w:tc>
          <w:tcPr>
            <w:tcW w:w="1174" w:type="pct"/>
            <w:vAlign w:val="center"/>
          </w:tcPr>
          <w:p>
            <w:pPr>
              <w:pStyle w:val="9"/>
              <w:spacing w:line="560" w:lineRule="exact"/>
              <w:jc w:val="center"/>
              <w:rPr>
                <w:rFonts w:hint="default"/>
                <w:szCs w:val="32"/>
                <w:lang w:val="en-US" w:eastAsia="zh-CN"/>
              </w:rPr>
            </w:pPr>
            <w:r>
              <w:rPr>
                <w:rFonts w:hint="eastAsia"/>
                <w:szCs w:val="32"/>
                <w:lang w:val="en-US" w:eastAsia="zh-CN"/>
              </w:rPr>
              <w:t>征收土地面积</w:t>
            </w:r>
          </w:p>
        </w:tc>
        <w:tc>
          <w:tcPr>
            <w:tcW w:w="1174" w:type="pct"/>
            <w:vAlign w:val="center"/>
          </w:tcPr>
          <w:p>
            <w:pPr>
              <w:pStyle w:val="9"/>
              <w:spacing w:line="560" w:lineRule="exact"/>
              <w:jc w:val="center"/>
              <w:rPr>
                <w:rFonts w:hint="default"/>
                <w:szCs w:val="32"/>
                <w:lang w:val="en-US" w:eastAsia="zh-CN"/>
              </w:rPr>
            </w:pPr>
            <w:r>
              <w:rPr>
                <w:rFonts w:hint="eastAsia"/>
                <w:szCs w:val="32"/>
                <w:lang w:val="en-US" w:eastAsia="zh-CN"/>
              </w:rPr>
              <w:t>其中属于被征地单位留用地面积</w:t>
            </w:r>
          </w:p>
        </w:tc>
        <w:tc>
          <w:tcPr>
            <w:tcW w:w="1143" w:type="pct"/>
            <w:vAlign w:val="center"/>
          </w:tcPr>
          <w:p>
            <w:pPr>
              <w:pStyle w:val="9"/>
              <w:spacing w:line="560" w:lineRule="exact"/>
              <w:jc w:val="center"/>
              <w:rPr>
                <w:rFonts w:hint="default"/>
                <w:szCs w:val="32"/>
                <w:lang w:val="en-US" w:eastAsia="zh-CN"/>
              </w:rPr>
            </w:pPr>
            <w:r>
              <w:rPr>
                <w:rFonts w:hint="eastAsia"/>
                <w:szCs w:val="32"/>
                <w:lang w:val="en-US" w:eastAsia="zh-CN"/>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pStyle w:val="9"/>
              <w:spacing w:line="560" w:lineRule="exact"/>
              <w:jc w:val="center"/>
              <w:rPr>
                <w:rFonts w:hint="default"/>
                <w:szCs w:val="32"/>
                <w:lang w:val="en-US" w:eastAsia="zh-CN"/>
              </w:rPr>
            </w:pPr>
            <w:r>
              <w:rPr>
                <w:rFonts w:hint="eastAsia"/>
                <w:szCs w:val="32"/>
                <w:lang w:val="en-US" w:eastAsia="zh-CN"/>
              </w:rPr>
              <w:t>黄阁镇</w:t>
            </w:r>
          </w:p>
        </w:tc>
        <w:tc>
          <w:tcPr>
            <w:tcW w:w="847" w:type="pct"/>
            <w:vAlign w:val="center"/>
          </w:tcPr>
          <w:p>
            <w:pPr>
              <w:pStyle w:val="9"/>
              <w:spacing w:line="560" w:lineRule="exact"/>
              <w:jc w:val="center"/>
              <w:rPr>
                <w:rFonts w:hint="eastAsia"/>
                <w:szCs w:val="32"/>
                <w:lang w:val="en-US" w:eastAsia="zh-CN"/>
              </w:rPr>
            </w:pPr>
            <w:r>
              <w:rPr>
                <w:rFonts w:hint="eastAsia"/>
                <w:szCs w:val="32"/>
                <w:lang w:val="en-US" w:eastAsia="zh-CN"/>
              </w:rPr>
              <w:t>大井经济</w:t>
            </w:r>
          </w:p>
          <w:p>
            <w:pPr>
              <w:pStyle w:val="9"/>
              <w:spacing w:line="560" w:lineRule="exact"/>
              <w:jc w:val="center"/>
              <w:rPr>
                <w:rFonts w:hint="eastAsia"/>
                <w:szCs w:val="32"/>
                <w:lang w:val="en-US" w:eastAsia="zh-CN"/>
              </w:rPr>
            </w:pPr>
            <w:r>
              <w:rPr>
                <w:rFonts w:hint="eastAsia"/>
                <w:szCs w:val="32"/>
                <w:lang w:val="en-US" w:eastAsia="zh-CN"/>
              </w:rPr>
              <w:t>联合社</w:t>
            </w:r>
          </w:p>
        </w:tc>
        <w:tc>
          <w:tcPr>
            <w:tcW w:w="1174" w:type="pct"/>
            <w:vAlign w:val="center"/>
          </w:tcPr>
          <w:p>
            <w:pPr>
              <w:pStyle w:val="9"/>
              <w:spacing w:line="560" w:lineRule="exact"/>
              <w:jc w:val="center"/>
              <w:rPr>
                <w:rFonts w:hint="eastAsia"/>
                <w:szCs w:val="32"/>
                <w:lang w:val="en-US" w:eastAsia="zh-CN"/>
              </w:rPr>
            </w:pPr>
            <w:r>
              <w:rPr>
                <w:rFonts w:hint="eastAsia"/>
                <w:szCs w:val="32"/>
                <w:lang w:val="en-US" w:eastAsia="zh-CN"/>
              </w:rPr>
              <w:t>34.821</w:t>
            </w:r>
          </w:p>
        </w:tc>
        <w:tc>
          <w:tcPr>
            <w:tcW w:w="1174" w:type="pct"/>
            <w:vAlign w:val="center"/>
          </w:tcPr>
          <w:p>
            <w:pPr>
              <w:pStyle w:val="9"/>
              <w:spacing w:line="560" w:lineRule="exact"/>
              <w:jc w:val="center"/>
              <w:rPr>
                <w:rFonts w:hint="default"/>
                <w:szCs w:val="32"/>
                <w:lang w:val="en-US" w:eastAsia="zh-CN"/>
              </w:rPr>
            </w:pPr>
            <w:r>
              <w:rPr>
                <w:rFonts w:hint="eastAsia"/>
                <w:szCs w:val="32"/>
                <w:lang w:val="en-US" w:eastAsia="zh-CN"/>
              </w:rPr>
              <w:t>0</w:t>
            </w:r>
          </w:p>
        </w:tc>
        <w:tc>
          <w:tcPr>
            <w:tcW w:w="1143" w:type="pct"/>
            <w:vAlign w:val="center"/>
          </w:tcPr>
          <w:p>
            <w:pPr>
              <w:pStyle w:val="9"/>
              <w:spacing w:line="560" w:lineRule="exact"/>
              <w:jc w:val="center"/>
              <w:rPr>
                <w:rFonts w:hint="default"/>
                <w:szCs w:val="32"/>
                <w:lang w:val="en-US" w:eastAsia="zh-CN"/>
              </w:rPr>
            </w:pPr>
            <w:r>
              <w:rPr>
                <w:rFonts w:hint="eastAsia"/>
                <w:szCs w:val="32"/>
                <w:lang w:val="en-US" w:eastAsia="zh-CN"/>
              </w:rPr>
              <w:t>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506" w:type="pct"/>
            <w:gridSpan w:val="2"/>
            <w:vAlign w:val="center"/>
          </w:tcPr>
          <w:p>
            <w:pPr>
              <w:pStyle w:val="9"/>
              <w:spacing w:line="560" w:lineRule="exact"/>
              <w:jc w:val="center"/>
              <w:rPr>
                <w:rFonts w:hint="default"/>
                <w:szCs w:val="32"/>
                <w:lang w:val="en-US" w:eastAsia="zh-CN"/>
              </w:rPr>
            </w:pPr>
            <w:r>
              <w:rPr>
                <w:rFonts w:hint="eastAsia"/>
                <w:szCs w:val="32"/>
                <w:lang w:val="en-US" w:eastAsia="zh-CN"/>
              </w:rPr>
              <w:t>合计</w:t>
            </w:r>
          </w:p>
        </w:tc>
        <w:tc>
          <w:tcPr>
            <w:tcW w:w="1174" w:type="pct"/>
            <w:vAlign w:val="center"/>
          </w:tcPr>
          <w:p>
            <w:pPr>
              <w:pStyle w:val="9"/>
              <w:spacing w:line="560" w:lineRule="exact"/>
              <w:jc w:val="center"/>
              <w:rPr>
                <w:rFonts w:hint="eastAsia"/>
                <w:szCs w:val="32"/>
                <w:lang w:val="en-US" w:eastAsia="zh-CN"/>
              </w:rPr>
            </w:pPr>
            <w:r>
              <w:rPr>
                <w:rFonts w:hint="eastAsia"/>
                <w:szCs w:val="32"/>
                <w:lang w:val="en-US" w:eastAsia="zh-CN"/>
              </w:rPr>
              <w:t>34.821</w:t>
            </w:r>
          </w:p>
        </w:tc>
        <w:tc>
          <w:tcPr>
            <w:tcW w:w="1174" w:type="pct"/>
            <w:vAlign w:val="center"/>
          </w:tcPr>
          <w:p>
            <w:pPr>
              <w:pStyle w:val="9"/>
              <w:spacing w:line="560" w:lineRule="exact"/>
              <w:jc w:val="center"/>
              <w:rPr>
                <w:rFonts w:hint="eastAsia" w:ascii="Times New Roman" w:hAnsi="Times New Roman" w:eastAsia="仿宋_GB2312" w:cs="Times New Roman"/>
                <w:kern w:val="2"/>
                <w:sz w:val="32"/>
                <w:szCs w:val="32"/>
                <w:lang w:val="en-US" w:eastAsia="zh-CN" w:bidi="ar-SA"/>
              </w:rPr>
            </w:pPr>
            <w:r>
              <w:rPr>
                <w:rFonts w:hint="eastAsia"/>
                <w:szCs w:val="32"/>
                <w:lang w:val="en-US" w:eastAsia="zh-CN"/>
              </w:rPr>
              <w:t>0</w:t>
            </w:r>
          </w:p>
        </w:tc>
        <w:tc>
          <w:tcPr>
            <w:tcW w:w="1143" w:type="pct"/>
            <w:vAlign w:val="center"/>
          </w:tcPr>
          <w:p>
            <w:pPr>
              <w:pStyle w:val="9"/>
              <w:spacing w:line="560" w:lineRule="exact"/>
              <w:jc w:val="center"/>
              <w:rPr>
                <w:rFonts w:hint="default"/>
                <w:szCs w:val="32"/>
                <w:lang w:val="en-US" w:eastAsia="zh-CN"/>
              </w:rPr>
            </w:pPr>
            <w:r>
              <w:rPr>
                <w:rFonts w:hint="eastAsia"/>
                <w:szCs w:val="32"/>
                <w:lang w:val="en-US" w:eastAsia="zh-CN"/>
              </w:rPr>
              <w:t>100.99</w:t>
            </w:r>
          </w:p>
        </w:tc>
      </w:tr>
    </w:tbl>
    <w:p>
      <w:pPr>
        <w:pStyle w:val="9"/>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备注</w:t>
      </w:r>
      <w:r>
        <w:rPr>
          <w:rFonts w:hint="eastAsia"/>
          <w:sz w:val="24"/>
          <w:szCs w:val="24"/>
          <w:lang w:val="en-US" w:eastAsia="zh-CN"/>
        </w:rPr>
        <w:t>：</w:t>
      </w:r>
      <w:r>
        <w:rPr>
          <w:rFonts w:hint="eastAsia" w:ascii="Times New Roman" w:hAnsi="Times New Roman"/>
          <w:sz w:val="24"/>
          <w:szCs w:val="24"/>
          <w:lang w:val="en-US" w:eastAsia="zh-CN"/>
        </w:rPr>
        <w:t>该项目按2.90万元/亩的标准计提征地社保费，即</w:t>
      </w:r>
      <w:r>
        <w:rPr>
          <w:rFonts w:hint="eastAsia"/>
          <w:sz w:val="24"/>
          <w:szCs w:val="24"/>
          <w:lang w:val="en-US" w:eastAsia="zh-CN"/>
        </w:rPr>
        <w:t>：</w:t>
      </w:r>
      <w:r>
        <w:rPr>
          <w:rFonts w:hint="eastAsia" w:ascii="Times New Roman" w:hAnsi="Times New Roman"/>
          <w:sz w:val="24"/>
          <w:szCs w:val="24"/>
          <w:lang w:val="en-US" w:eastAsia="zh-CN"/>
        </w:rPr>
        <w:t>按征地补偿安置方案制定时，南沙区平均每亩征收农用地区片综合地价26.3万元/亩的11%</w:t>
      </w:r>
      <w:r>
        <w:rPr>
          <w:rFonts w:hint="eastAsia"/>
          <w:sz w:val="24"/>
          <w:szCs w:val="24"/>
          <w:lang w:val="en-US" w:eastAsia="zh-CN"/>
        </w:rPr>
        <w:t>。</w:t>
      </w:r>
      <w:r>
        <w:rPr>
          <w:rFonts w:hint="eastAsia" w:ascii="Times New Roman" w:hAnsi="Times New Roman"/>
          <w:sz w:val="24"/>
          <w:szCs w:val="24"/>
          <w:lang w:val="en-US" w:eastAsia="zh-CN"/>
        </w:rPr>
        <w:t>属于农村集体经济组织留用地的，按规定不计提征地社保费。</w:t>
      </w:r>
    </w:p>
    <w:p>
      <w:pPr>
        <w:spacing w:line="560" w:lineRule="exact"/>
        <w:jc w:val="both"/>
        <w:rPr>
          <w:rFonts w:hint="default" w:ascii="Times New Roman" w:hAnsi="Times New Roman" w:eastAsia="仿宋_GB2312"/>
          <w:sz w:val="32"/>
          <w:szCs w:val="32"/>
          <w:lang w:val="en-US" w:eastAsia="zh-CN"/>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Q0ODM0YWFiZWM5ODNlMGQyNjE4ZTVjMGE3NjgifQ=="/>
  </w:docVars>
  <w:rsids>
    <w:rsidRoot w:val="00834046"/>
    <w:rsid w:val="00196AC6"/>
    <w:rsid w:val="0024213B"/>
    <w:rsid w:val="00674A10"/>
    <w:rsid w:val="00675A67"/>
    <w:rsid w:val="007D116E"/>
    <w:rsid w:val="007D4DFC"/>
    <w:rsid w:val="00834046"/>
    <w:rsid w:val="008E773E"/>
    <w:rsid w:val="00903F89"/>
    <w:rsid w:val="00963C0C"/>
    <w:rsid w:val="009E4500"/>
    <w:rsid w:val="00A92A00"/>
    <w:rsid w:val="00AF15F1"/>
    <w:rsid w:val="00B64848"/>
    <w:rsid w:val="00BB411B"/>
    <w:rsid w:val="00C27F2B"/>
    <w:rsid w:val="00C54D79"/>
    <w:rsid w:val="00C66847"/>
    <w:rsid w:val="00CB0AEA"/>
    <w:rsid w:val="00D75E6A"/>
    <w:rsid w:val="00EB6495"/>
    <w:rsid w:val="00F506D2"/>
    <w:rsid w:val="00F72B80"/>
    <w:rsid w:val="0F7A0D2D"/>
    <w:rsid w:val="18712C49"/>
    <w:rsid w:val="1A310D54"/>
    <w:rsid w:val="1BC31631"/>
    <w:rsid w:val="20450474"/>
    <w:rsid w:val="22BC495C"/>
    <w:rsid w:val="232748D3"/>
    <w:rsid w:val="27667F67"/>
    <w:rsid w:val="35500CD5"/>
    <w:rsid w:val="40D80C33"/>
    <w:rsid w:val="42424FD9"/>
    <w:rsid w:val="424B33C1"/>
    <w:rsid w:val="4FDD1FCE"/>
    <w:rsid w:val="5A1624BB"/>
    <w:rsid w:val="6393501B"/>
    <w:rsid w:val="64BB4963"/>
    <w:rsid w:val="66FE79BE"/>
    <w:rsid w:val="6DCC081D"/>
    <w:rsid w:val="76B2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Company>
  <Pages>4</Pages>
  <Words>1204</Words>
  <Characters>1285</Characters>
  <Lines>2</Lines>
  <Paragraphs>1</Paragraphs>
  <TotalTime>8</TotalTime>
  <ScaleCrop>false</ScaleCrop>
  <LinksUpToDate>false</LinksUpToDate>
  <CharactersWithSpaces>1356</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2020-11-14T03:37:00Z</dcterms:created>
  <dc:creator>余洁儿</dc:creator>
  <cp:lastModifiedBy>NTKO</cp:lastModifiedBy>
  <dcterms:modified xsi:type="dcterms:W3CDTF">2025-04-14T02:22:59Z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042C759ACADC42F08433B76D1AF9ACBC_13</vt:lpwstr>
  </property>
</Properties>
</file>