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F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snapToGrid/>
          <w:color w:val="333333"/>
          <w:sz w:val="32"/>
          <w:szCs w:val="32"/>
          <w:lang w:eastAsia="zh-CN"/>
        </w:rPr>
        <w:t>附件</w:t>
      </w:r>
    </w:p>
    <w:p w14:paraId="290F0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snapToGrid/>
          <w:color w:val="333333"/>
          <w:sz w:val="44"/>
          <w:szCs w:val="44"/>
          <w:lang w:eastAsia="zh-CN"/>
        </w:rPr>
      </w:pPr>
    </w:p>
    <w:p w14:paraId="1F546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snapToGrid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snapToGrid/>
          <w:color w:val="333333"/>
          <w:sz w:val="44"/>
          <w:szCs w:val="44"/>
          <w:lang w:eastAsia="zh-CN"/>
        </w:rPr>
        <w:t>评审具体方法和标准</w:t>
      </w:r>
    </w:p>
    <w:p w14:paraId="2C219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　</w:t>
      </w:r>
    </w:p>
    <w:p w14:paraId="7098C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对所有报价人的报价文件评审，都采用相同的程序和标准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 w14:paraId="01585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首先，由评审小组根据询价文件要求评审报价文件，当对询价文件作出实质性响应的报价人达到两家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或以上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时，评审小组按本评审办法进行评审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;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当对询价文件作出实质响应的供应商只有一家的，且评审商务、技术部分之和达到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0分，推荐该供应商为成交供应商。</w:t>
      </w:r>
    </w:p>
    <w:p w14:paraId="6B68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二、评审小组对通过以上审核的有效报价人进行评审和推荐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。</w:t>
      </w:r>
    </w:p>
    <w:p w14:paraId="0E9E2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　　1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评审小组人数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为3人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组成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，在评分结果统计时，以算术平均计算各有效报价人的最终得分。</w:t>
      </w:r>
    </w:p>
    <w:p w14:paraId="6C43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　　2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报价人总得分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达到70分可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为候选人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总分排名第一的被推荐为成交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得分相同的，按技术部分得分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最高的为成交供应商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。</w:t>
      </w:r>
    </w:p>
    <w:p w14:paraId="33585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三、评分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满分100分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）</w:t>
      </w:r>
    </w:p>
    <w:tbl>
      <w:tblPr>
        <w:tblStyle w:val="9"/>
        <w:tblW w:w="91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274"/>
        <w:gridCol w:w="5910"/>
      </w:tblGrid>
      <w:tr w14:paraId="667E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 w:hRule="exact"/>
          <w:jc w:val="center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7749DEFF">
            <w:pPr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评审因素</w:t>
            </w:r>
          </w:p>
        </w:tc>
        <w:tc>
          <w:tcPr>
            <w:tcW w:w="8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A9A272">
            <w:pPr>
              <w:jc w:val="both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评审标准</w:t>
            </w:r>
          </w:p>
        </w:tc>
      </w:tr>
      <w:tr w14:paraId="4E0B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  <w:jc w:val="center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089FEDDC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分值构成</w:t>
            </w:r>
          </w:p>
        </w:tc>
        <w:tc>
          <w:tcPr>
            <w:tcW w:w="8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F52253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技术部分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eastAsia="zh-CN"/>
              </w:rPr>
              <w:t>分；</w:t>
            </w:r>
          </w:p>
          <w:p w14:paraId="5DF13BE5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商务部分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eastAsia="zh-CN"/>
              </w:rPr>
              <w:t>分；</w:t>
            </w:r>
          </w:p>
          <w:p w14:paraId="46926615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价格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lang w:eastAsia="zh-CN"/>
              </w:rPr>
              <w:t>分。</w:t>
            </w:r>
          </w:p>
        </w:tc>
      </w:tr>
      <w:tr w14:paraId="31EC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  <w:jc w:val="center"/>
        </w:trPr>
        <w:tc>
          <w:tcPr>
            <w:tcW w:w="9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BF06BC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技术部分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79D7D5D1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技术</w:t>
            </w:r>
            <w:r>
              <w:rPr>
                <w:rFonts w:hint="default" w:ascii="Times New Roman" w:hAnsi="Times New Roman" w:cs="Times New Roman"/>
                <w:lang w:eastAsia="en-US"/>
              </w:rPr>
              <w:t>人员 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eastAsia="en-US"/>
              </w:rPr>
              <w:t>5.0分)</w:t>
            </w: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2BB29C5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lang w:eastAsia="zh-CN"/>
              </w:rPr>
              <w:t>项目抽查团队有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以上</w:t>
            </w:r>
            <w:r>
              <w:rPr>
                <w:rFonts w:hint="default" w:ascii="Times New Roman" w:hAnsi="Times New Roman" w:cs="Times New Roman"/>
                <w:lang w:eastAsia="zh-CN"/>
              </w:rPr>
              <w:t>，得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5分；</w:t>
            </w:r>
          </w:p>
          <w:p w14:paraId="75CC6C5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lang w:eastAsia="zh-CN"/>
              </w:rPr>
              <w:t>项目抽查团队有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人，得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分；</w:t>
            </w:r>
          </w:p>
          <w:p w14:paraId="7D8F1E1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lang w:eastAsia="zh-CN"/>
              </w:rPr>
              <w:t>项目抽查团队有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不足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人，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不得分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  <w:tr w14:paraId="61D82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exact"/>
          <w:jc w:val="center"/>
        </w:trPr>
        <w:tc>
          <w:tcPr>
            <w:tcW w:w="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A8A78F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70820C7F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技术人员资质</w:t>
            </w:r>
          </w:p>
          <w:p w14:paraId="0817EA9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（15.0分）</w:t>
            </w:r>
          </w:p>
          <w:p w14:paraId="7E4ED22E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008CC180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1.副高级别或以上职称有5人及以上，得15分；</w:t>
            </w:r>
          </w:p>
          <w:p w14:paraId="4C5129E3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2.副高级别或以上职称有3-5人上，得10分；</w:t>
            </w:r>
          </w:p>
          <w:p w14:paraId="0F084216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3.副高级别或以上职称有1-2人，得5分；</w:t>
            </w:r>
          </w:p>
          <w:p w14:paraId="569FD78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4.无副高级别或以上职称的，不得分。</w:t>
            </w:r>
          </w:p>
        </w:tc>
      </w:tr>
      <w:tr w14:paraId="7756C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exact"/>
          <w:jc w:val="center"/>
        </w:trPr>
        <w:tc>
          <w:tcPr>
            <w:tcW w:w="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5B13A7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52AECEB0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项目服务方案</w:t>
            </w:r>
          </w:p>
          <w:p w14:paraId="3FD9754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(15.0分)</w:t>
            </w: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46204C3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lang w:eastAsia="zh-CN"/>
              </w:rPr>
              <w:t>方案详尽，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人员及各项工作计划安排有针对性</w:t>
            </w:r>
            <w:r>
              <w:rPr>
                <w:rFonts w:hint="default" w:ascii="Times New Roman" w:hAnsi="Times New Roman" w:cs="Times New Roman"/>
                <w:lang w:eastAsia="zh-CN"/>
              </w:rPr>
              <w:t>，得15分；</w:t>
            </w:r>
          </w:p>
          <w:p w14:paraId="41BB1242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lang w:eastAsia="zh-CN"/>
              </w:rPr>
              <w:t>方案较详尽，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人员及各项工作计划安排较有针对性</w:t>
            </w:r>
            <w:r>
              <w:rPr>
                <w:rFonts w:hint="default" w:ascii="Times New Roman" w:hAnsi="Times New Roman" w:cs="Times New Roman"/>
                <w:lang w:eastAsia="zh-CN"/>
              </w:rPr>
              <w:t>，得10分；</w:t>
            </w:r>
          </w:p>
          <w:p w14:paraId="0291661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lang w:eastAsia="zh-CN"/>
              </w:rPr>
              <w:t>方案</w:t>
            </w:r>
            <w:r>
              <w:rPr>
                <w:rFonts w:hint="eastAsia" w:ascii="Times New Roman" w:hAnsi="Times New Roman" w:cs="Times New Roman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lang w:eastAsia="zh-CN"/>
              </w:rPr>
              <w:t>详尽，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人员及各项工作计划安排一般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3424CE0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4.无方案，不得分。</w:t>
            </w:r>
          </w:p>
        </w:tc>
      </w:tr>
      <w:tr w14:paraId="2765D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  <w:jc w:val="center"/>
        </w:trPr>
        <w:tc>
          <w:tcPr>
            <w:tcW w:w="9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48886D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商务部分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784CBA7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lang w:eastAsia="en-US"/>
              </w:rPr>
              <w:t>同类项目经验</w:t>
            </w:r>
          </w:p>
          <w:p w14:paraId="4AF006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en-US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lang w:eastAsia="en-US"/>
              </w:rPr>
              <w:t>分）</w:t>
            </w: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375456B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具有参与政府标准化抽查项目经验，每提供1次项目证明经验得5分，最高得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default"/>
                <w:lang w:eastAsia="zh-CN"/>
              </w:rPr>
              <w:t>5分（需提供组织或参与的通知或者合同，否则不得分）。</w:t>
            </w:r>
            <w:r>
              <w:rPr>
                <w:rFonts w:hint="eastAsia"/>
                <w:lang w:eastAsia="zh-CN"/>
              </w:rPr>
              <w:t>有服务南沙抽查项目经验的，得</w:t>
            </w:r>
            <w:r>
              <w:rPr>
                <w:rFonts w:hint="eastAsia"/>
                <w:lang w:val="en-US" w:eastAsia="zh-CN"/>
              </w:rPr>
              <w:t>5分，否则不得分。</w:t>
            </w:r>
          </w:p>
          <w:p w14:paraId="1F216702">
            <w:pPr>
              <w:pStyle w:val="2"/>
              <w:rPr>
                <w:rFonts w:hint="default"/>
                <w:lang w:eastAsia="zh-CN"/>
              </w:rPr>
            </w:pPr>
          </w:p>
          <w:p w14:paraId="11467B0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0886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2F023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560D1E83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服务</w:t>
            </w:r>
            <w:r>
              <w:rPr>
                <w:rFonts w:hint="eastAsia" w:ascii="Times New Roman" w:hAnsi="Times New Roman" w:cs="Times New Roman"/>
                <w:lang w:eastAsia="zh-CN"/>
              </w:rPr>
              <w:t>资源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.0分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746AEF0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1.对开展的抽查项目指导和改进咨询服务，能够提供公共标识设置技术指导计划方案和整改服务计划的</w:t>
            </w:r>
            <w:r>
              <w:rPr>
                <w:rFonts w:hint="default" w:ascii="Times New Roman" w:hAnsi="Times New Roman" w:cs="Times New Roman"/>
                <w:lang w:eastAsia="zh-CN"/>
              </w:rPr>
              <w:t>，得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分；</w:t>
            </w:r>
          </w:p>
          <w:p w14:paraId="3EC59238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2.对开展的抽查项目指导和改进咨询服务，不能提供公共标识设置技术指导计划方案和整改服务计划的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不得分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。</w:t>
            </w:r>
          </w:p>
        </w:tc>
      </w:tr>
      <w:tr w14:paraId="34E9E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E03250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53968A25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服务响应度（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.0分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37011CA7"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1.提供服务响应承诺，在南沙有工作站和服务人员且能够1小时内响应服务的，得10分；</w:t>
            </w:r>
          </w:p>
          <w:p w14:paraId="2468FC48"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2.提供服务响应承诺，在南沙没有工作站和服务人员，能够1小时内响应服务的，的5分；</w:t>
            </w:r>
          </w:p>
          <w:p w14:paraId="6A5382B3"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3.提供服务响应承诺，不能在1小时内响应服务的，不得分；</w:t>
            </w:r>
          </w:p>
        </w:tc>
      </w:tr>
      <w:tr w14:paraId="2320B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29170AC6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价格部分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0955FC01">
            <w:pPr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价格高低（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lang w:eastAsia="en-US"/>
              </w:rPr>
              <w:t>分）</w:t>
            </w:r>
          </w:p>
        </w:tc>
        <w:tc>
          <w:tcPr>
            <w:tcW w:w="5910" w:type="dxa"/>
            <w:tcBorders>
              <w:tl2br w:val="nil"/>
              <w:tr2bl w:val="nil"/>
            </w:tcBorders>
            <w:noWrap w:val="0"/>
            <w:vAlign w:val="center"/>
          </w:tcPr>
          <w:p w14:paraId="56F0FFB0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投标报价得分＝（评标基准价/投标报价）×价格分值</w:t>
            </w:r>
          </w:p>
          <w:p w14:paraId="0CCC802E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【注：满足招标文件要求且投标价格最低的投标报价为评标基准价。】</w:t>
            </w:r>
          </w:p>
        </w:tc>
      </w:tr>
    </w:tbl>
    <w:p w14:paraId="0EBC3229">
      <w:pPr>
        <w:pStyle w:val="10"/>
        <w:ind w:firstLine="640"/>
        <w:rPr>
          <w:rFonts w:hint="default" w:ascii="Times New Roman" w:hAnsi="Times New Roman" w:cs="Times New Roman"/>
          <w:lang w:eastAsia="zh-CN"/>
        </w:rPr>
      </w:pPr>
    </w:p>
    <w:p w14:paraId="4208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333333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注：报价人提供证明材料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应与评分表的评审标准要求一一对应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并标注，未按要求提供证明材料的，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该项能力因素不得分。</w:t>
      </w:r>
    </w:p>
    <w:p w14:paraId="50E194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F7768"/>
    <w:rsid w:val="312942A1"/>
    <w:rsid w:val="68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iPriority w:val="0"/>
    <w:pPr>
      <w:keepNext/>
      <w:keepLines/>
      <w:tabs>
        <w:tab w:val="left" w:pos="960"/>
        <w:tab w:val="left" w:pos="1582"/>
      </w:tabs>
      <w:spacing w:before="260" w:beforeLines="0" w:after="700" w:afterLines="0" w:line="415" w:lineRule="auto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link w:val="8"/>
    <w:qFormat/>
    <w:uiPriority w:val="0"/>
    <w:pPr>
      <w:widowControl/>
      <w:shd w:val="clear" w:color="auto" w:fill="FFFFFF"/>
      <w:spacing w:line="555" w:lineRule="atLeast"/>
      <w:ind w:firstLine="640"/>
    </w:pPr>
    <w:rPr>
      <w:rFonts w:ascii="方正仿宋_GBK" w:hAnsi="方正仿宋_GBK" w:eastAsia="方正仿宋_GBK" w:cs="微软雅黑"/>
      <w:caps/>
      <w:color w:val="000000"/>
      <w:kern w:val="0"/>
      <w:szCs w:val="32"/>
      <w:shd w:val="clear" w:color="auto" w:fill="FFFFFF"/>
    </w:rPr>
  </w:style>
  <w:style w:type="paragraph" w:customStyle="1" w:styleId="6">
    <w:name w:val="样式4"/>
    <w:basedOn w:val="3"/>
    <w:link w:val="7"/>
    <w:qFormat/>
    <w:uiPriority w:val="0"/>
    <w:rPr>
      <w:rFonts w:ascii="仿宋" w:hAnsi="仿宋" w:eastAsia="仿宋_GB2312" w:cs="方正仿宋_GBK"/>
      <w:color w:val="000000"/>
      <w:kern w:val="0"/>
      <w:sz w:val="32"/>
      <w:szCs w:val="32"/>
      <w:shd w:val="clear" w:color="auto" w:fill="FFFFFF"/>
    </w:rPr>
  </w:style>
  <w:style w:type="character" w:customStyle="1" w:styleId="7">
    <w:name w:val="样式4 字符"/>
    <w:basedOn w:val="8"/>
    <w:link w:val="6"/>
    <w:qFormat/>
    <w:uiPriority w:val="0"/>
    <w:rPr>
      <w:rFonts w:ascii="仿宋" w:hAnsi="仿宋" w:eastAsia="仿宋_GB2312" w:cs="方正仿宋_GBK"/>
      <w:color w:val="000000"/>
      <w:kern w:val="0"/>
      <w:sz w:val="32"/>
      <w:szCs w:val="32"/>
      <w:shd w:val="clear" w:color="auto" w:fill="FFFFFF"/>
    </w:rPr>
  </w:style>
  <w:style w:type="character" w:customStyle="1" w:styleId="8">
    <w:name w:val="普通(网站) 字符"/>
    <w:basedOn w:val="5"/>
    <w:link w:val="3"/>
    <w:qFormat/>
    <w:uiPriority w:val="0"/>
    <w:rPr>
      <w:rFonts w:ascii="方正仿宋_GBK" w:hAnsi="方正仿宋_GBK" w:eastAsia="方正仿宋_GBK" w:cs="微软雅黑"/>
      <w:caps/>
      <w:color w:val="000000"/>
      <w:sz w:val="32"/>
      <w:szCs w:val="32"/>
      <w:shd w:val="clear" w:color="auto" w:fill="FFFFFF"/>
    </w:rPr>
  </w:style>
  <w:style w:type="table" w:customStyle="1" w:styleId="9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2025-04-11T01:53:00Z</dcterms:created>
  <dc:creator>Administrator</dc:creator>
  <cp:lastModifiedBy>Administrator</cp:lastModifiedBy>
  <dcterms:modified xsi:type="dcterms:W3CDTF">2025-04-11T01:54:07Z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6AD212D9CD224C79A34A2A50EFA53942_11</vt:lpwstr>
  </property>
</Properties>
</file>