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9BCB">
      <w:pPr>
        <w:ind w:firstLine="0" w:firstLineChars="0"/>
        <w:jc w:val="center"/>
        <w:rPr>
          <w:rFonts w:ascii="黑体" w:hAnsi="黑体" w:eastAsia="黑体"/>
          <w:b/>
          <w:bCs/>
          <w:color w:val="000000" w:themeColor="text1"/>
          <w:sz w:val="48"/>
          <w:szCs w:val="36"/>
          <w14:textFill>
            <w14:solidFill>
              <w14:schemeClr w14:val="tx1"/>
            </w14:solidFill>
          </w14:textFill>
        </w:rPr>
      </w:pPr>
      <w:bookmarkStart w:id="0" w:name="_Hlk78549148"/>
      <w:r>
        <w:rPr>
          <w:rFonts w:hint="eastAsia" w:ascii="黑体" w:hAnsi="黑体" w:eastAsia="黑体"/>
          <w:b/>
          <w:bCs/>
          <w:color w:val="000000" w:themeColor="text1"/>
          <w:sz w:val="48"/>
          <w:szCs w:val="36"/>
          <w14:textFill>
            <w14:solidFill>
              <w14:schemeClr w14:val="tx1"/>
            </w14:solidFill>
          </w14:textFill>
        </w:rPr>
        <w:t>广州市南沙区202</w:t>
      </w:r>
      <w:r>
        <w:rPr>
          <w:rFonts w:ascii="黑体" w:hAnsi="黑体" w:eastAsia="黑体"/>
          <w:b/>
          <w:bCs/>
          <w:color w:val="000000" w:themeColor="text1"/>
          <w:sz w:val="48"/>
          <w:szCs w:val="36"/>
          <w14:textFill>
            <w14:solidFill>
              <w14:schemeClr w14:val="tx1"/>
            </w14:solidFill>
          </w14:textFill>
        </w:rPr>
        <w:t>5</w:t>
      </w:r>
      <w:r>
        <w:rPr>
          <w:rFonts w:hint="eastAsia" w:ascii="黑体" w:hAnsi="黑体" w:eastAsia="黑体"/>
          <w:b/>
          <w:bCs/>
          <w:color w:val="000000" w:themeColor="text1"/>
          <w:sz w:val="48"/>
          <w:szCs w:val="36"/>
          <w14:textFill>
            <w14:solidFill>
              <w14:schemeClr w14:val="tx1"/>
            </w14:solidFill>
          </w14:textFill>
        </w:rPr>
        <w:t>年度土地征收</w:t>
      </w:r>
    </w:p>
    <w:p w14:paraId="6BA728C6">
      <w:pPr>
        <w:ind w:firstLine="0" w:firstLineChars="0"/>
        <w:jc w:val="center"/>
        <w:rPr>
          <w:rFonts w:ascii="黑体" w:hAnsi="黑体" w:eastAsia="黑体"/>
          <w:b/>
          <w:bCs/>
          <w:color w:val="000000" w:themeColor="text1"/>
          <w:sz w:val="48"/>
          <w:szCs w:val="36"/>
          <w14:textFill>
            <w14:solidFill>
              <w14:schemeClr w14:val="tx1"/>
            </w14:solidFill>
          </w14:textFill>
        </w:rPr>
      </w:pPr>
      <w:r>
        <w:rPr>
          <w:rFonts w:hint="eastAsia" w:ascii="黑体" w:hAnsi="黑体" w:eastAsia="黑体"/>
          <w:b/>
          <w:bCs/>
          <w:color w:val="000000" w:themeColor="text1"/>
          <w:sz w:val="48"/>
          <w:szCs w:val="36"/>
          <w14:textFill>
            <w14:solidFill>
              <w14:schemeClr w14:val="tx1"/>
            </w14:solidFill>
          </w14:textFill>
        </w:rPr>
        <w:t>成片开发方案（第一批）</w:t>
      </w:r>
    </w:p>
    <w:p w14:paraId="7EA17689">
      <w:pPr>
        <w:ind w:firstLine="0" w:firstLineChars="0"/>
        <w:jc w:val="center"/>
        <w:rPr>
          <w:rFonts w:ascii="黑体" w:hAnsi="黑体" w:eastAsia="黑体"/>
          <w:color w:val="000000" w:themeColor="text1"/>
          <w:sz w:val="32"/>
          <w:szCs w:val="22"/>
          <w14:textFill>
            <w14:solidFill>
              <w14:schemeClr w14:val="tx1"/>
            </w14:solidFill>
          </w14:textFill>
        </w:rPr>
      </w:pPr>
      <w:r>
        <w:rPr>
          <w:rFonts w:hint="eastAsia" w:ascii="黑体" w:hAnsi="黑体" w:eastAsia="黑体"/>
          <w:color w:val="000000" w:themeColor="text1"/>
          <w:sz w:val="32"/>
          <w:szCs w:val="22"/>
          <w14:textFill>
            <w14:solidFill>
              <w14:schemeClr w14:val="tx1"/>
            </w14:solidFill>
          </w14:textFill>
        </w:rPr>
        <w:t>（公示草案）</w:t>
      </w:r>
      <w:bookmarkEnd w:id="0"/>
    </w:p>
    <w:p w14:paraId="134D7124">
      <w:pPr>
        <w:pStyle w:val="3"/>
        <w:rPr>
          <w:color w:val="000000" w:themeColor="text1"/>
          <w14:textFill>
            <w14:solidFill>
              <w14:schemeClr w14:val="tx1"/>
            </w14:solidFill>
          </w14:textFill>
        </w:rPr>
      </w:pPr>
      <w:bookmarkStart w:id="1" w:name="_Toc64714019"/>
      <w:bookmarkStart w:id="2" w:name="_Toc83282763"/>
      <w:r>
        <w:rPr>
          <w:rFonts w:hint="eastAsia"/>
          <w:color w:val="000000" w:themeColor="text1"/>
          <w14:textFill>
            <w14:solidFill>
              <w14:schemeClr w14:val="tx1"/>
            </w14:solidFill>
          </w14:textFill>
        </w:rPr>
        <w:t>一、编制背景</w:t>
      </w:r>
      <w:bookmarkEnd w:id="1"/>
      <w:bookmarkEnd w:id="2"/>
    </w:p>
    <w:p w14:paraId="40C8F8CC">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根据《中华人民共和国土地管理法》（2</w:t>
      </w:r>
      <w:r>
        <w:rPr>
          <w:color w:val="000000" w:themeColor="text1"/>
          <w14:textFill>
            <w14:solidFill>
              <w14:schemeClr w14:val="tx1"/>
            </w14:solidFill>
          </w14:textFill>
        </w:rPr>
        <w:t>019</w:t>
      </w:r>
      <w:r>
        <w:rPr>
          <w:rFonts w:hint="eastAsia"/>
          <w:color w:val="000000" w:themeColor="text1"/>
          <w14:textFill>
            <w14:solidFill>
              <w14:schemeClr w14:val="tx1"/>
            </w14:solidFill>
          </w14:textFill>
        </w:rPr>
        <w:t>年修正）、《自然资源部关于印发&lt;土地征收成片开发标准&gt;的通知》（自然资规〔2023〕7号）、《广东省自然资源厅关于进一步规范土地征收成片开发工作的通知》（粤自然资规字〔2024〕7号）等文件要求，编制《广州市南沙区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年度土地征收成片开发方案（第一批）》（以下简称“《方案》”）。</w:t>
      </w:r>
      <w:bookmarkStart w:id="3" w:name="_Toc64714020"/>
    </w:p>
    <w:bookmarkEnd w:id="3"/>
    <w:p w14:paraId="4219F009">
      <w:pPr>
        <w:pStyle w:val="3"/>
        <w:rPr>
          <w:color w:val="000000" w:themeColor="text1"/>
          <w14:textFill>
            <w14:solidFill>
              <w14:schemeClr w14:val="tx1"/>
            </w14:solidFill>
          </w14:textFill>
        </w:rPr>
      </w:pPr>
      <w:bookmarkStart w:id="4" w:name="_Toc83282768"/>
      <w:r>
        <w:rPr>
          <w:rFonts w:hint="eastAsia"/>
          <w:color w:val="000000" w:themeColor="text1"/>
          <w14:textFill>
            <w14:solidFill>
              <w14:schemeClr w14:val="tx1"/>
            </w14:solidFill>
          </w14:textFill>
        </w:rPr>
        <w:t>二、成片开发概况</w:t>
      </w:r>
      <w:bookmarkEnd w:id="4"/>
    </w:p>
    <w:p w14:paraId="0E7B3C05">
      <w:pPr>
        <w:rPr>
          <w:color w:val="000000" w:themeColor="text1"/>
          <w14:textFill>
            <w14:solidFill>
              <w14:schemeClr w14:val="tx1"/>
            </w14:solidFill>
          </w14:textFill>
        </w:rPr>
      </w:pPr>
      <w:r>
        <w:rPr>
          <w:rFonts w:hint="eastAsia"/>
          <w:color w:val="000000" w:themeColor="text1"/>
          <w14:textFill>
            <w14:solidFill>
              <w14:schemeClr w14:val="tx1"/>
            </w14:solidFill>
          </w14:textFill>
        </w:rPr>
        <w:t>《方案》成片开发范围为南沙区行政辖区内拟进行成片开发的区域。根据南沙区202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年度土地征收工作安排及拟开发项目连片程度，划定本次成片开发区域共</w:t>
      </w:r>
      <w:r>
        <w:rPr>
          <w:color w:val="000000" w:themeColor="text1"/>
          <w14:textFill>
            <w14:solidFill>
              <w14:schemeClr w14:val="tx1"/>
            </w14:solidFill>
          </w14:textFill>
        </w:rPr>
        <w:t>45.5389</w:t>
      </w:r>
      <w:r>
        <w:rPr>
          <w:rFonts w:hint="eastAsia"/>
          <w:color w:val="000000" w:themeColor="text1"/>
          <w14:textFill>
            <w14:solidFill>
              <w14:schemeClr w14:val="tx1"/>
            </w14:solidFill>
          </w14:textFill>
        </w:rPr>
        <w:t>公顷，涉及</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个成片开发片区。各片区详细信息见表1，位置示意图见附图。</w:t>
      </w:r>
    </w:p>
    <w:p w14:paraId="06A0069F">
      <w:pPr>
        <w:pStyle w:val="27"/>
        <w:rPr>
          <w:color w:val="000000" w:themeColor="text1"/>
          <w14:textFill>
            <w14:solidFill>
              <w14:schemeClr w14:val="tx1"/>
            </w14:solidFill>
          </w14:textFill>
        </w:rPr>
      </w:pPr>
    </w:p>
    <w:p w14:paraId="58B36AB3">
      <w:pPr>
        <w:pStyle w:val="27"/>
        <w:rPr>
          <w:color w:val="000000" w:themeColor="text1"/>
          <w14:textFill>
            <w14:solidFill>
              <w14:schemeClr w14:val="tx1"/>
            </w14:solidFill>
          </w14:textFill>
        </w:rPr>
      </w:pPr>
    </w:p>
    <w:p w14:paraId="25B525DD">
      <w:pPr>
        <w:pStyle w:val="27"/>
        <w:rPr>
          <w:color w:val="000000" w:themeColor="text1"/>
          <w14:textFill>
            <w14:solidFill>
              <w14:schemeClr w14:val="tx1"/>
            </w14:solidFill>
          </w14:textFill>
        </w:rPr>
      </w:pPr>
    </w:p>
    <w:p w14:paraId="06E0CCA4">
      <w:pPr>
        <w:pStyle w:val="27"/>
        <w:rPr>
          <w:color w:val="000000" w:themeColor="text1"/>
          <w14:textFill>
            <w14:solidFill>
              <w14:schemeClr w14:val="tx1"/>
            </w14:solidFill>
          </w14:textFill>
        </w:rPr>
      </w:pPr>
    </w:p>
    <w:p w14:paraId="5DA7ABD1">
      <w:pPr>
        <w:pStyle w:val="27"/>
        <w:rPr>
          <w:color w:val="000000" w:themeColor="text1"/>
          <w14:textFill>
            <w14:solidFill>
              <w14:schemeClr w14:val="tx1"/>
            </w14:solidFill>
          </w14:textFill>
        </w:rPr>
      </w:pPr>
      <w:r>
        <w:rPr>
          <w:color w:val="000000" w:themeColor="text1"/>
          <w14:textFill>
            <w14:solidFill>
              <w14:schemeClr w14:val="tx1"/>
            </w14:solidFill>
          </w14:textFill>
        </w:rPr>
        <w:t>表1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成片开发片区详细信息一览表</w:t>
      </w:r>
    </w:p>
    <w:p w14:paraId="75819400">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t>单位：公顷、%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918"/>
        <w:gridCol w:w="1499"/>
        <w:gridCol w:w="1020"/>
        <w:gridCol w:w="1165"/>
        <w:gridCol w:w="1165"/>
        <w:gridCol w:w="1354"/>
        <w:gridCol w:w="918"/>
      </w:tblGrid>
      <w:tr w14:paraId="527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287" w:type="pct"/>
            <w:vMerge w:val="restart"/>
            <w:shd w:val="clear" w:color="auto" w:fill="auto"/>
            <w:vAlign w:val="center"/>
          </w:tcPr>
          <w:p w14:paraId="611A2E86">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序号</w:t>
            </w:r>
          </w:p>
        </w:tc>
        <w:tc>
          <w:tcPr>
            <w:tcW w:w="538" w:type="pct"/>
            <w:vMerge w:val="restart"/>
            <w:shd w:val="clear" w:color="auto" w:fill="auto"/>
            <w:vAlign w:val="center"/>
          </w:tcPr>
          <w:p w14:paraId="4477C82F">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片区名称</w:t>
            </w:r>
          </w:p>
        </w:tc>
        <w:tc>
          <w:tcPr>
            <w:tcW w:w="879" w:type="pct"/>
            <w:vMerge w:val="restart"/>
            <w:shd w:val="clear" w:color="auto" w:fill="auto"/>
            <w:vAlign w:val="center"/>
          </w:tcPr>
          <w:p w14:paraId="4247966E">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片区位置</w:t>
            </w:r>
          </w:p>
        </w:tc>
        <w:tc>
          <w:tcPr>
            <w:tcW w:w="598" w:type="pct"/>
            <w:vMerge w:val="restart"/>
            <w:shd w:val="clear" w:color="auto" w:fill="auto"/>
            <w:vAlign w:val="center"/>
          </w:tcPr>
          <w:p w14:paraId="4F62CE41">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片区面积</w:t>
            </w:r>
          </w:p>
        </w:tc>
        <w:tc>
          <w:tcPr>
            <w:tcW w:w="683" w:type="pct"/>
            <w:vMerge w:val="restart"/>
            <w:vAlign w:val="center"/>
          </w:tcPr>
          <w:p w14:paraId="1C8F7AB8">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拟安排的建设项目名称</w:t>
            </w:r>
          </w:p>
        </w:tc>
        <w:tc>
          <w:tcPr>
            <w:tcW w:w="2015" w:type="pct"/>
            <w:gridSpan w:val="3"/>
            <w:vAlign w:val="center"/>
          </w:tcPr>
          <w:p w14:paraId="476395EC">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拟安排的建设项目</w:t>
            </w:r>
          </w:p>
        </w:tc>
      </w:tr>
      <w:tr w14:paraId="5657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287" w:type="pct"/>
            <w:vMerge w:val="continue"/>
            <w:shd w:val="clear" w:color="auto" w:fill="auto"/>
            <w:vAlign w:val="center"/>
          </w:tcPr>
          <w:p w14:paraId="60DC72C1">
            <w:pPr>
              <w:pStyle w:val="42"/>
              <w:ind w:firstLine="602"/>
              <w:rPr>
                <w:b/>
                <w:color w:val="000000" w:themeColor="text1"/>
                <w:lang w:bidi="ar"/>
                <w14:textFill>
                  <w14:solidFill>
                    <w14:schemeClr w14:val="tx1"/>
                  </w14:solidFill>
                </w14:textFill>
              </w:rPr>
            </w:pPr>
          </w:p>
        </w:tc>
        <w:tc>
          <w:tcPr>
            <w:tcW w:w="538" w:type="pct"/>
            <w:vMerge w:val="continue"/>
            <w:shd w:val="clear" w:color="auto" w:fill="auto"/>
            <w:vAlign w:val="center"/>
          </w:tcPr>
          <w:p w14:paraId="042B3EB8">
            <w:pPr>
              <w:pStyle w:val="42"/>
              <w:ind w:firstLine="602"/>
              <w:rPr>
                <w:b/>
                <w:color w:val="000000" w:themeColor="text1"/>
                <w:lang w:bidi="ar"/>
                <w14:textFill>
                  <w14:solidFill>
                    <w14:schemeClr w14:val="tx1"/>
                  </w14:solidFill>
                </w14:textFill>
              </w:rPr>
            </w:pPr>
          </w:p>
        </w:tc>
        <w:tc>
          <w:tcPr>
            <w:tcW w:w="879" w:type="pct"/>
            <w:vMerge w:val="continue"/>
            <w:shd w:val="clear" w:color="auto" w:fill="auto"/>
            <w:vAlign w:val="center"/>
          </w:tcPr>
          <w:p w14:paraId="0A11BBD7">
            <w:pPr>
              <w:pStyle w:val="42"/>
              <w:ind w:firstLine="602"/>
              <w:rPr>
                <w:b/>
                <w:color w:val="000000" w:themeColor="text1"/>
                <w:lang w:bidi="ar"/>
                <w14:textFill>
                  <w14:solidFill>
                    <w14:schemeClr w14:val="tx1"/>
                  </w14:solidFill>
                </w14:textFill>
              </w:rPr>
            </w:pPr>
          </w:p>
        </w:tc>
        <w:tc>
          <w:tcPr>
            <w:tcW w:w="598" w:type="pct"/>
            <w:vMerge w:val="continue"/>
            <w:shd w:val="clear" w:color="auto" w:fill="auto"/>
            <w:vAlign w:val="center"/>
          </w:tcPr>
          <w:p w14:paraId="655FD3E9">
            <w:pPr>
              <w:pStyle w:val="42"/>
              <w:ind w:firstLine="602"/>
              <w:rPr>
                <w:b/>
                <w:color w:val="000000" w:themeColor="text1"/>
                <w:lang w:bidi="ar"/>
                <w14:textFill>
                  <w14:solidFill>
                    <w14:schemeClr w14:val="tx1"/>
                  </w14:solidFill>
                </w14:textFill>
              </w:rPr>
            </w:pPr>
          </w:p>
        </w:tc>
        <w:tc>
          <w:tcPr>
            <w:tcW w:w="683" w:type="pct"/>
            <w:vMerge w:val="continue"/>
            <w:vAlign w:val="center"/>
          </w:tcPr>
          <w:p w14:paraId="28518350">
            <w:pPr>
              <w:pStyle w:val="42"/>
              <w:ind w:firstLine="602"/>
              <w:rPr>
                <w:b/>
                <w:color w:val="000000" w:themeColor="text1"/>
                <w:lang w:bidi="ar"/>
                <w14:textFill>
                  <w14:solidFill>
                    <w14:schemeClr w14:val="tx1"/>
                  </w14:solidFill>
                </w14:textFill>
              </w:rPr>
            </w:pPr>
          </w:p>
        </w:tc>
        <w:tc>
          <w:tcPr>
            <w:tcW w:w="683" w:type="pct"/>
            <w:vAlign w:val="center"/>
          </w:tcPr>
          <w:p w14:paraId="5A275C98">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项目面积</w:t>
            </w:r>
          </w:p>
        </w:tc>
        <w:tc>
          <w:tcPr>
            <w:tcW w:w="794" w:type="pct"/>
            <w:vAlign w:val="center"/>
          </w:tcPr>
          <w:p w14:paraId="33180677">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基础设施条件</w:t>
            </w:r>
          </w:p>
        </w:tc>
        <w:tc>
          <w:tcPr>
            <w:tcW w:w="538" w:type="pct"/>
            <w:shd w:val="clear" w:color="auto" w:fill="auto"/>
            <w:vAlign w:val="center"/>
          </w:tcPr>
          <w:p w14:paraId="3BBCD581">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占成片开发范围面积的比例</w:t>
            </w:r>
          </w:p>
        </w:tc>
      </w:tr>
      <w:tr w14:paraId="4774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87" w:type="pct"/>
            <w:shd w:val="clear" w:color="auto" w:fill="auto"/>
            <w:vAlign w:val="center"/>
          </w:tcPr>
          <w:p w14:paraId="74FAA30C">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w:t>
            </w:r>
          </w:p>
        </w:tc>
        <w:tc>
          <w:tcPr>
            <w:tcW w:w="538" w:type="pct"/>
            <w:shd w:val="clear" w:color="auto" w:fill="auto"/>
            <w:vAlign w:val="center"/>
          </w:tcPr>
          <w:p w14:paraId="4E4DF879">
            <w:pPr>
              <w:pStyle w:val="42"/>
              <w:rPr>
                <w:color w:val="000000" w:themeColor="text1"/>
                <w:lang w:bidi="ar"/>
                <w14:textFill>
                  <w14:solidFill>
                    <w14:schemeClr w14:val="tx1"/>
                  </w14:solidFill>
                </w14:textFill>
              </w:rPr>
            </w:pPr>
            <w:r>
              <w:rPr>
                <w:rFonts w:hint="eastAsia"/>
                <w:color w:val="000000" w:themeColor="text1"/>
                <w14:textFill>
                  <w14:solidFill>
                    <w14:schemeClr w14:val="tx1"/>
                  </w14:solidFill>
                </w14:textFill>
              </w:rPr>
              <w:t>大岗镇东流村城中村改造片区</w:t>
            </w:r>
          </w:p>
        </w:tc>
        <w:tc>
          <w:tcPr>
            <w:tcW w:w="879" w:type="pct"/>
            <w:shd w:val="clear" w:color="auto" w:fill="auto"/>
            <w:vAlign w:val="center"/>
          </w:tcPr>
          <w:p w14:paraId="20421034">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大岗镇东流村，大岗沥南侧，邻近繁荣路、豪岗大道</w:t>
            </w:r>
          </w:p>
        </w:tc>
        <w:tc>
          <w:tcPr>
            <w:tcW w:w="598" w:type="pct"/>
            <w:shd w:val="clear" w:color="auto" w:fill="auto"/>
            <w:vAlign w:val="center"/>
          </w:tcPr>
          <w:p w14:paraId="217450FE">
            <w:pPr>
              <w:pStyle w:val="42"/>
              <w:rPr>
                <w:color w:val="000000" w:themeColor="text1"/>
                <w:lang w:bidi="ar"/>
                <w14:textFill>
                  <w14:solidFill>
                    <w14:schemeClr w14:val="tx1"/>
                  </w14:solidFill>
                </w14:textFill>
              </w:rPr>
            </w:pPr>
            <w:r>
              <w:rPr>
                <w:color w:val="000000" w:themeColor="text1"/>
                <w14:textFill>
                  <w14:solidFill>
                    <w14:schemeClr w14:val="tx1"/>
                  </w14:solidFill>
                </w14:textFill>
              </w:rPr>
              <w:t>18.4924</w:t>
            </w:r>
          </w:p>
        </w:tc>
        <w:tc>
          <w:tcPr>
            <w:tcW w:w="683" w:type="pct"/>
            <w:vAlign w:val="center"/>
          </w:tcPr>
          <w:p w14:paraId="0653D94C">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大岗镇东流村城中村改造项目</w:t>
            </w:r>
          </w:p>
        </w:tc>
        <w:tc>
          <w:tcPr>
            <w:tcW w:w="683" w:type="pct"/>
            <w:vAlign w:val="center"/>
          </w:tcPr>
          <w:p w14:paraId="59C3F4DA">
            <w:pPr>
              <w:pStyle w:val="42"/>
              <w:rPr>
                <w:color w:val="000000" w:themeColor="text1"/>
                <w:lang w:bidi="ar"/>
                <w14:textFill>
                  <w14:solidFill>
                    <w14:schemeClr w14:val="tx1"/>
                  </w14:solidFill>
                </w14:textFill>
              </w:rPr>
            </w:pPr>
            <w:r>
              <w:rPr>
                <w:color w:val="000000" w:themeColor="text1"/>
                <w14:textFill>
                  <w14:solidFill>
                    <w14:schemeClr w14:val="tx1"/>
                  </w14:solidFill>
                </w14:textFill>
              </w:rPr>
              <w:t>13.7508</w:t>
            </w:r>
          </w:p>
        </w:tc>
        <w:tc>
          <w:tcPr>
            <w:tcW w:w="794" w:type="pct"/>
            <w:vAlign w:val="center"/>
          </w:tcPr>
          <w:p w14:paraId="4D952A88">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交通便利，周边配套设施较完善</w:t>
            </w:r>
          </w:p>
        </w:tc>
        <w:tc>
          <w:tcPr>
            <w:tcW w:w="538" w:type="pct"/>
            <w:shd w:val="clear" w:color="auto" w:fill="auto"/>
            <w:vAlign w:val="center"/>
          </w:tcPr>
          <w:p w14:paraId="6E8D8D5A">
            <w:pPr>
              <w:pStyle w:val="42"/>
              <w:rPr>
                <w:color w:val="000000" w:themeColor="text1"/>
                <w:lang w:bidi="ar"/>
                <w14:textFill>
                  <w14:solidFill>
                    <w14:schemeClr w14:val="tx1"/>
                  </w14:solidFill>
                </w14:textFill>
              </w:rPr>
            </w:pPr>
            <w:r>
              <w:rPr>
                <w:color w:val="000000" w:themeColor="text1"/>
                <w14:textFill>
                  <w14:solidFill>
                    <w14:schemeClr w14:val="tx1"/>
                  </w14:solidFill>
                </w14:textFill>
              </w:rPr>
              <w:t>74.36</w:t>
            </w:r>
          </w:p>
        </w:tc>
      </w:tr>
      <w:tr w14:paraId="4A01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87" w:type="pct"/>
            <w:shd w:val="clear" w:color="auto" w:fill="auto"/>
            <w:vAlign w:val="center"/>
          </w:tcPr>
          <w:p w14:paraId="345704F0">
            <w:pPr>
              <w:pStyle w:val="42"/>
              <w:rPr>
                <w:color w:val="000000" w:themeColor="text1"/>
                <w:lang w:bidi="ar"/>
                <w14:textFill>
                  <w14:solidFill>
                    <w14:schemeClr w14:val="tx1"/>
                  </w14:solidFill>
                </w14:textFill>
              </w:rPr>
            </w:pPr>
            <w:r>
              <w:rPr>
                <w:color w:val="000000" w:themeColor="text1"/>
                <w:lang w:bidi="ar"/>
                <w14:textFill>
                  <w14:solidFill>
                    <w14:schemeClr w14:val="tx1"/>
                  </w14:solidFill>
                </w14:textFill>
              </w:rPr>
              <w:t>2</w:t>
            </w:r>
          </w:p>
        </w:tc>
        <w:tc>
          <w:tcPr>
            <w:tcW w:w="538" w:type="pct"/>
            <w:shd w:val="clear" w:color="auto" w:fill="auto"/>
            <w:vAlign w:val="center"/>
          </w:tcPr>
          <w:p w14:paraId="09653C6A">
            <w:pPr>
              <w:pStyle w:val="42"/>
              <w:rPr>
                <w:color w:val="000000" w:themeColor="text1"/>
                <w:lang w:bidi="ar"/>
                <w14:textFill>
                  <w14:solidFill>
                    <w14:schemeClr w14:val="tx1"/>
                  </w14:solidFill>
                </w14:textFill>
              </w:rPr>
            </w:pPr>
            <w:r>
              <w:rPr>
                <w:rFonts w:hint="eastAsia"/>
                <w:color w:val="000000" w:themeColor="text1"/>
                <w14:textFill>
                  <w14:solidFill>
                    <w14:schemeClr w14:val="tx1"/>
                  </w14:solidFill>
                </w14:textFill>
              </w:rPr>
              <w:t>小虎新海留用地片区</w:t>
            </w:r>
          </w:p>
        </w:tc>
        <w:tc>
          <w:tcPr>
            <w:tcW w:w="879" w:type="pct"/>
            <w:shd w:val="clear" w:color="auto" w:fill="auto"/>
            <w:vAlign w:val="center"/>
          </w:tcPr>
          <w:p w14:paraId="0BCB5E17">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黄阁镇留东村、新海村，黄榄快速北侧，小虎沥西侧</w:t>
            </w:r>
          </w:p>
        </w:tc>
        <w:tc>
          <w:tcPr>
            <w:tcW w:w="598" w:type="pct"/>
            <w:shd w:val="clear" w:color="auto" w:fill="auto"/>
            <w:vAlign w:val="center"/>
          </w:tcPr>
          <w:p w14:paraId="13E558F2">
            <w:pPr>
              <w:pStyle w:val="42"/>
              <w:rPr>
                <w:color w:val="000000" w:themeColor="text1"/>
                <w:lang w:bidi="ar"/>
                <w14:textFill>
                  <w14:solidFill>
                    <w14:schemeClr w14:val="tx1"/>
                  </w14:solidFill>
                </w14:textFill>
              </w:rPr>
            </w:pPr>
            <w:r>
              <w:rPr>
                <w:color w:val="000000" w:themeColor="text1"/>
                <w14:textFill>
                  <w14:solidFill>
                    <w14:schemeClr w14:val="tx1"/>
                  </w14:solidFill>
                </w14:textFill>
              </w:rPr>
              <w:t>27.0465</w:t>
            </w:r>
          </w:p>
        </w:tc>
        <w:tc>
          <w:tcPr>
            <w:tcW w:w="683" w:type="pct"/>
            <w:vAlign w:val="center"/>
          </w:tcPr>
          <w:p w14:paraId="6092056B">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黄阁镇小虎村留用地开发项目、黄阁镇新海村留用地开发项目</w:t>
            </w:r>
          </w:p>
        </w:tc>
        <w:tc>
          <w:tcPr>
            <w:tcW w:w="683" w:type="pct"/>
            <w:vAlign w:val="center"/>
          </w:tcPr>
          <w:p w14:paraId="5CE6BAFA">
            <w:pPr>
              <w:pStyle w:val="42"/>
              <w:rPr>
                <w:color w:val="000000" w:themeColor="text1"/>
                <w:lang w:bidi="ar"/>
                <w14:textFill>
                  <w14:solidFill>
                    <w14:schemeClr w14:val="tx1"/>
                  </w14:solidFill>
                </w14:textFill>
              </w:rPr>
            </w:pPr>
            <w:r>
              <w:rPr>
                <w:color w:val="000000" w:themeColor="text1"/>
                <w14:textFill>
                  <w14:solidFill>
                    <w14:schemeClr w14:val="tx1"/>
                  </w14:solidFill>
                </w14:textFill>
              </w:rPr>
              <w:t>19.0051</w:t>
            </w:r>
          </w:p>
        </w:tc>
        <w:tc>
          <w:tcPr>
            <w:tcW w:w="794" w:type="pct"/>
            <w:vAlign w:val="center"/>
          </w:tcPr>
          <w:p w14:paraId="1A9FF23F">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内部交通及其他基础服务有待完善</w:t>
            </w:r>
          </w:p>
        </w:tc>
        <w:tc>
          <w:tcPr>
            <w:tcW w:w="538" w:type="pct"/>
            <w:shd w:val="clear" w:color="auto" w:fill="auto"/>
            <w:vAlign w:val="center"/>
          </w:tcPr>
          <w:p w14:paraId="051D242C">
            <w:pPr>
              <w:pStyle w:val="42"/>
              <w:rPr>
                <w:color w:val="000000" w:themeColor="text1"/>
                <w:lang w:bidi="ar"/>
                <w14:textFill>
                  <w14:solidFill>
                    <w14:schemeClr w14:val="tx1"/>
                  </w14:solidFill>
                </w14:textFill>
              </w:rPr>
            </w:pPr>
            <w:r>
              <w:rPr>
                <w:color w:val="000000" w:themeColor="text1"/>
                <w14:textFill>
                  <w14:solidFill>
                    <w14:schemeClr w14:val="tx1"/>
                  </w14:solidFill>
                </w14:textFill>
              </w:rPr>
              <w:t>70.27</w:t>
            </w:r>
          </w:p>
        </w:tc>
      </w:tr>
      <w:tr w14:paraId="66D2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04" w:type="pct"/>
            <w:gridSpan w:val="3"/>
            <w:shd w:val="clear" w:color="auto" w:fill="auto"/>
            <w:vAlign w:val="center"/>
          </w:tcPr>
          <w:p w14:paraId="379F8548">
            <w:pPr>
              <w:pStyle w:val="42"/>
              <w:ind w:firstLine="602"/>
              <w:rPr>
                <w:bCs/>
                <w:color w:val="000000" w:themeColor="text1"/>
                <w:lang w:bidi="ar"/>
                <w14:textFill>
                  <w14:solidFill>
                    <w14:schemeClr w14:val="tx1"/>
                  </w14:solidFill>
                </w14:textFill>
              </w:rPr>
            </w:pPr>
            <w:r>
              <w:rPr>
                <w:rFonts w:hint="eastAsia"/>
                <w:bCs/>
                <w:color w:val="000000" w:themeColor="text1"/>
                <w:lang w:bidi="ar"/>
                <w14:textFill>
                  <w14:solidFill>
                    <w14:schemeClr w14:val="tx1"/>
                  </w14:solidFill>
                </w14:textFill>
              </w:rPr>
              <w:t>总计</w:t>
            </w:r>
          </w:p>
        </w:tc>
        <w:tc>
          <w:tcPr>
            <w:tcW w:w="598" w:type="pct"/>
            <w:shd w:val="clear" w:color="auto" w:fill="auto"/>
            <w:vAlign w:val="center"/>
          </w:tcPr>
          <w:p w14:paraId="7DC8E987">
            <w:pPr>
              <w:pStyle w:val="42"/>
              <w:rPr>
                <w:color w:val="000000" w:themeColor="text1"/>
                <w:lang w:bidi="ar"/>
                <w14:textFill>
                  <w14:solidFill>
                    <w14:schemeClr w14:val="tx1"/>
                  </w14:solidFill>
                </w14:textFill>
              </w:rPr>
            </w:pPr>
            <w:r>
              <w:rPr>
                <w:color w:val="000000" w:themeColor="text1"/>
                <w:lang w:bidi="ar"/>
                <w14:textFill>
                  <w14:solidFill>
                    <w14:schemeClr w14:val="tx1"/>
                  </w14:solidFill>
                </w14:textFill>
              </w:rPr>
              <w:t>45.5389</w:t>
            </w:r>
          </w:p>
        </w:tc>
        <w:tc>
          <w:tcPr>
            <w:tcW w:w="683" w:type="pct"/>
            <w:vAlign w:val="center"/>
          </w:tcPr>
          <w:p w14:paraId="1FB3E019">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w:t>
            </w:r>
          </w:p>
        </w:tc>
        <w:tc>
          <w:tcPr>
            <w:tcW w:w="683" w:type="pct"/>
            <w:vAlign w:val="center"/>
          </w:tcPr>
          <w:p w14:paraId="52A8E2E4">
            <w:pPr>
              <w:pStyle w:val="42"/>
              <w:rPr>
                <w:bCs/>
                <w:color w:val="000000" w:themeColor="text1"/>
                <w:lang w:bidi="ar"/>
                <w14:textFill>
                  <w14:solidFill>
                    <w14:schemeClr w14:val="tx1"/>
                  </w14:solidFill>
                </w14:textFill>
              </w:rPr>
            </w:pPr>
            <w:r>
              <w:rPr>
                <w:bCs/>
                <w:color w:val="000000" w:themeColor="text1"/>
                <w:lang w:bidi="ar"/>
                <w14:textFill>
                  <w14:solidFill>
                    <w14:schemeClr w14:val="tx1"/>
                  </w14:solidFill>
                </w14:textFill>
              </w:rPr>
              <w:t>32.7559</w:t>
            </w:r>
          </w:p>
        </w:tc>
        <w:tc>
          <w:tcPr>
            <w:tcW w:w="794" w:type="pct"/>
            <w:vAlign w:val="center"/>
          </w:tcPr>
          <w:p w14:paraId="34152D6E">
            <w:pPr>
              <w:pStyle w:val="42"/>
              <w:rPr>
                <w:bCs/>
                <w:color w:val="000000" w:themeColor="text1"/>
                <w:lang w:bidi="ar"/>
                <w14:textFill>
                  <w14:solidFill>
                    <w14:schemeClr w14:val="tx1"/>
                  </w14:solidFill>
                </w14:textFill>
              </w:rPr>
            </w:pPr>
            <w:r>
              <w:rPr>
                <w:rFonts w:hint="eastAsia"/>
                <w:bCs/>
                <w:color w:val="000000" w:themeColor="text1"/>
                <w:lang w:bidi="ar"/>
                <w14:textFill>
                  <w14:solidFill>
                    <w14:schemeClr w14:val="tx1"/>
                  </w14:solidFill>
                </w14:textFill>
              </w:rPr>
              <w:t>—</w:t>
            </w:r>
          </w:p>
        </w:tc>
        <w:tc>
          <w:tcPr>
            <w:tcW w:w="538" w:type="pct"/>
            <w:shd w:val="clear" w:color="auto" w:fill="auto"/>
            <w:vAlign w:val="center"/>
          </w:tcPr>
          <w:p w14:paraId="2B7C9E51">
            <w:pPr>
              <w:pStyle w:val="42"/>
              <w:rPr>
                <w:bCs/>
                <w:color w:val="000000" w:themeColor="text1"/>
                <w:lang w:bidi="ar"/>
                <w14:textFill>
                  <w14:solidFill>
                    <w14:schemeClr w14:val="tx1"/>
                  </w14:solidFill>
                </w14:textFill>
              </w:rPr>
            </w:pPr>
            <w:r>
              <w:rPr>
                <w:bCs/>
                <w:color w:val="000000" w:themeColor="text1"/>
                <w:lang w:bidi="ar"/>
                <w14:textFill>
                  <w14:solidFill>
                    <w14:schemeClr w14:val="tx1"/>
                  </w14:solidFill>
                </w14:textFill>
              </w:rPr>
              <w:t>71.93</w:t>
            </w:r>
          </w:p>
        </w:tc>
      </w:tr>
    </w:tbl>
    <w:p w14:paraId="559DE08A">
      <w:pPr>
        <w:ind w:firstLine="0" w:firstLineChars="0"/>
        <w:rPr>
          <w:color w:val="000000" w:themeColor="text1"/>
          <w14:textFill>
            <w14:solidFill>
              <w14:schemeClr w14:val="tx1"/>
            </w14:solidFill>
          </w14:textFill>
        </w:rPr>
      </w:pPr>
    </w:p>
    <w:p w14:paraId="1422DDCF">
      <w:pPr>
        <w:pStyle w:val="3"/>
        <w:rPr>
          <w:color w:val="000000" w:themeColor="text1"/>
          <w14:textFill>
            <w14:solidFill>
              <w14:schemeClr w14:val="tx1"/>
            </w14:solidFill>
          </w14:textFill>
        </w:rPr>
      </w:pPr>
      <w:bookmarkStart w:id="5" w:name="_Toc83282770"/>
      <w:bookmarkStart w:id="6" w:name="_Toc64714028"/>
      <w:r>
        <w:rPr>
          <w:rFonts w:hint="eastAsia"/>
          <w:color w:val="000000" w:themeColor="text1"/>
          <w14:textFill>
            <w14:solidFill>
              <w14:schemeClr w14:val="tx1"/>
            </w14:solidFill>
          </w14:textFill>
        </w:rPr>
        <w:t>三、成片开发的必要性</w:t>
      </w:r>
      <w:bookmarkEnd w:id="5"/>
    </w:p>
    <w:bookmarkEnd w:id="6"/>
    <w:p w14:paraId="184C96BA">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（一）以项目建设为主抓手，推动“南沙开发全面展开”</w:t>
      </w:r>
    </w:p>
    <w:p w14:paraId="72B8CBE0">
      <w:pPr>
        <w:rPr>
          <w:color w:val="000000" w:themeColor="text1"/>
          <w14:textFill>
            <w14:solidFill>
              <w14:schemeClr w14:val="tx1"/>
            </w14:solidFill>
          </w14:textFill>
        </w:rPr>
      </w:pPr>
      <w:r>
        <w:rPr>
          <w:rFonts w:hint="eastAsia"/>
          <w:color w:val="000000" w:themeColor="text1"/>
          <w14:textFill>
            <w14:solidFill>
              <w14:schemeClr w14:val="tx1"/>
            </w14:solidFill>
          </w14:textFill>
        </w:rPr>
        <w:t>《粤港澳大湾区发展规划纲要》提出，依托粤港澳良好合作基础，充分发挥深圳前海、广州南沙、珠海横琴等重大合作平台作用。《南沙方案》提出，建立高质量城市发展标杆。2025年广州市高质量发展大会提出，精心打造“万亩千亿产业平台”，坚持全市统一布局、各区错位发展，加快推动南沙、东部中心、北部增长极等重点平台建设，支持各级各类开发区、高新区、综保区提级赋能，以“百千万工程”、城中村改造纵深推进拓展产业发展空间，形成产业集群成链、园区提质增效的升腾景象。2025年南沙区高质量发展大会提出，以项目建设为主抓手推动南沙高质量发展，加快打造面向世界的重大战略性平台，为全国、全省、全市高质量发展注入南沙动能、贡献南沙力量。</w:t>
      </w:r>
    </w:p>
    <w:p w14:paraId="3F0FC2F8">
      <w:pPr>
        <w:rPr>
          <w:rFonts w:ascii="仿宋_GB2312" w:hAnsi="仿宋_GB2312"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大岗镇东流村城中村改造片区、小虎新海留用地片区的实施，提升城市规划建设，强化重点片区开发，推动连片集聚发展，预留未来产业发展空间，</w:t>
      </w:r>
      <w:r>
        <w:rPr>
          <w:rFonts w:hint="eastAsia"/>
          <w:color w:val="000000" w:themeColor="text1"/>
          <w:lang w:val="en-US" w:eastAsia="zh-CN"/>
          <w14:textFill>
            <w14:solidFill>
              <w14:schemeClr w14:val="tx1"/>
            </w14:solidFill>
          </w14:textFill>
        </w:rPr>
        <w:t>有利于落实“</w:t>
      </w:r>
      <w:r>
        <w:rPr>
          <w:rFonts w:hint="eastAsia"/>
          <w:color w:val="000000" w:themeColor="text1"/>
          <w14:textFill>
            <w14:solidFill>
              <w14:schemeClr w14:val="tx1"/>
            </w14:solidFill>
          </w14:textFill>
        </w:rPr>
        <w:t>南沙开发全面展开”</w:t>
      </w:r>
      <w:r>
        <w:rPr>
          <w:rFonts w:hint="eastAsia"/>
          <w:color w:val="000000" w:themeColor="text1"/>
          <w:lang w:val="en-US" w:eastAsia="zh-CN"/>
          <w14:textFill>
            <w14:solidFill>
              <w14:schemeClr w14:val="tx1"/>
            </w14:solidFill>
          </w14:textFill>
        </w:rPr>
        <w:t>目标</w:t>
      </w:r>
      <w:r>
        <w:rPr>
          <w:rFonts w:hint="eastAsia"/>
          <w:color w:val="000000" w:themeColor="text1"/>
          <w14:textFill>
            <w14:solidFill>
              <w14:schemeClr w14:val="tx1"/>
            </w14:solidFill>
          </w14:textFill>
        </w:rPr>
        <w:t>。</w:t>
      </w:r>
    </w:p>
    <w:p w14:paraId="370AB9CE">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（二）提升存量土地利用效率，推进城乡高质量发展</w:t>
      </w:r>
    </w:p>
    <w:p w14:paraId="57C2514A">
      <w:pPr>
        <w:rPr>
          <w:color w:val="000000" w:themeColor="text1"/>
          <w14:textFill>
            <w14:solidFill>
              <w14:schemeClr w14:val="tx1"/>
            </w14:solidFill>
          </w14:textFill>
        </w:rPr>
      </w:pPr>
      <w:r>
        <w:rPr>
          <w:rFonts w:hint="eastAsia"/>
          <w:color w:val="000000" w:themeColor="text1"/>
          <w14:textFill>
            <w14:solidFill>
              <w14:schemeClr w14:val="tx1"/>
            </w14:solidFill>
          </w14:textFill>
        </w:rPr>
        <w:t>《广州市南沙区、广州南沙开发区（自贸区南沙片区）国民经济和社会发展第十四个五年规划和2035年远景目标纲要》提出“积极推动“三旧”（旧城镇、旧村庄、旧厂房）改造，推进老城区、老镇区、老商业街改造，推进老旧小区和棚户区改造，补齐短板设施。落实村庄分类规划，着力推进搬迁村搬迁撤并，城中村全面改造与微改造，严格管控城边村建设活动。加快实现“三园”转型，持续推进村级工业园整治提升、专业批发市场转型升级、物流园区疏解转型，强化工业区块划定与管理，提升土地利用效率。”</w:t>
      </w:r>
    </w:p>
    <w:p w14:paraId="3186D613">
      <w:pPr>
        <w:rPr>
          <w:color w:val="000000" w:themeColor="text1"/>
          <w14:textFill>
            <w14:solidFill>
              <w14:schemeClr w14:val="tx1"/>
            </w14:solidFill>
          </w14:textFill>
        </w:rPr>
      </w:pPr>
      <w:r>
        <w:rPr>
          <w:rFonts w:hint="eastAsia"/>
          <w:color w:val="000000" w:themeColor="text1"/>
          <w14:textFill>
            <w14:solidFill>
              <w14:schemeClr w14:val="tx1"/>
            </w14:solidFill>
          </w14:textFill>
        </w:rPr>
        <w:t>大岗镇东流村城中村改造片区的实施，有助于改善人民群众住房条件和居住环境，完善基础配套设施与产业服务功能，优化区域功能和空间结构，提升土地利用效率，促进城乡融合，共同推进城乡高质量发展。</w:t>
      </w:r>
    </w:p>
    <w:p w14:paraId="1C9B77D6">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（三）助力“百千万工程”，促进城乡融合发展</w:t>
      </w:r>
    </w:p>
    <w:p w14:paraId="3EE9A8CD">
      <w:pPr>
        <w:rPr>
          <w:color w:val="000000" w:themeColor="text1"/>
          <w14:textFill>
            <w14:solidFill>
              <w14:schemeClr w14:val="tx1"/>
            </w14:solidFill>
          </w14:textFill>
        </w:rPr>
      </w:pPr>
      <w:r>
        <w:rPr>
          <w:rFonts w:hint="eastAsia"/>
          <w:color w:val="000000" w:themeColor="text1"/>
          <w14:textFill>
            <w14:solidFill>
              <w14:schemeClr w14:val="tx1"/>
            </w14:solidFill>
          </w14:textFill>
        </w:rPr>
        <w:t>加快构建现代乡村产业体系，发展新型农村集体经济，深入实施乡村建设行动，促进共同富裕。南沙区推动新型农村集体经济高质量发展的动力日益增强，也面临着物业高度同质、效益增值困难、市场波动频繁等带来的叠加风险。高效开发利用留用地</w:t>
      </w:r>
      <w:r>
        <w:rPr>
          <w:rFonts w:hint="eastAsia"/>
          <w:color w:val="000000" w:themeColor="text1"/>
          <w:lang w:eastAsia="zh-CN"/>
          <w14:textFill>
            <w14:solidFill>
              <w14:schemeClr w14:val="tx1"/>
            </w14:solidFill>
          </w14:textFill>
        </w:rPr>
        <w:t>是</w:t>
      </w:r>
      <w:r>
        <w:rPr>
          <w:rFonts w:hint="eastAsia"/>
          <w:color w:val="000000" w:themeColor="text1"/>
          <w14:textFill>
            <w14:solidFill>
              <w14:schemeClr w14:val="tx1"/>
            </w14:solidFill>
          </w14:textFill>
        </w:rPr>
        <w:t>我区当前发展新型农村集体经济，推动集体经济高质量发展的重要手段。探索留用地项目多渠道开发模式，提高留用地的综合效益和节约集约利用水平，</w:t>
      </w:r>
      <w:r>
        <w:rPr>
          <w:rFonts w:hint="eastAsia"/>
          <w:color w:val="000000" w:themeColor="text1"/>
          <w:lang w:eastAsia="zh-CN"/>
          <w14:textFill>
            <w14:solidFill>
              <w14:schemeClr w14:val="tx1"/>
            </w14:solidFill>
          </w14:textFill>
        </w:rPr>
        <w:t>是</w:t>
      </w:r>
      <w:r>
        <w:rPr>
          <w:rFonts w:hint="eastAsia"/>
          <w:color w:val="000000" w:themeColor="text1"/>
          <w14:textFill>
            <w14:solidFill>
              <w14:schemeClr w14:val="tx1"/>
            </w14:solidFill>
          </w14:textFill>
        </w:rPr>
        <w:t>维护农村集体合法权益、保障南沙区农村集体经济高质量发展的重要举措。</w:t>
      </w:r>
    </w:p>
    <w:p w14:paraId="3640AE2D">
      <w:pPr>
        <w:rPr>
          <w:rFonts w:hint="eastAsia" w:eastAsia="仿宋_GB2312"/>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小虎新海留用地片区的实施，可促进城乡基础设施互联互通、产业互补互促、要素流动交融、公共服务供给、管理规范衔接一体等体制机制的完善，促进城乡融合发展，优化城乡空间结构，改善城乡风貌，助推乡村振兴战略实施。同时，成片开发片区落实相关村社集体发展需求，</w:t>
      </w:r>
      <w:r>
        <w:rPr>
          <w:rFonts w:hint="eastAsia"/>
          <w:color w:val="000000" w:themeColor="text1"/>
          <w:lang w:val="en-US" w:eastAsia="zh-CN"/>
          <w14:textFill>
            <w14:solidFill>
              <w14:schemeClr w14:val="tx1"/>
            </w14:solidFill>
          </w14:textFill>
        </w:rPr>
        <w:t>有利于</w:t>
      </w:r>
      <w:r>
        <w:rPr>
          <w:rFonts w:hint="eastAsia"/>
          <w:color w:val="000000" w:themeColor="text1"/>
          <w14:textFill>
            <w14:solidFill>
              <w14:schemeClr w14:val="tx1"/>
            </w14:solidFill>
          </w14:textFill>
        </w:rPr>
        <w:t>推动解决留用地等历史遗留问题</w:t>
      </w:r>
      <w:r>
        <w:rPr>
          <w:rFonts w:hint="eastAsia"/>
          <w:color w:val="000000" w:themeColor="text1"/>
          <w:lang w:eastAsia="zh-CN"/>
          <w14:textFill>
            <w14:solidFill>
              <w14:schemeClr w14:val="tx1"/>
            </w14:solidFill>
          </w14:textFill>
        </w:rPr>
        <w:t>。</w:t>
      </w:r>
    </w:p>
    <w:p w14:paraId="3CD35A76">
      <w:pPr>
        <w:pStyle w:val="3"/>
        <w:rPr>
          <w:color w:val="000000" w:themeColor="text1"/>
          <w14:textFill>
            <w14:solidFill>
              <w14:schemeClr w14:val="tx1"/>
            </w14:solidFill>
          </w14:textFill>
        </w:rPr>
      </w:pPr>
      <w:bookmarkStart w:id="7" w:name="_Hlk78559753"/>
      <w:bookmarkStart w:id="8" w:name="_Toc83282771"/>
      <w:r>
        <w:rPr>
          <w:rFonts w:hint="eastAsia"/>
          <w:color w:val="000000" w:themeColor="text1"/>
          <w14:textFill>
            <w14:solidFill>
              <w14:schemeClr w14:val="tx1"/>
            </w14:solidFill>
          </w14:textFill>
        </w:rPr>
        <w:t>四、成片开发的主导用途及功能</w:t>
      </w:r>
      <w:bookmarkEnd w:id="7"/>
      <w:bookmarkEnd w:id="8"/>
    </w:p>
    <w:p w14:paraId="5A7A5465">
      <w:pPr>
        <w:rPr>
          <w:color w:val="000000" w:themeColor="text1"/>
          <w14:textFill>
            <w14:solidFill>
              <w14:schemeClr w14:val="tx1"/>
            </w14:solidFill>
          </w14:textFill>
        </w:rPr>
      </w:pPr>
      <w:r>
        <w:rPr>
          <w:rFonts w:hint="eastAsia"/>
          <w:color w:val="000000" w:themeColor="text1"/>
          <w14:textFill>
            <w14:solidFill>
              <w14:schemeClr w14:val="tx1"/>
            </w14:solidFill>
          </w14:textFill>
        </w:rPr>
        <w:t>本次成片开发范围共划定</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个片区，除新增的交通、绿地等基础设施外，成片开发项目包括</w:t>
      </w:r>
      <w:bookmarkStart w:id="9" w:name="_Hlk192070581"/>
      <w:r>
        <w:rPr>
          <w:rFonts w:hint="eastAsia"/>
          <w:color w:val="000000" w:themeColor="text1"/>
          <w14:textFill>
            <w14:solidFill>
              <w14:schemeClr w14:val="tx1"/>
            </w14:solidFill>
          </w14:textFill>
        </w:rPr>
        <w:t>居住、工业、商业</w:t>
      </w:r>
      <w:bookmarkEnd w:id="9"/>
      <w:r>
        <w:rPr>
          <w:rFonts w:hint="eastAsia"/>
          <w:color w:val="000000" w:themeColor="text1"/>
          <w14:textFill>
            <w14:solidFill>
              <w14:schemeClr w14:val="tx1"/>
            </w14:solidFill>
          </w14:textFill>
        </w:rPr>
        <w:t>等类型。</w:t>
      </w:r>
    </w:p>
    <w:p w14:paraId="6948A96B">
      <w:pPr>
        <w:pStyle w:val="27"/>
        <w:rPr>
          <w:rFonts w:hint="eastAsia"/>
          <w:color w:val="000000" w:themeColor="text1"/>
          <w14:textFill>
            <w14:solidFill>
              <w14:schemeClr w14:val="tx1"/>
            </w14:solidFill>
          </w14:textFill>
        </w:rPr>
      </w:pPr>
    </w:p>
    <w:p w14:paraId="1E44B795">
      <w:pPr>
        <w:pStyle w:val="27"/>
        <w:rPr>
          <w:rFonts w:hint="eastAsia"/>
          <w:color w:val="000000" w:themeColor="text1"/>
          <w14:textFill>
            <w14:solidFill>
              <w14:schemeClr w14:val="tx1"/>
            </w14:solidFill>
          </w14:textFill>
        </w:rPr>
      </w:pPr>
    </w:p>
    <w:p w14:paraId="1C4A0DFC">
      <w:pPr>
        <w:pStyle w:val="27"/>
        <w:rPr>
          <w:rFonts w:hint="eastAsia"/>
          <w:color w:val="000000" w:themeColor="text1"/>
          <w14:textFill>
            <w14:solidFill>
              <w14:schemeClr w14:val="tx1"/>
            </w14:solidFill>
          </w14:textFill>
        </w:rPr>
      </w:pPr>
    </w:p>
    <w:p w14:paraId="6EE67CA2">
      <w:pPr>
        <w:pStyle w:val="27"/>
        <w:rPr>
          <w:color w:val="000000" w:themeColor="text1"/>
          <w14:textFill>
            <w14:solidFill>
              <w14:schemeClr w14:val="tx1"/>
            </w14:solidFill>
          </w14:textFill>
        </w:rPr>
      </w:pPr>
      <w:bookmarkStart w:id="22" w:name="_GoBack"/>
      <w:bookmarkEnd w:id="22"/>
      <w:r>
        <w:rPr>
          <w:rFonts w:hint="eastAsia"/>
          <w:color w:val="000000" w:themeColor="text1"/>
          <w14:textFill>
            <w14:solidFill>
              <w14:schemeClr w14:val="tx1"/>
            </w14:solidFill>
          </w14:textFill>
        </w:rPr>
        <w:t>表2  成片开发的主导用途和功能情况一览表</w:t>
      </w:r>
    </w:p>
    <w:p w14:paraId="1B483D2D">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t>单位：公顷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395"/>
        <w:gridCol w:w="1153"/>
        <w:gridCol w:w="1486"/>
        <w:gridCol w:w="2708"/>
      </w:tblGrid>
      <w:tr w14:paraId="46A5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461" w:type="pct"/>
            <w:shd w:val="clear" w:color="auto" w:fill="auto"/>
            <w:vAlign w:val="center"/>
          </w:tcPr>
          <w:p w14:paraId="3A22381D">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序号</w:t>
            </w:r>
          </w:p>
        </w:tc>
        <w:tc>
          <w:tcPr>
            <w:tcW w:w="1404" w:type="pct"/>
            <w:shd w:val="clear" w:color="auto" w:fill="auto"/>
            <w:vAlign w:val="center"/>
          </w:tcPr>
          <w:p w14:paraId="4DCF8953">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成片开发片区名称</w:t>
            </w:r>
          </w:p>
        </w:tc>
        <w:tc>
          <w:tcPr>
            <w:tcW w:w="676" w:type="pct"/>
            <w:shd w:val="clear" w:color="auto" w:fill="auto"/>
            <w:vAlign w:val="center"/>
          </w:tcPr>
          <w:p w14:paraId="2DD4185C">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片区面积</w:t>
            </w:r>
          </w:p>
        </w:tc>
        <w:tc>
          <w:tcPr>
            <w:tcW w:w="871" w:type="pct"/>
            <w:shd w:val="clear" w:color="auto" w:fill="auto"/>
            <w:vAlign w:val="center"/>
          </w:tcPr>
          <w:p w14:paraId="3CB747C8">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主导用途</w:t>
            </w:r>
          </w:p>
        </w:tc>
        <w:tc>
          <w:tcPr>
            <w:tcW w:w="1588" w:type="pct"/>
            <w:shd w:val="clear" w:color="auto" w:fill="auto"/>
            <w:vAlign w:val="center"/>
          </w:tcPr>
          <w:p w14:paraId="5E498CA3">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功能平台</w:t>
            </w:r>
          </w:p>
        </w:tc>
      </w:tr>
      <w:tr w14:paraId="6B4D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61" w:type="pct"/>
            <w:shd w:val="clear" w:color="auto" w:fill="auto"/>
            <w:vAlign w:val="center"/>
          </w:tcPr>
          <w:p w14:paraId="47C5E730">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w:t>
            </w:r>
          </w:p>
        </w:tc>
        <w:tc>
          <w:tcPr>
            <w:tcW w:w="1404" w:type="pct"/>
            <w:shd w:val="clear" w:color="auto" w:fill="auto"/>
            <w:vAlign w:val="center"/>
          </w:tcPr>
          <w:p w14:paraId="0E430976">
            <w:pPr>
              <w:pStyle w:val="42"/>
              <w:rPr>
                <w:color w:val="000000" w:themeColor="text1"/>
                <w:lang w:bidi="ar"/>
                <w14:textFill>
                  <w14:solidFill>
                    <w14:schemeClr w14:val="tx1"/>
                  </w14:solidFill>
                </w14:textFill>
              </w:rPr>
            </w:pPr>
            <w:r>
              <w:rPr>
                <w:rFonts w:hint="eastAsia"/>
                <w:color w:val="000000" w:themeColor="text1"/>
                <w:szCs w:val="22"/>
                <w14:textFill>
                  <w14:solidFill>
                    <w14:schemeClr w14:val="tx1"/>
                  </w14:solidFill>
                </w14:textFill>
              </w:rPr>
              <w:t>大岗镇东流村城中村改造片区</w:t>
            </w:r>
          </w:p>
        </w:tc>
        <w:tc>
          <w:tcPr>
            <w:tcW w:w="676" w:type="pct"/>
            <w:shd w:val="clear" w:color="auto" w:fill="auto"/>
            <w:vAlign w:val="center"/>
          </w:tcPr>
          <w:p w14:paraId="3CCEB25C">
            <w:pPr>
              <w:pStyle w:val="42"/>
              <w:rPr>
                <w:color w:val="000000" w:themeColor="text1"/>
                <w:lang w:bidi="ar"/>
                <w14:textFill>
                  <w14:solidFill>
                    <w14:schemeClr w14:val="tx1"/>
                  </w14:solidFill>
                </w14:textFill>
              </w:rPr>
            </w:pPr>
            <w:r>
              <w:rPr>
                <w:color w:val="000000" w:themeColor="text1"/>
                <w:szCs w:val="22"/>
                <w14:textFill>
                  <w14:solidFill>
                    <w14:schemeClr w14:val="tx1"/>
                  </w14:solidFill>
                </w14:textFill>
              </w:rPr>
              <w:t>18.4924</w:t>
            </w:r>
          </w:p>
        </w:tc>
        <w:tc>
          <w:tcPr>
            <w:tcW w:w="871" w:type="pct"/>
            <w:shd w:val="clear" w:color="auto" w:fill="auto"/>
            <w:vAlign w:val="center"/>
          </w:tcPr>
          <w:p w14:paraId="609D39A1">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居住、商业、教育、道路、绿地</w:t>
            </w:r>
          </w:p>
        </w:tc>
        <w:tc>
          <w:tcPr>
            <w:tcW w:w="1588" w:type="pct"/>
            <w:shd w:val="clear" w:color="auto" w:fill="auto"/>
            <w:vAlign w:val="center"/>
          </w:tcPr>
          <w:p w14:paraId="0AB8B6E6">
            <w:pPr>
              <w:pStyle w:val="42"/>
              <w:jc w:val="left"/>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大岗镇行政核心区与产业发展轴交汇的综合性城市功能区，优化片区居住与生活配套，提高环境品质、完善公共服务、提升产业活力、促进产城融合发展。</w:t>
            </w:r>
          </w:p>
        </w:tc>
      </w:tr>
      <w:tr w14:paraId="73AD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61" w:type="pct"/>
            <w:shd w:val="clear" w:color="auto" w:fill="auto"/>
            <w:vAlign w:val="center"/>
          </w:tcPr>
          <w:p w14:paraId="51C723B6">
            <w:pPr>
              <w:pStyle w:val="42"/>
              <w:rPr>
                <w:color w:val="000000" w:themeColor="text1"/>
                <w:lang w:bidi="ar"/>
                <w14:textFill>
                  <w14:solidFill>
                    <w14:schemeClr w14:val="tx1"/>
                  </w14:solidFill>
                </w14:textFill>
              </w:rPr>
            </w:pPr>
            <w:r>
              <w:rPr>
                <w:color w:val="000000" w:themeColor="text1"/>
                <w:lang w:bidi="ar"/>
                <w14:textFill>
                  <w14:solidFill>
                    <w14:schemeClr w14:val="tx1"/>
                  </w14:solidFill>
                </w14:textFill>
              </w:rPr>
              <w:t>2</w:t>
            </w:r>
          </w:p>
        </w:tc>
        <w:tc>
          <w:tcPr>
            <w:tcW w:w="1404" w:type="pct"/>
            <w:shd w:val="clear" w:color="auto" w:fill="auto"/>
            <w:vAlign w:val="center"/>
          </w:tcPr>
          <w:p w14:paraId="5FB1DDB3">
            <w:pPr>
              <w:pStyle w:val="42"/>
              <w:rPr>
                <w:color w:val="000000" w:themeColor="text1"/>
                <w:lang w:bidi="ar"/>
                <w14:textFill>
                  <w14:solidFill>
                    <w14:schemeClr w14:val="tx1"/>
                  </w14:solidFill>
                </w14:textFill>
              </w:rPr>
            </w:pPr>
            <w:r>
              <w:rPr>
                <w:rFonts w:hint="eastAsia"/>
                <w:color w:val="000000" w:themeColor="text1"/>
                <w:szCs w:val="22"/>
                <w14:textFill>
                  <w14:solidFill>
                    <w14:schemeClr w14:val="tx1"/>
                  </w14:solidFill>
                </w14:textFill>
              </w:rPr>
              <w:t>小虎新海留用地片区</w:t>
            </w:r>
          </w:p>
        </w:tc>
        <w:tc>
          <w:tcPr>
            <w:tcW w:w="676" w:type="pct"/>
            <w:shd w:val="clear" w:color="auto" w:fill="auto"/>
            <w:vAlign w:val="center"/>
          </w:tcPr>
          <w:p w14:paraId="4592FB09">
            <w:pPr>
              <w:pStyle w:val="42"/>
              <w:rPr>
                <w:color w:val="000000" w:themeColor="text1"/>
                <w:lang w:bidi="ar"/>
                <w14:textFill>
                  <w14:solidFill>
                    <w14:schemeClr w14:val="tx1"/>
                  </w14:solidFill>
                </w14:textFill>
              </w:rPr>
            </w:pPr>
            <w:r>
              <w:rPr>
                <w:color w:val="000000" w:themeColor="text1"/>
                <w:szCs w:val="22"/>
                <w14:textFill>
                  <w14:solidFill>
                    <w14:schemeClr w14:val="tx1"/>
                  </w14:solidFill>
                </w14:textFill>
              </w:rPr>
              <w:t>27.0465</w:t>
            </w:r>
          </w:p>
        </w:tc>
        <w:tc>
          <w:tcPr>
            <w:tcW w:w="871" w:type="pct"/>
            <w:shd w:val="clear" w:color="auto" w:fill="auto"/>
            <w:vAlign w:val="center"/>
          </w:tcPr>
          <w:p w14:paraId="32B56E66">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工业、商业、道路、绿地</w:t>
            </w:r>
          </w:p>
        </w:tc>
        <w:tc>
          <w:tcPr>
            <w:tcW w:w="1588" w:type="pct"/>
            <w:shd w:val="clear" w:color="auto" w:fill="auto"/>
            <w:vAlign w:val="center"/>
          </w:tcPr>
          <w:p w14:paraId="755908A2">
            <w:pPr>
              <w:pStyle w:val="42"/>
              <w:jc w:val="left"/>
              <w:rPr>
                <w:rFonts w:eastAsiaTheme="minor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庆盛片区，集中布局新能源汽车、人工智能等重点产业集群，打造粤港澳大湾区科技创新与产城融合的新高地。</w:t>
            </w:r>
          </w:p>
        </w:tc>
      </w:tr>
    </w:tbl>
    <w:p w14:paraId="107AA09B">
      <w:pPr>
        <w:pStyle w:val="3"/>
        <w:rPr>
          <w:color w:val="000000" w:themeColor="text1"/>
          <w14:textFill>
            <w14:solidFill>
              <w14:schemeClr w14:val="tx1"/>
            </w14:solidFill>
          </w14:textFill>
        </w:rPr>
      </w:pPr>
      <w:bookmarkStart w:id="10" w:name="_Toc64714033"/>
      <w:bookmarkStart w:id="11" w:name="_Toc83282778"/>
      <w:r>
        <w:rPr>
          <w:rFonts w:hint="eastAsia"/>
          <w:color w:val="000000" w:themeColor="text1"/>
          <w14:textFill>
            <w14:solidFill>
              <w14:schemeClr w14:val="tx1"/>
            </w14:solidFill>
          </w14:textFill>
        </w:rPr>
        <w:t>五、成片开发公益性用地</w:t>
      </w:r>
      <w:bookmarkEnd w:id="10"/>
      <w:r>
        <w:rPr>
          <w:rFonts w:hint="eastAsia"/>
          <w:color w:val="000000" w:themeColor="text1"/>
          <w14:textFill>
            <w14:solidFill>
              <w14:schemeClr w14:val="tx1"/>
            </w14:solidFill>
          </w14:textFill>
        </w:rPr>
        <w:t>情况</w:t>
      </w:r>
      <w:bookmarkEnd w:id="11"/>
    </w:p>
    <w:p w14:paraId="1EE1006B">
      <w:pPr>
        <w:rPr>
          <w:color w:val="000000" w:themeColor="text1"/>
          <w14:textFill>
            <w14:solidFill>
              <w14:schemeClr w14:val="tx1"/>
            </w14:solidFill>
          </w14:textFill>
        </w:rPr>
      </w:pPr>
      <w:r>
        <w:rPr>
          <w:rFonts w:hint="eastAsia"/>
          <w:color w:val="000000" w:themeColor="text1"/>
          <w14:textFill>
            <w14:solidFill>
              <w14:schemeClr w14:val="tx1"/>
            </w14:solidFill>
          </w14:textFill>
        </w:rPr>
        <w:t>《广东省自然资源厅关于进一步规范土地征收成片开发工作的通知》（粤自然资规字〔2024〕7号）要求，在城镇开发边界内，广州、深圳、佛山、东莞市中心城区范围内一个完整的成片开发范围内公益性用地比例一般不低于40%，其他地区公益性用地比例一般不低于30%；符合城镇开发边界外布局建设项目准入目录的，成片开发方案公益性用地比例不低于20%。本次南沙区成片开发各片区公益性用地比例均大于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，满足上述要求。</w:t>
      </w:r>
    </w:p>
    <w:p w14:paraId="38D9C809">
      <w:pPr>
        <w:pStyle w:val="40"/>
        <w:spacing w:before="204"/>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南沙区土地征收成片开发用地情况表</w:t>
      </w:r>
    </w:p>
    <w:p w14:paraId="15DBDFD5">
      <w:pPr>
        <w:pStyle w:val="1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单位：公顷，%</w:t>
      </w:r>
    </w:p>
    <w:tbl>
      <w:tblPr>
        <w:tblStyle w:val="19"/>
        <w:tblW w:w="5000" w:type="pct"/>
        <w:tblInd w:w="0" w:type="dxa"/>
        <w:tblLayout w:type="autofit"/>
        <w:tblCellMar>
          <w:top w:w="0" w:type="dxa"/>
          <w:left w:w="108" w:type="dxa"/>
          <w:bottom w:w="0" w:type="dxa"/>
          <w:right w:w="108" w:type="dxa"/>
        </w:tblCellMar>
      </w:tblPr>
      <w:tblGrid>
        <w:gridCol w:w="725"/>
        <w:gridCol w:w="2765"/>
        <w:gridCol w:w="1748"/>
        <w:gridCol w:w="1455"/>
        <w:gridCol w:w="1835"/>
      </w:tblGrid>
      <w:tr w14:paraId="5DE048C3">
        <w:tblPrEx>
          <w:tblCellMar>
            <w:top w:w="0" w:type="dxa"/>
            <w:left w:w="108" w:type="dxa"/>
            <w:bottom w:w="0" w:type="dxa"/>
            <w:right w:w="108" w:type="dxa"/>
          </w:tblCellMar>
        </w:tblPrEx>
        <w:trPr>
          <w:trHeight w:val="540" w:hRule="atLeast"/>
          <w:tblHeader/>
        </w:trPr>
        <w:tc>
          <w:tcPr>
            <w:tcW w:w="425" w:type="pct"/>
            <w:tcBorders>
              <w:top w:val="single" w:color="000000" w:sz="4" w:space="0"/>
              <w:left w:val="single" w:color="000000" w:sz="4" w:space="0"/>
              <w:bottom w:val="nil"/>
              <w:right w:val="single" w:color="000000" w:sz="4" w:space="0"/>
            </w:tcBorders>
            <w:shd w:val="clear" w:color="auto" w:fill="auto"/>
            <w:vAlign w:val="center"/>
          </w:tcPr>
          <w:p w14:paraId="69D98EA0">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序号</w:t>
            </w:r>
          </w:p>
        </w:tc>
        <w:tc>
          <w:tcPr>
            <w:tcW w:w="1621" w:type="pct"/>
            <w:tcBorders>
              <w:top w:val="single" w:color="000000" w:sz="4" w:space="0"/>
              <w:left w:val="nil"/>
              <w:bottom w:val="nil"/>
              <w:right w:val="single" w:color="000000" w:sz="4" w:space="0"/>
            </w:tcBorders>
            <w:shd w:val="clear" w:color="auto" w:fill="auto"/>
            <w:vAlign w:val="center"/>
          </w:tcPr>
          <w:p w14:paraId="5A41920D">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片区名称</w:t>
            </w:r>
          </w:p>
        </w:tc>
        <w:tc>
          <w:tcPr>
            <w:tcW w:w="1025" w:type="pct"/>
            <w:tcBorders>
              <w:top w:val="single" w:color="000000" w:sz="4" w:space="0"/>
              <w:left w:val="nil"/>
              <w:bottom w:val="nil"/>
              <w:right w:val="single" w:color="000000" w:sz="4" w:space="0"/>
            </w:tcBorders>
            <w:shd w:val="clear" w:color="auto" w:fill="auto"/>
            <w:vAlign w:val="center"/>
          </w:tcPr>
          <w:p w14:paraId="208CD537">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公益用地面积</w:t>
            </w:r>
          </w:p>
        </w:tc>
        <w:tc>
          <w:tcPr>
            <w:tcW w:w="853" w:type="pct"/>
            <w:tcBorders>
              <w:top w:val="single" w:color="000000" w:sz="4" w:space="0"/>
              <w:left w:val="nil"/>
              <w:bottom w:val="nil"/>
              <w:right w:val="single" w:color="000000" w:sz="4" w:space="0"/>
            </w:tcBorders>
            <w:shd w:val="clear" w:color="auto" w:fill="auto"/>
            <w:vAlign w:val="center"/>
          </w:tcPr>
          <w:p w14:paraId="55DC6650">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片区面积</w:t>
            </w:r>
          </w:p>
        </w:tc>
        <w:tc>
          <w:tcPr>
            <w:tcW w:w="1076" w:type="pct"/>
            <w:tcBorders>
              <w:top w:val="single" w:color="000000" w:sz="4" w:space="0"/>
              <w:left w:val="nil"/>
              <w:bottom w:val="nil"/>
              <w:right w:val="single" w:color="000000" w:sz="4" w:space="0"/>
            </w:tcBorders>
            <w:shd w:val="clear" w:color="auto" w:fill="auto"/>
            <w:vAlign w:val="center"/>
          </w:tcPr>
          <w:p w14:paraId="034DE1E9">
            <w:pPr>
              <w:pStyle w:val="42"/>
              <w:rPr>
                <w:b/>
                <w:color w:val="000000" w:themeColor="text1"/>
                <w:lang w:bidi="ar"/>
                <w14:textFill>
                  <w14:solidFill>
                    <w14:schemeClr w14:val="tx1"/>
                  </w14:solidFill>
                </w14:textFill>
              </w:rPr>
            </w:pPr>
            <w:r>
              <w:rPr>
                <w:rFonts w:hint="eastAsia"/>
                <w:b/>
                <w:color w:val="000000" w:themeColor="text1"/>
                <w:lang w:bidi="ar"/>
                <w14:textFill>
                  <w14:solidFill>
                    <w14:schemeClr w14:val="tx1"/>
                  </w14:solidFill>
                </w14:textFill>
              </w:rPr>
              <w:t>公益性用地比例</w:t>
            </w:r>
          </w:p>
        </w:tc>
      </w:tr>
      <w:tr w14:paraId="08B5E9B9">
        <w:tblPrEx>
          <w:tblCellMar>
            <w:top w:w="0" w:type="dxa"/>
            <w:left w:w="108" w:type="dxa"/>
            <w:bottom w:w="0" w:type="dxa"/>
            <w:right w:w="108" w:type="dxa"/>
          </w:tblCellMar>
        </w:tblPrEx>
        <w:trPr>
          <w:trHeight w:val="60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45A0">
            <w:pPr>
              <w:pStyle w:val="42"/>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1</w:t>
            </w:r>
          </w:p>
        </w:tc>
        <w:tc>
          <w:tcPr>
            <w:tcW w:w="1621" w:type="pct"/>
            <w:tcBorders>
              <w:top w:val="single" w:color="000000" w:sz="4" w:space="0"/>
              <w:left w:val="nil"/>
              <w:bottom w:val="single" w:color="000000" w:sz="4" w:space="0"/>
              <w:right w:val="single" w:color="000000" w:sz="4" w:space="0"/>
            </w:tcBorders>
            <w:shd w:val="clear" w:color="auto" w:fill="auto"/>
            <w:vAlign w:val="center"/>
          </w:tcPr>
          <w:p w14:paraId="3BFFBB01">
            <w:pPr>
              <w:pStyle w:val="42"/>
              <w:rPr>
                <w:color w:val="000000" w:themeColor="text1"/>
                <w:lang w:bidi="ar"/>
                <w14:textFill>
                  <w14:solidFill>
                    <w14:schemeClr w14:val="tx1"/>
                  </w14:solidFill>
                </w14:textFill>
              </w:rPr>
            </w:pPr>
            <w:r>
              <w:rPr>
                <w:rFonts w:hint="eastAsia"/>
                <w:color w:val="000000" w:themeColor="text1"/>
                <w:szCs w:val="22"/>
                <w14:textFill>
                  <w14:solidFill>
                    <w14:schemeClr w14:val="tx1"/>
                  </w14:solidFill>
                </w14:textFill>
              </w:rPr>
              <w:t>大岗镇东流村城中村改造片区</w:t>
            </w:r>
          </w:p>
        </w:tc>
        <w:tc>
          <w:tcPr>
            <w:tcW w:w="1025" w:type="pct"/>
            <w:tcBorders>
              <w:top w:val="single" w:color="000000" w:sz="4" w:space="0"/>
              <w:left w:val="nil"/>
              <w:bottom w:val="single" w:color="000000" w:sz="4" w:space="0"/>
              <w:right w:val="single" w:color="000000" w:sz="4" w:space="0"/>
            </w:tcBorders>
            <w:shd w:val="clear" w:color="auto" w:fill="auto"/>
            <w:vAlign w:val="center"/>
          </w:tcPr>
          <w:p w14:paraId="5CB5F1D3">
            <w:pPr>
              <w:pStyle w:val="42"/>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10.1364</w:t>
            </w:r>
          </w:p>
        </w:tc>
        <w:tc>
          <w:tcPr>
            <w:tcW w:w="853" w:type="pct"/>
            <w:tcBorders>
              <w:top w:val="single" w:color="000000" w:sz="4" w:space="0"/>
              <w:left w:val="nil"/>
              <w:bottom w:val="single" w:color="000000" w:sz="4" w:space="0"/>
              <w:right w:val="single" w:color="000000" w:sz="4" w:space="0"/>
            </w:tcBorders>
            <w:shd w:val="clear" w:color="auto" w:fill="auto"/>
            <w:vAlign w:val="center"/>
          </w:tcPr>
          <w:p w14:paraId="4B0B196C">
            <w:pPr>
              <w:pStyle w:val="42"/>
              <w:rPr>
                <w:rFonts w:ascii="Arial" w:hAnsi="Arial" w:cs="Arial"/>
                <w:color w:val="000000" w:themeColor="text1"/>
                <w:sz w:val="20"/>
                <w:szCs w:val="20"/>
                <w14:textFill>
                  <w14:solidFill>
                    <w14:schemeClr w14:val="tx1"/>
                  </w14:solidFill>
                </w14:textFill>
              </w:rPr>
            </w:pPr>
            <w:r>
              <w:rPr>
                <w:color w:val="000000" w:themeColor="text1"/>
                <w:szCs w:val="22"/>
                <w14:textFill>
                  <w14:solidFill>
                    <w14:schemeClr w14:val="tx1"/>
                  </w14:solidFill>
                </w14:textFill>
              </w:rPr>
              <w:t>18.4924</w:t>
            </w:r>
          </w:p>
        </w:tc>
        <w:tc>
          <w:tcPr>
            <w:tcW w:w="1076" w:type="pct"/>
            <w:tcBorders>
              <w:top w:val="single" w:color="000000" w:sz="4" w:space="0"/>
              <w:left w:val="nil"/>
              <w:bottom w:val="single" w:color="000000" w:sz="4" w:space="0"/>
              <w:right w:val="single" w:color="000000" w:sz="4" w:space="0"/>
            </w:tcBorders>
            <w:shd w:val="clear" w:color="auto" w:fill="auto"/>
            <w:vAlign w:val="center"/>
          </w:tcPr>
          <w:p w14:paraId="03DB220C">
            <w:pPr>
              <w:pStyle w:val="42"/>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54.81</w:t>
            </w:r>
          </w:p>
        </w:tc>
      </w:tr>
      <w:tr w14:paraId="1FB33945">
        <w:tblPrEx>
          <w:tblCellMar>
            <w:top w:w="0" w:type="dxa"/>
            <w:left w:w="108" w:type="dxa"/>
            <w:bottom w:w="0" w:type="dxa"/>
            <w:right w:w="108" w:type="dxa"/>
          </w:tblCellMar>
        </w:tblPrEx>
        <w:trPr>
          <w:trHeight w:val="600" w:hRule="atLeast"/>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14:paraId="31B4D9C6">
            <w:pPr>
              <w:pStyle w:val="42"/>
              <w:rPr>
                <w:color w:val="000000" w:themeColor="text1"/>
                <w:lang w:bidi="ar"/>
                <w14:textFill>
                  <w14:solidFill>
                    <w14:schemeClr w14:val="tx1"/>
                  </w14:solidFill>
                </w14:textFill>
              </w:rPr>
            </w:pPr>
            <w:r>
              <w:rPr>
                <w:color w:val="000000" w:themeColor="text1"/>
                <w:lang w:bidi="ar"/>
                <w14:textFill>
                  <w14:solidFill>
                    <w14:schemeClr w14:val="tx1"/>
                  </w14:solidFill>
                </w14:textFill>
              </w:rPr>
              <w:t>2</w:t>
            </w:r>
          </w:p>
        </w:tc>
        <w:tc>
          <w:tcPr>
            <w:tcW w:w="1621" w:type="pct"/>
            <w:tcBorders>
              <w:top w:val="single" w:color="auto" w:sz="4" w:space="0"/>
              <w:left w:val="single" w:color="auto" w:sz="4" w:space="0"/>
              <w:bottom w:val="single" w:color="auto" w:sz="4" w:space="0"/>
              <w:right w:val="single" w:color="auto" w:sz="4" w:space="0"/>
            </w:tcBorders>
            <w:shd w:val="clear" w:color="auto" w:fill="auto"/>
            <w:vAlign w:val="center"/>
          </w:tcPr>
          <w:p w14:paraId="02135D18">
            <w:pPr>
              <w:pStyle w:val="42"/>
              <w:rPr>
                <w:color w:val="000000" w:themeColor="text1"/>
                <w:lang w:bidi="ar"/>
                <w14:textFill>
                  <w14:solidFill>
                    <w14:schemeClr w14:val="tx1"/>
                  </w14:solidFill>
                </w14:textFill>
              </w:rPr>
            </w:pPr>
            <w:r>
              <w:rPr>
                <w:rFonts w:hint="eastAsia"/>
                <w:color w:val="000000" w:themeColor="text1"/>
                <w:szCs w:val="22"/>
                <w14:textFill>
                  <w14:solidFill>
                    <w14:schemeClr w14:val="tx1"/>
                  </w14:solidFill>
                </w14:textFill>
              </w:rPr>
              <w:t>小虎新海留用地片区</w:t>
            </w: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14:paraId="3BE7253B">
            <w:pPr>
              <w:pStyle w:val="42"/>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9.7823</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14:paraId="2D8C152A">
            <w:pPr>
              <w:pStyle w:val="42"/>
              <w:rPr>
                <w:rFonts w:ascii="Arial" w:hAnsi="Arial" w:cs="Arial"/>
                <w:color w:val="000000" w:themeColor="text1"/>
                <w:sz w:val="20"/>
                <w:szCs w:val="20"/>
                <w14:textFill>
                  <w14:solidFill>
                    <w14:schemeClr w14:val="tx1"/>
                  </w14:solidFill>
                </w14:textFill>
              </w:rPr>
            </w:pPr>
            <w:r>
              <w:rPr>
                <w:color w:val="000000" w:themeColor="text1"/>
                <w:szCs w:val="22"/>
                <w14:textFill>
                  <w14:solidFill>
                    <w14:schemeClr w14:val="tx1"/>
                  </w14:solidFill>
                </w14:textFill>
              </w:rPr>
              <w:t>27.0465</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14:paraId="7214B6BC">
            <w:pPr>
              <w:pStyle w:val="42"/>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36.17</w:t>
            </w:r>
          </w:p>
        </w:tc>
      </w:tr>
      <w:tr w14:paraId="04150A27">
        <w:tblPrEx>
          <w:tblCellMar>
            <w:top w:w="0" w:type="dxa"/>
            <w:left w:w="108" w:type="dxa"/>
            <w:bottom w:w="0" w:type="dxa"/>
            <w:right w:w="108" w:type="dxa"/>
          </w:tblCellMar>
        </w:tblPrEx>
        <w:trPr>
          <w:trHeight w:val="600" w:hRule="atLeast"/>
        </w:trPr>
        <w:tc>
          <w:tcPr>
            <w:tcW w:w="20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3C8532">
            <w:pPr>
              <w:pStyle w:val="42"/>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合计</w:t>
            </w:r>
          </w:p>
        </w:tc>
        <w:tc>
          <w:tcPr>
            <w:tcW w:w="1025" w:type="pct"/>
            <w:tcBorders>
              <w:top w:val="single" w:color="auto" w:sz="4" w:space="0"/>
              <w:left w:val="single" w:color="auto" w:sz="4" w:space="0"/>
              <w:bottom w:val="single" w:color="auto" w:sz="4" w:space="0"/>
              <w:right w:val="single" w:color="auto" w:sz="4" w:space="0"/>
            </w:tcBorders>
            <w:shd w:val="clear" w:color="auto" w:fill="auto"/>
            <w:vAlign w:val="center"/>
          </w:tcPr>
          <w:p w14:paraId="27CEAC87">
            <w:pPr>
              <w:pStyle w:val="42"/>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19.9187</w:t>
            </w:r>
          </w:p>
        </w:tc>
        <w:tc>
          <w:tcPr>
            <w:tcW w:w="853" w:type="pct"/>
            <w:tcBorders>
              <w:top w:val="single" w:color="auto" w:sz="4" w:space="0"/>
              <w:left w:val="single" w:color="auto" w:sz="4" w:space="0"/>
              <w:bottom w:val="single" w:color="auto" w:sz="4" w:space="0"/>
              <w:right w:val="single" w:color="auto" w:sz="4" w:space="0"/>
            </w:tcBorders>
            <w:shd w:val="clear" w:color="auto" w:fill="auto"/>
            <w:vAlign w:val="center"/>
          </w:tcPr>
          <w:p w14:paraId="3EBD76F5">
            <w:pPr>
              <w:pStyle w:val="42"/>
              <w:rPr>
                <w:color w:val="000000" w:themeColor="text1"/>
                <w:szCs w:val="22"/>
                <w14:textFill>
                  <w14:solidFill>
                    <w14:schemeClr w14:val="tx1"/>
                  </w14:solidFill>
                </w14:textFill>
              </w:rPr>
            </w:pPr>
            <w:r>
              <w:rPr>
                <w:color w:val="000000" w:themeColor="text1"/>
                <w:szCs w:val="22"/>
                <w14:textFill>
                  <w14:solidFill>
                    <w14:schemeClr w14:val="tx1"/>
                  </w14:solidFill>
                </w14:textFill>
              </w:rPr>
              <w:t>45.5389</w:t>
            </w:r>
          </w:p>
        </w:tc>
        <w:tc>
          <w:tcPr>
            <w:tcW w:w="1076" w:type="pct"/>
            <w:tcBorders>
              <w:top w:val="single" w:color="auto" w:sz="4" w:space="0"/>
              <w:left w:val="single" w:color="auto" w:sz="4" w:space="0"/>
              <w:bottom w:val="single" w:color="auto" w:sz="4" w:space="0"/>
              <w:right w:val="single" w:color="auto" w:sz="4" w:space="0"/>
            </w:tcBorders>
            <w:shd w:val="clear" w:color="auto" w:fill="auto"/>
            <w:vAlign w:val="center"/>
          </w:tcPr>
          <w:p w14:paraId="05896C86">
            <w:pPr>
              <w:pStyle w:val="42"/>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43.74</w:t>
            </w:r>
          </w:p>
        </w:tc>
      </w:tr>
    </w:tbl>
    <w:p w14:paraId="6E8C2A04">
      <w:pPr>
        <w:pStyle w:val="3"/>
        <w:rPr>
          <w:color w:val="000000" w:themeColor="text1"/>
          <w14:textFill>
            <w14:solidFill>
              <w14:schemeClr w14:val="tx1"/>
            </w14:solidFill>
          </w14:textFill>
        </w:rPr>
      </w:pPr>
      <w:bookmarkStart w:id="12" w:name="_Toc83282779"/>
      <w:bookmarkStart w:id="13" w:name="_Toc64714036"/>
      <w:r>
        <w:rPr>
          <w:rFonts w:hint="eastAsia"/>
          <w:color w:val="000000" w:themeColor="text1"/>
          <w14:textFill>
            <w14:solidFill>
              <w14:schemeClr w14:val="tx1"/>
            </w14:solidFill>
          </w14:textFill>
        </w:rPr>
        <w:t>六、成片开发效益评估</w:t>
      </w:r>
      <w:bookmarkEnd w:id="12"/>
      <w:bookmarkEnd w:id="13"/>
    </w:p>
    <w:p w14:paraId="1234C375">
      <w:pPr>
        <w:pStyle w:val="4"/>
        <w:rPr>
          <w:color w:val="000000" w:themeColor="text1"/>
          <w14:textFill>
            <w14:solidFill>
              <w14:schemeClr w14:val="tx1"/>
            </w14:solidFill>
          </w14:textFill>
        </w:rPr>
      </w:pPr>
      <w:bookmarkStart w:id="14" w:name="_Toc83282780"/>
      <w:bookmarkStart w:id="15" w:name="_Toc64714037"/>
      <w:r>
        <w:rPr>
          <w:rFonts w:hint="eastAsia"/>
          <w:color w:val="000000" w:themeColor="text1"/>
          <w14:textFill>
            <w14:solidFill>
              <w14:schemeClr w14:val="tx1"/>
            </w14:solidFill>
          </w14:textFill>
        </w:rPr>
        <w:t>（一）土地利用效益</w:t>
      </w:r>
      <w:bookmarkEnd w:id="14"/>
      <w:bookmarkEnd w:id="15"/>
    </w:p>
    <w:p w14:paraId="0D3B177B">
      <w:pPr>
        <w:rPr>
          <w:color w:val="000000" w:themeColor="text1"/>
          <w14:textFill>
            <w14:solidFill>
              <w14:schemeClr w14:val="tx1"/>
            </w14:solidFill>
          </w14:textFill>
        </w:rPr>
      </w:pPr>
      <w:r>
        <w:rPr>
          <w:rFonts w:hint="eastAsia"/>
          <w:color w:val="000000" w:themeColor="text1"/>
          <w14:textFill>
            <w14:solidFill>
              <w14:schemeClr w14:val="tx1"/>
            </w14:solidFill>
          </w14:textFill>
        </w:rPr>
        <w:t>成片开发有助于优化南沙区建设用地空间格局，提高土地节约集约利用水平，促进存量土地再开发，推动南沙区土地资源高质量利用和可持续发展。成片开发片区结合国土空间规划发展定位，综合考虑连片开发的整体性，合理安排各类项目，促进产业集聚，确保建设项目与所在片区的功能协调，可实现片区功能，加强产业集聚，促进节约用地。</w:t>
      </w:r>
    </w:p>
    <w:p w14:paraId="2F007119">
      <w:pPr>
        <w:pStyle w:val="4"/>
        <w:rPr>
          <w:color w:val="000000" w:themeColor="text1"/>
          <w14:textFill>
            <w14:solidFill>
              <w14:schemeClr w14:val="tx1"/>
            </w14:solidFill>
          </w14:textFill>
        </w:rPr>
      </w:pPr>
      <w:bookmarkStart w:id="16" w:name="_Toc83282781"/>
      <w:bookmarkStart w:id="17" w:name="_Toc64714038"/>
      <w:r>
        <w:rPr>
          <w:rFonts w:hint="eastAsia"/>
          <w:color w:val="000000" w:themeColor="text1"/>
          <w14:textFill>
            <w14:solidFill>
              <w14:schemeClr w14:val="tx1"/>
            </w14:solidFill>
          </w14:textFill>
        </w:rPr>
        <w:t>（二）经济效益</w:t>
      </w:r>
      <w:bookmarkEnd w:id="16"/>
      <w:bookmarkEnd w:id="17"/>
    </w:p>
    <w:p w14:paraId="68289776">
      <w:pPr>
        <w:rPr>
          <w:color w:val="000000" w:themeColor="text1"/>
          <w14:textFill>
            <w14:solidFill>
              <w14:schemeClr w14:val="tx1"/>
            </w14:solidFill>
          </w14:textFill>
        </w:rPr>
      </w:pPr>
      <w:r>
        <w:rPr>
          <w:rFonts w:hint="eastAsia"/>
          <w:color w:val="000000" w:themeColor="text1"/>
          <w14:textFill>
            <w14:solidFill>
              <w14:schemeClr w14:val="tx1"/>
            </w14:solidFill>
          </w14:textFill>
        </w:rPr>
        <w:t>本次土地征收成片开发可实现广州国民经济和社会发展目标，扎实建设国家创新中心城市，助力南沙打造高水平对外开放门户枢纽。通过成片开发可整合空间资源，推动落实庆盛片区、北部片区的功能定位，为该区域提供用地与功能支撑，对打造新时代改革开放新高地、为粤港澳发展提供新动能具有重要意义。</w:t>
      </w:r>
    </w:p>
    <w:p w14:paraId="6DEC7EAA">
      <w:pPr>
        <w:pStyle w:val="4"/>
        <w:rPr>
          <w:color w:val="000000" w:themeColor="text1"/>
          <w14:textFill>
            <w14:solidFill>
              <w14:schemeClr w14:val="tx1"/>
            </w14:solidFill>
          </w14:textFill>
        </w:rPr>
      </w:pPr>
      <w:bookmarkStart w:id="18" w:name="_Toc83282782"/>
      <w:r>
        <w:rPr>
          <w:rFonts w:hint="eastAsia"/>
          <w:color w:val="000000" w:themeColor="text1"/>
          <w14:textFill>
            <w14:solidFill>
              <w14:schemeClr w14:val="tx1"/>
            </w14:solidFill>
          </w14:textFill>
        </w:rPr>
        <w:t>（三）社会效益</w:t>
      </w:r>
      <w:bookmarkEnd w:id="18"/>
    </w:p>
    <w:p w14:paraId="25A1E5F1">
      <w:pPr>
        <w:rPr>
          <w:color w:val="000000" w:themeColor="text1"/>
          <w14:textFill>
            <w14:solidFill>
              <w14:schemeClr w14:val="tx1"/>
            </w14:solidFill>
          </w14:textFill>
        </w:rPr>
      </w:pPr>
      <w:r>
        <w:rPr>
          <w:rFonts w:hint="eastAsia"/>
          <w:color w:val="000000" w:themeColor="text1"/>
          <w14:textFill>
            <w14:solidFill>
              <w14:schemeClr w14:val="tx1"/>
            </w14:solidFill>
          </w14:textFill>
        </w:rPr>
        <w:t>在程序上，成片开发方案编制过程中严格依照《自然资源部关于印发&lt;土地征收成片开发标准&gt;的通知》（自然资规〔2023〕7号）落实相关程序，尊重民意，征求成片开发范围内农村集体经济组织和农民的意见。方案各片区均已取得片区范围内农民集体经济组织三分之二以上成员代表同意。科学合理制定征地拆迁补偿方案，对征收范围内涉及的现状合法建筑所有者进行妥善安置，保障其合法权益及发展需求，有利于维持社会公平稳定。拟安排产业项目开发可提供更多的就业岗位，各类高质量的产业商业对带动就业，吸引高端人才起到积极作用，成片开发内产业用地可提供就业岗位。居住商业有助于提升南沙区的社会服务综合保障能力，满足南沙区快速增长的人口对社会服务及住房需求。</w:t>
      </w:r>
      <w:r>
        <w:rPr>
          <w:rFonts w:cs="Times New Roman"/>
          <w:color w:val="000000" w:themeColor="text1"/>
          <w14:textFill>
            <w14:solidFill>
              <w14:schemeClr w14:val="tx1"/>
            </w14:solidFill>
          </w14:textFill>
        </w:rPr>
        <w:t>成片开发片区</w:t>
      </w:r>
      <w:r>
        <w:rPr>
          <w:rFonts w:hint="eastAsia" w:cs="Times New Roman"/>
          <w:color w:val="000000" w:themeColor="text1"/>
          <w14:textFill>
            <w14:solidFill>
              <w14:schemeClr w14:val="tx1"/>
            </w14:solidFill>
          </w14:textFill>
        </w:rPr>
        <w:t>均含有</w:t>
      </w:r>
      <w:r>
        <w:rPr>
          <w:rFonts w:cs="Times New Roman"/>
          <w:color w:val="000000" w:themeColor="text1"/>
          <w14:textFill>
            <w14:solidFill>
              <w14:schemeClr w14:val="tx1"/>
            </w14:solidFill>
          </w14:textFill>
        </w:rPr>
        <w:t>不低于30%公益性用地，可以有力保障各类服务设施的用地。</w:t>
      </w:r>
    </w:p>
    <w:p w14:paraId="188E89D7">
      <w:pPr>
        <w:pStyle w:val="4"/>
        <w:rPr>
          <w:color w:val="000000" w:themeColor="text1"/>
          <w14:textFill>
            <w14:solidFill>
              <w14:schemeClr w14:val="tx1"/>
            </w14:solidFill>
          </w14:textFill>
        </w:rPr>
      </w:pPr>
      <w:bookmarkStart w:id="19" w:name="_Toc83282783"/>
      <w:bookmarkStart w:id="20" w:name="_Toc64714039"/>
      <w:r>
        <w:rPr>
          <w:rFonts w:hint="eastAsia"/>
          <w:color w:val="000000" w:themeColor="text1"/>
          <w14:textFill>
            <w14:solidFill>
              <w14:schemeClr w14:val="tx1"/>
            </w14:solidFill>
          </w14:textFill>
        </w:rPr>
        <w:t>（四）生态效益</w:t>
      </w:r>
      <w:bookmarkEnd w:id="19"/>
      <w:bookmarkEnd w:id="20"/>
    </w:p>
    <w:p w14:paraId="2F4ABBE6">
      <w:pPr>
        <w:rPr>
          <w:color w:val="000000" w:themeColor="text1"/>
          <w14:textFill>
            <w14:solidFill>
              <w14:schemeClr w14:val="tx1"/>
            </w14:solidFill>
          </w14:textFill>
        </w:rPr>
      </w:pPr>
      <w:r>
        <w:rPr>
          <w:rFonts w:hint="eastAsia"/>
          <w:color w:val="000000" w:themeColor="text1"/>
          <w14:textFill>
            <w14:solidFill>
              <w14:schemeClr w14:val="tx1"/>
            </w14:solidFill>
          </w14:textFill>
        </w:rPr>
        <w:t>成片开发片区及项目不涉及生态保护红线和永久基本农田。在国土空间规划科学定位的功能分区基础上，落实各类项目。在国土空间规划科学定位的功能分区基础上，落实各类项目。通过产业转型升级推动绿色制造与可持续发展，通过公园绿地等绿色空间规划保障城乡生态环境品质。</w:t>
      </w:r>
    </w:p>
    <w:p w14:paraId="05721A0F">
      <w:pPr>
        <w:rPr>
          <w:color w:val="000000" w:themeColor="text1"/>
          <w14:textFill>
            <w14:solidFill>
              <w14:schemeClr w14:val="tx1"/>
            </w14:solidFill>
          </w14:textFill>
        </w:rPr>
      </w:pPr>
    </w:p>
    <w:p w14:paraId="07597411">
      <w:pPr>
        <w:pStyle w:val="3"/>
        <w:rPr>
          <w:color w:val="000000" w:themeColor="text1"/>
          <w14:textFill>
            <w14:solidFill>
              <w14:schemeClr w14:val="tx1"/>
            </w14:solidFill>
          </w14:textFill>
        </w:rPr>
      </w:pPr>
      <w:bookmarkStart w:id="21" w:name="_Toc83282784"/>
      <w:r>
        <w:rPr>
          <w:rFonts w:hint="eastAsia"/>
          <w:color w:val="000000" w:themeColor="text1"/>
          <w14:textFill>
            <w14:solidFill>
              <w14:schemeClr w14:val="tx1"/>
            </w14:solidFill>
          </w14:textFill>
        </w:rPr>
        <w:t>七、结论</w:t>
      </w:r>
      <w:bookmarkEnd w:id="21"/>
    </w:p>
    <w:p w14:paraId="6C2D692A">
      <w:pPr>
        <w:widowControl/>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304" w:right="1797" w:bottom="1191" w:left="1797" w:header="851" w:footer="992" w:gutter="0"/>
          <w:cols w:space="425" w:num="1"/>
          <w:docGrid w:type="lines" w:linePitch="408" w:charSpace="0"/>
        </w:sectPr>
      </w:pPr>
      <w:r>
        <w:rPr>
          <w:rFonts w:hint="eastAsia"/>
          <w:color w:val="000000" w:themeColor="text1"/>
          <w14:textFill>
            <w14:solidFill>
              <w14:schemeClr w14:val="tx1"/>
            </w14:solidFill>
          </w14:textFill>
        </w:rPr>
        <w:t>综上所述，《方案》符合《自然资源部关于印发&lt;土地征收成片开发标准&gt;的通知》（自然资规〔2023〕7号）、《广东省自然资源厅关于进一步规范土地征收成片开发工作的通知》（粤自然资规字〔2024〕7号）的要求。</w:t>
      </w:r>
    </w:p>
    <w:p w14:paraId="25286EAA">
      <w:pPr>
        <w:spacing w:after="0"/>
        <w:ind w:firstLine="0" w:firstLineChars="0"/>
        <w:jc w:val="left"/>
        <w:rPr>
          <w:b/>
          <w:bCs/>
          <w:color w:val="000000" w:themeColor="text1"/>
          <w:sz w:val="20"/>
          <w:szCs w:val="13"/>
          <w14:textFill>
            <w14:solidFill>
              <w14:schemeClr w14:val="tx1"/>
            </w14:solidFill>
          </w14:textFill>
        </w:rPr>
      </w:pPr>
      <w:r>
        <w:rPr>
          <w:rFonts w:hint="eastAsia"/>
          <w:b/>
          <w:bCs/>
          <w:color w:val="000000" w:themeColor="text1"/>
          <w:sz w:val="20"/>
          <w:szCs w:val="13"/>
          <w14:textFill>
            <w14:solidFill>
              <w14:schemeClr w14:val="tx1"/>
            </w14:solidFill>
          </w14:textFill>
        </w:rPr>
        <w:t xml:space="preserve">附图 </w:t>
      </w:r>
      <w:r>
        <w:rPr>
          <w:rFonts w:hint="eastAsia"/>
          <w:b/>
          <w:bCs/>
          <w:color w:val="000000" w:themeColor="text1"/>
          <w:sz w:val="20"/>
          <w:szCs w:val="13"/>
          <w14:textFill>
            <w14:solidFill>
              <w14:schemeClr w14:val="tx1"/>
            </w14:solidFill>
          </w14:textFill>
        </w:rPr>
        <w:tab/>
      </w:r>
      <w:r>
        <w:rPr>
          <w:rFonts w:hint="eastAsia"/>
          <w:b/>
          <w:bCs/>
          <w:color w:val="000000" w:themeColor="text1"/>
          <w:sz w:val="20"/>
          <w:szCs w:val="13"/>
          <w14:textFill>
            <w14:solidFill>
              <w14:schemeClr w14:val="tx1"/>
            </w14:solidFill>
          </w14:textFill>
        </w:rPr>
        <w:t>广州市南沙区202</w:t>
      </w:r>
      <w:r>
        <w:rPr>
          <w:b/>
          <w:bCs/>
          <w:color w:val="000000" w:themeColor="text1"/>
          <w:sz w:val="20"/>
          <w:szCs w:val="13"/>
          <w14:textFill>
            <w14:solidFill>
              <w14:schemeClr w14:val="tx1"/>
            </w14:solidFill>
          </w14:textFill>
        </w:rPr>
        <w:t>5</w:t>
      </w:r>
      <w:r>
        <w:rPr>
          <w:rFonts w:hint="eastAsia"/>
          <w:b/>
          <w:bCs/>
          <w:color w:val="000000" w:themeColor="text1"/>
          <w:sz w:val="20"/>
          <w:szCs w:val="13"/>
          <w14:textFill>
            <w14:solidFill>
              <w14:schemeClr w14:val="tx1"/>
            </w14:solidFill>
          </w14:textFill>
        </w:rPr>
        <w:t>年度土地征收成片开发（第一批）范围总体分布示意图</w:t>
      </w:r>
    </w:p>
    <w:p w14:paraId="713347ED">
      <w:pPr>
        <w:ind w:firstLine="0" w:firstLineChars="0"/>
        <w:jc w:val="center"/>
        <w:rPr>
          <w:b/>
          <w:bCs/>
          <w:color w:val="000000" w:themeColor="text1"/>
          <w:sz w:val="20"/>
          <w:szCs w:val="13"/>
          <w14:textFill>
            <w14:solidFill>
              <w14:schemeClr w14:val="tx1"/>
            </w14:solidFill>
          </w14:textFill>
        </w:rPr>
      </w:pPr>
      <w:r>
        <w:rPr>
          <w:color w:val="000000" w:themeColor="text1"/>
          <w14:textFill>
            <w14:solidFill>
              <w14:schemeClr w14:val="tx1"/>
            </w14:solidFill>
          </w14:textFill>
        </w:rPr>
        <w:drawing>
          <wp:inline distT="0" distB="0" distL="0" distR="0">
            <wp:extent cx="11483975" cy="83172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84000" cy="8317821"/>
                    </a:xfrm>
                    <a:prstGeom prst="rect">
                      <a:avLst/>
                    </a:prstGeom>
                    <a:noFill/>
                    <a:ln>
                      <a:noFill/>
                    </a:ln>
                  </pic:spPr>
                </pic:pic>
              </a:graphicData>
            </a:graphic>
          </wp:inline>
        </w:drawing>
      </w:r>
    </w:p>
    <w:sectPr>
      <w:headerReference r:id="rId11" w:type="first"/>
      <w:pgSz w:w="23811" w:h="16838" w:orient="landscape"/>
      <w:pgMar w:top="739" w:right="1440" w:bottom="794" w:left="1440"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 new ro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493409"/>
    </w:sdtPr>
    <w:sdtContent>
      <w:p w14:paraId="4DE46AAA">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14:paraId="4EDCE9FA">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123D7">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DD11">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00"/>
      </w:pPr>
      <w:r>
        <w:separator/>
      </w:r>
    </w:p>
  </w:footnote>
  <w:footnote w:type="continuationSeparator" w:id="1">
    <w:p>
      <w:pPr>
        <w:spacing w:before="0" w:after="0"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8697">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C436E">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682A">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503E">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50"/>
  <w:drawingGridVerticalSpacing w:val="204"/>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FA"/>
    <w:rsid w:val="00000CE0"/>
    <w:rsid w:val="000010B2"/>
    <w:rsid w:val="00001AD7"/>
    <w:rsid w:val="00005272"/>
    <w:rsid w:val="0000731A"/>
    <w:rsid w:val="000107B5"/>
    <w:rsid w:val="00010FBE"/>
    <w:rsid w:val="00012374"/>
    <w:rsid w:val="000144E9"/>
    <w:rsid w:val="0001451D"/>
    <w:rsid w:val="000154C8"/>
    <w:rsid w:val="00020E7A"/>
    <w:rsid w:val="0002290D"/>
    <w:rsid w:val="00023A5B"/>
    <w:rsid w:val="00026071"/>
    <w:rsid w:val="00026B6D"/>
    <w:rsid w:val="00027638"/>
    <w:rsid w:val="00031990"/>
    <w:rsid w:val="00032AB4"/>
    <w:rsid w:val="00034CAA"/>
    <w:rsid w:val="00036738"/>
    <w:rsid w:val="00041797"/>
    <w:rsid w:val="00043C70"/>
    <w:rsid w:val="0004415E"/>
    <w:rsid w:val="000456F7"/>
    <w:rsid w:val="000508AB"/>
    <w:rsid w:val="00051D5C"/>
    <w:rsid w:val="00051F82"/>
    <w:rsid w:val="00053ABC"/>
    <w:rsid w:val="00055B37"/>
    <w:rsid w:val="00055C03"/>
    <w:rsid w:val="00057C35"/>
    <w:rsid w:val="0006067D"/>
    <w:rsid w:val="00061047"/>
    <w:rsid w:val="000613AF"/>
    <w:rsid w:val="000637E2"/>
    <w:rsid w:val="0006521E"/>
    <w:rsid w:val="00066983"/>
    <w:rsid w:val="00070F5A"/>
    <w:rsid w:val="00071AC4"/>
    <w:rsid w:val="00071DD0"/>
    <w:rsid w:val="00075EE1"/>
    <w:rsid w:val="000773D8"/>
    <w:rsid w:val="00082113"/>
    <w:rsid w:val="00082433"/>
    <w:rsid w:val="00082A55"/>
    <w:rsid w:val="0008314B"/>
    <w:rsid w:val="000846BF"/>
    <w:rsid w:val="00086E9A"/>
    <w:rsid w:val="00087A23"/>
    <w:rsid w:val="00090890"/>
    <w:rsid w:val="000A29EF"/>
    <w:rsid w:val="000A3F01"/>
    <w:rsid w:val="000A48B1"/>
    <w:rsid w:val="000A5858"/>
    <w:rsid w:val="000A63CC"/>
    <w:rsid w:val="000B1069"/>
    <w:rsid w:val="000B1E59"/>
    <w:rsid w:val="000B627C"/>
    <w:rsid w:val="000B7F1B"/>
    <w:rsid w:val="000B7F35"/>
    <w:rsid w:val="000C0FC3"/>
    <w:rsid w:val="000C17BF"/>
    <w:rsid w:val="000C550E"/>
    <w:rsid w:val="000C589B"/>
    <w:rsid w:val="000C5AC6"/>
    <w:rsid w:val="000C68F8"/>
    <w:rsid w:val="000D08B2"/>
    <w:rsid w:val="000D0ED5"/>
    <w:rsid w:val="000D3226"/>
    <w:rsid w:val="000D3A20"/>
    <w:rsid w:val="000D491A"/>
    <w:rsid w:val="000D6F5A"/>
    <w:rsid w:val="000E2F4B"/>
    <w:rsid w:val="000E523C"/>
    <w:rsid w:val="000E5D70"/>
    <w:rsid w:val="000E67D9"/>
    <w:rsid w:val="000E7D18"/>
    <w:rsid w:val="000F0FBB"/>
    <w:rsid w:val="000F2887"/>
    <w:rsid w:val="000F6083"/>
    <w:rsid w:val="000F6A16"/>
    <w:rsid w:val="000F6BA8"/>
    <w:rsid w:val="001010DB"/>
    <w:rsid w:val="00105D52"/>
    <w:rsid w:val="00106A1A"/>
    <w:rsid w:val="001079A0"/>
    <w:rsid w:val="0011086F"/>
    <w:rsid w:val="00111DC5"/>
    <w:rsid w:val="00113276"/>
    <w:rsid w:val="00127BEB"/>
    <w:rsid w:val="00131241"/>
    <w:rsid w:val="0013241D"/>
    <w:rsid w:val="0013491B"/>
    <w:rsid w:val="00136907"/>
    <w:rsid w:val="00137115"/>
    <w:rsid w:val="00137C1B"/>
    <w:rsid w:val="001426EA"/>
    <w:rsid w:val="00142E94"/>
    <w:rsid w:val="00145785"/>
    <w:rsid w:val="00147E36"/>
    <w:rsid w:val="00152030"/>
    <w:rsid w:val="00152F2C"/>
    <w:rsid w:val="00154B12"/>
    <w:rsid w:val="0015760B"/>
    <w:rsid w:val="00163D69"/>
    <w:rsid w:val="00164A3A"/>
    <w:rsid w:val="00164DF3"/>
    <w:rsid w:val="001661F1"/>
    <w:rsid w:val="001741AE"/>
    <w:rsid w:val="00183D11"/>
    <w:rsid w:val="00184B54"/>
    <w:rsid w:val="00184C66"/>
    <w:rsid w:val="00184D0F"/>
    <w:rsid w:val="0018539E"/>
    <w:rsid w:val="00187ABE"/>
    <w:rsid w:val="0019159D"/>
    <w:rsid w:val="0019163E"/>
    <w:rsid w:val="001917A7"/>
    <w:rsid w:val="001921C4"/>
    <w:rsid w:val="00193CD8"/>
    <w:rsid w:val="00194FE9"/>
    <w:rsid w:val="00195377"/>
    <w:rsid w:val="001969D5"/>
    <w:rsid w:val="001A08D6"/>
    <w:rsid w:val="001A1477"/>
    <w:rsid w:val="001A2236"/>
    <w:rsid w:val="001A326F"/>
    <w:rsid w:val="001A34CB"/>
    <w:rsid w:val="001A71FE"/>
    <w:rsid w:val="001A7AE9"/>
    <w:rsid w:val="001B124A"/>
    <w:rsid w:val="001B24AE"/>
    <w:rsid w:val="001B36CE"/>
    <w:rsid w:val="001B53E6"/>
    <w:rsid w:val="001C2003"/>
    <w:rsid w:val="001C5CB7"/>
    <w:rsid w:val="001D068A"/>
    <w:rsid w:val="001D1469"/>
    <w:rsid w:val="001D14F7"/>
    <w:rsid w:val="001D184F"/>
    <w:rsid w:val="001D2C51"/>
    <w:rsid w:val="001D7026"/>
    <w:rsid w:val="001E02EA"/>
    <w:rsid w:val="001E0BED"/>
    <w:rsid w:val="001E2D97"/>
    <w:rsid w:val="001E3C26"/>
    <w:rsid w:val="001E421F"/>
    <w:rsid w:val="001E6669"/>
    <w:rsid w:val="001E6C9F"/>
    <w:rsid w:val="001F1291"/>
    <w:rsid w:val="001F6FA4"/>
    <w:rsid w:val="00200639"/>
    <w:rsid w:val="00203ED4"/>
    <w:rsid w:val="0020482E"/>
    <w:rsid w:val="00204E26"/>
    <w:rsid w:val="0020704E"/>
    <w:rsid w:val="00210F06"/>
    <w:rsid w:val="002111B0"/>
    <w:rsid w:val="00213314"/>
    <w:rsid w:val="00215388"/>
    <w:rsid w:val="0022020E"/>
    <w:rsid w:val="00220CE7"/>
    <w:rsid w:val="00226DB6"/>
    <w:rsid w:val="002272EB"/>
    <w:rsid w:val="002312E6"/>
    <w:rsid w:val="002313F6"/>
    <w:rsid w:val="00234359"/>
    <w:rsid w:val="00234851"/>
    <w:rsid w:val="00236D4A"/>
    <w:rsid w:val="0024050E"/>
    <w:rsid w:val="00240B70"/>
    <w:rsid w:val="00242F94"/>
    <w:rsid w:val="00245408"/>
    <w:rsid w:val="0024658E"/>
    <w:rsid w:val="00250975"/>
    <w:rsid w:val="00253CA7"/>
    <w:rsid w:val="00254893"/>
    <w:rsid w:val="00255560"/>
    <w:rsid w:val="00255AEF"/>
    <w:rsid w:val="00256D0F"/>
    <w:rsid w:val="00257748"/>
    <w:rsid w:val="00260787"/>
    <w:rsid w:val="002611A3"/>
    <w:rsid w:val="0026187F"/>
    <w:rsid w:val="00264621"/>
    <w:rsid w:val="00265976"/>
    <w:rsid w:val="00265D52"/>
    <w:rsid w:val="00265F26"/>
    <w:rsid w:val="0027129C"/>
    <w:rsid w:val="00274AB4"/>
    <w:rsid w:val="002770B5"/>
    <w:rsid w:val="00277B68"/>
    <w:rsid w:val="00284AB6"/>
    <w:rsid w:val="0028509A"/>
    <w:rsid w:val="00293E5E"/>
    <w:rsid w:val="00294A3B"/>
    <w:rsid w:val="00294D07"/>
    <w:rsid w:val="00296612"/>
    <w:rsid w:val="002974A2"/>
    <w:rsid w:val="002A0C52"/>
    <w:rsid w:val="002A0DAD"/>
    <w:rsid w:val="002A1C71"/>
    <w:rsid w:val="002A2A6E"/>
    <w:rsid w:val="002A3BC1"/>
    <w:rsid w:val="002A4341"/>
    <w:rsid w:val="002A5E8D"/>
    <w:rsid w:val="002A6D9C"/>
    <w:rsid w:val="002A7264"/>
    <w:rsid w:val="002B3156"/>
    <w:rsid w:val="002B4599"/>
    <w:rsid w:val="002B4FFB"/>
    <w:rsid w:val="002C6F15"/>
    <w:rsid w:val="002D0E4F"/>
    <w:rsid w:val="002D1B38"/>
    <w:rsid w:val="002D207B"/>
    <w:rsid w:val="002D58CC"/>
    <w:rsid w:val="002D7979"/>
    <w:rsid w:val="002E23BB"/>
    <w:rsid w:val="002E2EC8"/>
    <w:rsid w:val="002E491F"/>
    <w:rsid w:val="002E69DA"/>
    <w:rsid w:val="002F26AD"/>
    <w:rsid w:val="002F4AFA"/>
    <w:rsid w:val="0030149B"/>
    <w:rsid w:val="003036A2"/>
    <w:rsid w:val="0030527B"/>
    <w:rsid w:val="003065DC"/>
    <w:rsid w:val="00306F6F"/>
    <w:rsid w:val="00314901"/>
    <w:rsid w:val="00315100"/>
    <w:rsid w:val="003154DC"/>
    <w:rsid w:val="00315D9F"/>
    <w:rsid w:val="003168E1"/>
    <w:rsid w:val="00317EF8"/>
    <w:rsid w:val="00320FD0"/>
    <w:rsid w:val="003218E2"/>
    <w:rsid w:val="00322897"/>
    <w:rsid w:val="00322AEF"/>
    <w:rsid w:val="003239D3"/>
    <w:rsid w:val="003246A4"/>
    <w:rsid w:val="003250E5"/>
    <w:rsid w:val="0032555D"/>
    <w:rsid w:val="00332A73"/>
    <w:rsid w:val="00332EB1"/>
    <w:rsid w:val="0033512C"/>
    <w:rsid w:val="00341FAE"/>
    <w:rsid w:val="00342154"/>
    <w:rsid w:val="00342414"/>
    <w:rsid w:val="003435EF"/>
    <w:rsid w:val="00343C05"/>
    <w:rsid w:val="003471E0"/>
    <w:rsid w:val="00350E59"/>
    <w:rsid w:val="00350F5D"/>
    <w:rsid w:val="003517FF"/>
    <w:rsid w:val="0035637A"/>
    <w:rsid w:val="00356CF4"/>
    <w:rsid w:val="003575DF"/>
    <w:rsid w:val="00361DF4"/>
    <w:rsid w:val="00363E44"/>
    <w:rsid w:val="00364774"/>
    <w:rsid w:val="003652F1"/>
    <w:rsid w:val="00370738"/>
    <w:rsid w:val="003713CB"/>
    <w:rsid w:val="00373103"/>
    <w:rsid w:val="00374333"/>
    <w:rsid w:val="003753CE"/>
    <w:rsid w:val="00376030"/>
    <w:rsid w:val="00377161"/>
    <w:rsid w:val="003822B2"/>
    <w:rsid w:val="00384DE1"/>
    <w:rsid w:val="003903D8"/>
    <w:rsid w:val="00393C87"/>
    <w:rsid w:val="00394171"/>
    <w:rsid w:val="0039584D"/>
    <w:rsid w:val="00395AC2"/>
    <w:rsid w:val="00396435"/>
    <w:rsid w:val="00397BFC"/>
    <w:rsid w:val="003A0172"/>
    <w:rsid w:val="003A08F6"/>
    <w:rsid w:val="003A0ECC"/>
    <w:rsid w:val="003A2926"/>
    <w:rsid w:val="003A3869"/>
    <w:rsid w:val="003A58FA"/>
    <w:rsid w:val="003A6720"/>
    <w:rsid w:val="003A6A46"/>
    <w:rsid w:val="003B2614"/>
    <w:rsid w:val="003B51A9"/>
    <w:rsid w:val="003C5538"/>
    <w:rsid w:val="003C6980"/>
    <w:rsid w:val="003C7A0E"/>
    <w:rsid w:val="003D4B48"/>
    <w:rsid w:val="003D57D4"/>
    <w:rsid w:val="003D5DE1"/>
    <w:rsid w:val="003E0CB7"/>
    <w:rsid w:val="003E11A2"/>
    <w:rsid w:val="003E199D"/>
    <w:rsid w:val="003E2232"/>
    <w:rsid w:val="003E3BC7"/>
    <w:rsid w:val="003E47FF"/>
    <w:rsid w:val="003E576C"/>
    <w:rsid w:val="003E5D8D"/>
    <w:rsid w:val="003E6033"/>
    <w:rsid w:val="003E672A"/>
    <w:rsid w:val="003E6FF7"/>
    <w:rsid w:val="003E72ED"/>
    <w:rsid w:val="003E748F"/>
    <w:rsid w:val="003F2C79"/>
    <w:rsid w:val="00411E9B"/>
    <w:rsid w:val="004131C6"/>
    <w:rsid w:val="004153F7"/>
    <w:rsid w:val="00417214"/>
    <w:rsid w:val="004175B2"/>
    <w:rsid w:val="00420487"/>
    <w:rsid w:val="0042061C"/>
    <w:rsid w:val="00422F05"/>
    <w:rsid w:val="004239FF"/>
    <w:rsid w:val="00423DA9"/>
    <w:rsid w:val="00433A7C"/>
    <w:rsid w:val="00434593"/>
    <w:rsid w:val="00434FFD"/>
    <w:rsid w:val="00436DA0"/>
    <w:rsid w:val="004411C8"/>
    <w:rsid w:val="00441DDA"/>
    <w:rsid w:val="00442201"/>
    <w:rsid w:val="00444A99"/>
    <w:rsid w:val="00445E2E"/>
    <w:rsid w:val="00446785"/>
    <w:rsid w:val="0044757C"/>
    <w:rsid w:val="0045001A"/>
    <w:rsid w:val="004502D4"/>
    <w:rsid w:val="004505CF"/>
    <w:rsid w:val="00451AC9"/>
    <w:rsid w:val="0045278A"/>
    <w:rsid w:val="00460618"/>
    <w:rsid w:val="004644E0"/>
    <w:rsid w:val="0046620F"/>
    <w:rsid w:val="00466B50"/>
    <w:rsid w:val="00470464"/>
    <w:rsid w:val="00470716"/>
    <w:rsid w:val="004719B3"/>
    <w:rsid w:val="00475D13"/>
    <w:rsid w:val="00475FC1"/>
    <w:rsid w:val="004765BF"/>
    <w:rsid w:val="00476623"/>
    <w:rsid w:val="004775D6"/>
    <w:rsid w:val="00477FD7"/>
    <w:rsid w:val="004829A3"/>
    <w:rsid w:val="00485C04"/>
    <w:rsid w:val="004879EC"/>
    <w:rsid w:val="004879F3"/>
    <w:rsid w:val="00491F40"/>
    <w:rsid w:val="00493A1E"/>
    <w:rsid w:val="00493D85"/>
    <w:rsid w:val="004941F1"/>
    <w:rsid w:val="00495BEE"/>
    <w:rsid w:val="00495C4B"/>
    <w:rsid w:val="004A099D"/>
    <w:rsid w:val="004A10B5"/>
    <w:rsid w:val="004A23C3"/>
    <w:rsid w:val="004A2B83"/>
    <w:rsid w:val="004A3B70"/>
    <w:rsid w:val="004A6AD2"/>
    <w:rsid w:val="004A7208"/>
    <w:rsid w:val="004A77C7"/>
    <w:rsid w:val="004B08AA"/>
    <w:rsid w:val="004B4B3B"/>
    <w:rsid w:val="004B63C9"/>
    <w:rsid w:val="004C166C"/>
    <w:rsid w:val="004C4045"/>
    <w:rsid w:val="004C4297"/>
    <w:rsid w:val="004C59E0"/>
    <w:rsid w:val="004C5E10"/>
    <w:rsid w:val="004C5EB9"/>
    <w:rsid w:val="004D31C7"/>
    <w:rsid w:val="004D3E6D"/>
    <w:rsid w:val="004D580E"/>
    <w:rsid w:val="004D5D9B"/>
    <w:rsid w:val="004D6D92"/>
    <w:rsid w:val="004D7DA3"/>
    <w:rsid w:val="004E221F"/>
    <w:rsid w:val="004E3E52"/>
    <w:rsid w:val="004E46F3"/>
    <w:rsid w:val="004E6DAD"/>
    <w:rsid w:val="004E6E85"/>
    <w:rsid w:val="004F2435"/>
    <w:rsid w:val="004F3C97"/>
    <w:rsid w:val="004F3FF4"/>
    <w:rsid w:val="004F698B"/>
    <w:rsid w:val="004F6C6C"/>
    <w:rsid w:val="00501860"/>
    <w:rsid w:val="005020A4"/>
    <w:rsid w:val="005055EC"/>
    <w:rsid w:val="00505BC6"/>
    <w:rsid w:val="0050643C"/>
    <w:rsid w:val="0051101C"/>
    <w:rsid w:val="005119BD"/>
    <w:rsid w:val="00511F63"/>
    <w:rsid w:val="005128B2"/>
    <w:rsid w:val="0051476E"/>
    <w:rsid w:val="00515BFE"/>
    <w:rsid w:val="00520834"/>
    <w:rsid w:val="0052346B"/>
    <w:rsid w:val="00524003"/>
    <w:rsid w:val="00525B5B"/>
    <w:rsid w:val="00531B84"/>
    <w:rsid w:val="00531BE4"/>
    <w:rsid w:val="005336A5"/>
    <w:rsid w:val="00534080"/>
    <w:rsid w:val="005354C3"/>
    <w:rsid w:val="00537D3D"/>
    <w:rsid w:val="00545F43"/>
    <w:rsid w:val="005543D6"/>
    <w:rsid w:val="00555D60"/>
    <w:rsid w:val="0055623A"/>
    <w:rsid w:val="00556AE2"/>
    <w:rsid w:val="005577CE"/>
    <w:rsid w:val="00560292"/>
    <w:rsid w:val="005617BB"/>
    <w:rsid w:val="005715F6"/>
    <w:rsid w:val="0057689D"/>
    <w:rsid w:val="0058009D"/>
    <w:rsid w:val="0058048C"/>
    <w:rsid w:val="005810AC"/>
    <w:rsid w:val="005820F7"/>
    <w:rsid w:val="005822A9"/>
    <w:rsid w:val="0058394C"/>
    <w:rsid w:val="00583A5A"/>
    <w:rsid w:val="0059110C"/>
    <w:rsid w:val="00597812"/>
    <w:rsid w:val="005A0202"/>
    <w:rsid w:val="005A1844"/>
    <w:rsid w:val="005A3453"/>
    <w:rsid w:val="005B00F0"/>
    <w:rsid w:val="005B1364"/>
    <w:rsid w:val="005B1DE0"/>
    <w:rsid w:val="005B2C68"/>
    <w:rsid w:val="005B694C"/>
    <w:rsid w:val="005B7C6C"/>
    <w:rsid w:val="005C3032"/>
    <w:rsid w:val="005C3EB4"/>
    <w:rsid w:val="005C76CB"/>
    <w:rsid w:val="005D3FEC"/>
    <w:rsid w:val="005E0372"/>
    <w:rsid w:val="005E0607"/>
    <w:rsid w:val="005E061C"/>
    <w:rsid w:val="005E240C"/>
    <w:rsid w:val="005E4409"/>
    <w:rsid w:val="005E5516"/>
    <w:rsid w:val="005E61E5"/>
    <w:rsid w:val="005E6747"/>
    <w:rsid w:val="005F1F9A"/>
    <w:rsid w:val="005F2BCC"/>
    <w:rsid w:val="005F2F94"/>
    <w:rsid w:val="005F4450"/>
    <w:rsid w:val="005F5CE3"/>
    <w:rsid w:val="00601D38"/>
    <w:rsid w:val="0060273E"/>
    <w:rsid w:val="0061093D"/>
    <w:rsid w:val="00620132"/>
    <w:rsid w:val="006213BC"/>
    <w:rsid w:val="00621634"/>
    <w:rsid w:val="00622010"/>
    <w:rsid w:val="00622B92"/>
    <w:rsid w:val="006240D6"/>
    <w:rsid w:val="006256D8"/>
    <w:rsid w:val="00631E16"/>
    <w:rsid w:val="00633038"/>
    <w:rsid w:val="0063426B"/>
    <w:rsid w:val="00636345"/>
    <w:rsid w:val="00641B4A"/>
    <w:rsid w:val="006424DD"/>
    <w:rsid w:val="00643B7A"/>
    <w:rsid w:val="00644814"/>
    <w:rsid w:val="00644CAB"/>
    <w:rsid w:val="00644DAC"/>
    <w:rsid w:val="0064597E"/>
    <w:rsid w:val="006467D6"/>
    <w:rsid w:val="00646877"/>
    <w:rsid w:val="006477FB"/>
    <w:rsid w:val="0064790F"/>
    <w:rsid w:val="00650351"/>
    <w:rsid w:val="00650A8D"/>
    <w:rsid w:val="00653FC3"/>
    <w:rsid w:val="0065657F"/>
    <w:rsid w:val="006619CD"/>
    <w:rsid w:val="006634CA"/>
    <w:rsid w:val="00666EE4"/>
    <w:rsid w:val="00670646"/>
    <w:rsid w:val="006708EC"/>
    <w:rsid w:val="0067217C"/>
    <w:rsid w:val="00673EE1"/>
    <w:rsid w:val="00674B96"/>
    <w:rsid w:val="00680519"/>
    <w:rsid w:val="0068311E"/>
    <w:rsid w:val="00686EEE"/>
    <w:rsid w:val="00691C42"/>
    <w:rsid w:val="00693B84"/>
    <w:rsid w:val="0069459C"/>
    <w:rsid w:val="00695CCB"/>
    <w:rsid w:val="00697990"/>
    <w:rsid w:val="006A0FEE"/>
    <w:rsid w:val="006A1328"/>
    <w:rsid w:val="006A2A3D"/>
    <w:rsid w:val="006A4A9D"/>
    <w:rsid w:val="006B0522"/>
    <w:rsid w:val="006B230F"/>
    <w:rsid w:val="006B28F5"/>
    <w:rsid w:val="006B45A9"/>
    <w:rsid w:val="006B55EE"/>
    <w:rsid w:val="006B5DEF"/>
    <w:rsid w:val="006C033E"/>
    <w:rsid w:val="006C6CA9"/>
    <w:rsid w:val="006D36DE"/>
    <w:rsid w:val="006D485F"/>
    <w:rsid w:val="006D7C21"/>
    <w:rsid w:val="006E0710"/>
    <w:rsid w:val="006E17A7"/>
    <w:rsid w:val="006E2AF5"/>
    <w:rsid w:val="006E303C"/>
    <w:rsid w:val="006E3653"/>
    <w:rsid w:val="006E5864"/>
    <w:rsid w:val="006E660E"/>
    <w:rsid w:val="006E768D"/>
    <w:rsid w:val="006F1070"/>
    <w:rsid w:val="006F254A"/>
    <w:rsid w:val="006F3437"/>
    <w:rsid w:val="006F4D4F"/>
    <w:rsid w:val="006F5076"/>
    <w:rsid w:val="006F5639"/>
    <w:rsid w:val="006F70C1"/>
    <w:rsid w:val="00701596"/>
    <w:rsid w:val="0070510C"/>
    <w:rsid w:val="007059B6"/>
    <w:rsid w:val="00706CED"/>
    <w:rsid w:val="00707A42"/>
    <w:rsid w:val="00707B28"/>
    <w:rsid w:val="00707C1E"/>
    <w:rsid w:val="0071009B"/>
    <w:rsid w:val="00710570"/>
    <w:rsid w:val="00710989"/>
    <w:rsid w:val="00713E77"/>
    <w:rsid w:val="00714C01"/>
    <w:rsid w:val="0071508C"/>
    <w:rsid w:val="00717108"/>
    <w:rsid w:val="00720183"/>
    <w:rsid w:val="00720C45"/>
    <w:rsid w:val="00720DA8"/>
    <w:rsid w:val="00721196"/>
    <w:rsid w:val="007212FB"/>
    <w:rsid w:val="00721B19"/>
    <w:rsid w:val="00721BCB"/>
    <w:rsid w:val="00722DE8"/>
    <w:rsid w:val="007237E6"/>
    <w:rsid w:val="0072436B"/>
    <w:rsid w:val="00724D15"/>
    <w:rsid w:val="00725469"/>
    <w:rsid w:val="00726C93"/>
    <w:rsid w:val="00727C03"/>
    <w:rsid w:val="00732B93"/>
    <w:rsid w:val="00733194"/>
    <w:rsid w:val="00733242"/>
    <w:rsid w:val="00733FF3"/>
    <w:rsid w:val="00734F9D"/>
    <w:rsid w:val="00736CCF"/>
    <w:rsid w:val="00736DF1"/>
    <w:rsid w:val="00737B17"/>
    <w:rsid w:val="007428A7"/>
    <w:rsid w:val="00742F46"/>
    <w:rsid w:val="00744D7F"/>
    <w:rsid w:val="00745CFC"/>
    <w:rsid w:val="007524BE"/>
    <w:rsid w:val="00753483"/>
    <w:rsid w:val="0075372D"/>
    <w:rsid w:val="00760C08"/>
    <w:rsid w:val="00760F41"/>
    <w:rsid w:val="0076115F"/>
    <w:rsid w:val="00762311"/>
    <w:rsid w:val="007623AB"/>
    <w:rsid w:val="00764246"/>
    <w:rsid w:val="007649F3"/>
    <w:rsid w:val="00765DD1"/>
    <w:rsid w:val="00766AC7"/>
    <w:rsid w:val="00767968"/>
    <w:rsid w:val="00780D24"/>
    <w:rsid w:val="00780E16"/>
    <w:rsid w:val="00783FDD"/>
    <w:rsid w:val="00784F61"/>
    <w:rsid w:val="007873A6"/>
    <w:rsid w:val="0078779C"/>
    <w:rsid w:val="00792B2C"/>
    <w:rsid w:val="00794B8B"/>
    <w:rsid w:val="00795B49"/>
    <w:rsid w:val="00796136"/>
    <w:rsid w:val="007A2D57"/>
    <w:rsid w:val="007A34BD"/>
    <w:rsid w:val="007A3566"/>
    <w:rsid w:val="007B01AC"/>
    <w:rsid w:val="007B162C"/>
    <w:rsid w:val="007B2CD8"/>
    <w:rsid w:val="007B4015"/>
    <w:rsid w:val="007B497D"/>
    <w:rsid w:val="007B49DF"/>
    <w:rsid w:val="007B4A5C"/>
    <w:rsid w:val="007B5B46"/>
    <w:rsid w:val="007B5DFD"/>
    <w:rsid w:val="007B6FC9"/>
    <w:rsid w:val="007C1775"/>
    <w:rsid w:val="007C1CF4"/>
    <w:rsid w:val="007C3036"/>
    <w:rsid w:val="007C31A4"/>
    <w:rsid w:val="007C613A"/>
    <w:rsid w:val="007C6D56"/>
    <w:rsid w:val="007C7F97"/>
    <w:rsid w:val="007D14BD"/>
    <w:rsid w:val="007D2184"/>
    <w:rsid w:val="007D2852"/>
    <w:rsid w:val="007D3237"/>
    <w:rsid w:val="007D59DF"/>
    <w:rsid w:val="007D62C1"/>
    <w:rsid w:val="007E11EA"/>
    <w:rsid w:val="007E1CDA"/>
    <w:rsid w:val="007E24F2"/>
    <w:rsid w:val="007E3B7E"/>
    <w:rsid w:val="007E6950"/>
    <w:rsid w:val="007F0151"/>
    <w:rsid w:val="007F3C7B"/>
    <w:rsid w:val="0080008F"/>
    <w:rsid w:val="008050EC"/>
    <w:rsid w:val="008063C9"/>
    <w:rsid w:val="00810C01"/>
    <w:rsid w:val="00817FDF"/>
    <w:rsid w:val="008236F7"/>
    <w:rsid w:val="008238B6"/>
    <w:rsid w:val="0083037F"/>
    <w:rsid w:val="00830714"/>
    <w:rsid w:val="00830D7C"/>
    <w:rsid w:val="00831AB1"/>
    <w:rsid w:val="00842252"/>
    <w:rsid w:val="00842550"/>
    <w:rsid w:val="00844C09"/>
    <w:rsid w:val="0084515D"/>
    <w:rsid w:val="008474B8"/>
    <w:rsid w:val="00847C66"/>
    <w:rsid w:val="0085051E"/>
    <w:rsid w:val="00852540"/>
    <w:rsid w:val="0085455B"/>
    <w:rsid w:val="008560E5"/>
    <w:rsid w:val="00861435"/>
    <w:rsid w:val="008621D9"/>
    <w:rsid w:val="00864130"/>
    <w:rsid w:val="00865121"/>
    <w:rsid w:val="00866DBF"/>
    <w:rsid w:val="00870785"/>
    <w:rsid w:val="00871E5C"/>
    <w:rsid w:val="00872830"/>
    <w:rsid w:val="0087305C"/>
    <w:rsid w:val="0087415A"/>
    <w:rsid w:val="00875961"/>
    <w:rsid w:val="00876B30"/>
    <w:rsid w:val="00881AB7"/>
    <w:rsid w:val="0088407B"/>
    <w:rsid w:val="008855F2"/>
    <w:rsid w:val="00887863"/>
    <w:rsid w:val="00892C6B"/>
    <w:rsid w:val="008A0634"/>
    <w:rsid w:val="008A16C3"/>
    <w:rsid w:val="008A254C"/>
    <w:rsid w:val="008A2F1C"/>
    <w:rsid w:val="008A3609"/>
    <w:rsid w:val="008A3AD1"/>
    <w:rsid w:val="008A406B"/>
    <w:rsid w:val="008A449E"/>
    <w:rsid w:val="008A565B"/>
    <w:rsid w:val="008A5766"/>
    <w:rsid w:val="008A5EB8"/>
    <w:rsid w:val="008A7ABC"/>
    <w:rsid w:val="008B00EE"/>
    <w:rsid w:val="008B011F"/>
    <w:rsid w:val="008B0C1A"/>
    <w:rsid w:val="008B1604"/>
    <w:rsid w:val="008B1D9E"/>
    <w:rsid w:val="008B2635"/>
    <w:rsid w:val="008B2A4F"/>
    <w:rsid w:val="008B59FA"/>
    <w:rsid w:val="008B6774"/>
    <w:rsid w:val="008C2E49"/>
    <w:rsid w:val="008C3074"/>
    <w:rsid w:val="008C352B"/>
    <w:rsid w:val="008C632E"/>
    <w:rsid w:val="008D12B2"/>
    <w:rsid w:val="008D5D57"/>
    <w:rsid w:val="008E18F2"/>
    <w:rsid w:val="008E2480"/>
    <w:rsid w:val="008E40DA"/>
    <w:rsid w:val="008E4F70"/>
    <w:rsid w:val="008E5AA1"/>
    <w:rsid w:val="008E6EE9"/>
    <w:rsid w:val="008E6F42"/>
    <w:rsid w:val="008E7CBC"/>
    <w:rsid w:val="008F02BC"/>
    <w:rsid w:val="008F0CC7"/>
    <w:rsid w:val="008F259F"/>
    <w:rsid w:val="008F2B05"/>
    <w:rsid w:val="008F5A72"/>
    <w:rsid w:val="008F62A9"/>
    <w:rsid w:val="008F633A"/>
    <w:rsid w:val="008F7139"/>
    <w:rsid w:val="008F7EBF"/>
    <w:rsid w:val="00903939"/>
    <w:rsid w:val="00903C2D"/>
    <w:rsid w:val="00903FF6"/>
    <w:rsid w:val="00904224"/>
    <w:rsid w:val="0090793B"/>
    <w:rsid w:val="009120C3"/>
    <w:rsid w:val="009120CC"/>
    <w:rsid w:val="00914400"/>
    <w:rsid w:val="009145E4"/>
    <w:rsid w:val="00916952"/>
    <w:rsid w:val="00920ADC"/>
    <w:rsid w:val="00940A1F"/>
    <w:rsid w:val="00941907"/>
    <w:rsid w:val="0094641C"/>
    <w:rsid w:val="009466E8"/>
    <w:rsid w:val="0095092E"/>
    <w:rsid w:val="00950C32"/>
    <w:rsid w:val="00952921"/>
    <w:rsid w:val="00952A44"/>
    <w:rsid w:val="009553BC"/>
    <w:rsid w:val="009579BC"/>
    <w:rsid w:val="00957AF6"/>
    <w:rsid w:val="00957D53"/>
    <w:rsid w:val="00963F2C"/>
    <w:rsid w:val="00972996"/>
    <w:rsid w:val="00973014"/>
    <w:rsid w:val="009758A2"/>
    <w:rsid w:val="00980098"/>
    <w:rsid w:val="00981C51"/>
    <w:rsid w:val="009853F0"/>
    <w:rsid w:val="00985807"/>
    <w:rsid w:val="00992467"/>
    <w:rsid w:val="00992734"/>
    <w:rsid w:val="009935D2"/>
    <w:rsid w:val="00994707"/>
    <w:rsid w:val="009A58C1"/>
    <w:rsid w:val="009A670F"/>
    <w:rsid w:val="009A67CE"/>
    <w:rsid w:val="009A78A8"/>
    <w:rsid w:val="009B04A2"/>
    <w:rsid w:val="009B0AB4"/>
    <w:rsid w:val="009B12F6"/>
    <w:rsid w:val="009B13FE"/>
    <w:rsid w:val="009B2B1B"/>
    <w:rsid w:val="009B2ED0"/>
    <w:rsid w:val="009B3AA7"/>
    <w:rsid w:val="009B402A"/>
    <w:rsid w:val="009B669B"/>
    <w:rsid w:val="009C404E"/>
    <w:rsid w:val="009C609F"/>
    <w:rsid w:val="009C79BA"/>
    <w:rsid w:val="009D03AB"/>
    <w:rsid w:val="009D103E"/>
    <w:rsid w:val="009D233B"/>
    <w:rsid w:val="009D77A8"/>
    <w:rsid w:val="009E07DE"/>
    <w:rsid w:val="009E4794"/>
    <w:rsid w:val="009E501C"/>
    <w:rsid w:val="009E519D"/>
    <w:rsid w:val="009E54DC"/>
    <w:rsid w:val="009E6E68"/>
    <w:rsid w:val="009F0C40"/>
    <w:rsid w:val="009F38B1"/>
    <w:rsid w:val="009F74D9"/>
    <w:rsid w:val="00A00ADE"/>
    <w:rsid w:val="00A00F27"/>
    <w:rsid w:val="00A017F0"/>
    <w:rsid w:val="00A0392E"/>
    <w:rsid w:val="00A04426"/>
    <w:rsid w:val="00A04E61"/>
    <w:rsid w:val="00A05217"/>
    <w:rsid w:val="00A062BA"/>
    <w:rsid w:val="00A065F9"/>
    <w:rsid w:val="00A10325"/>
    <w:rsid w:val="00A1053B"/>
    <w:rsid w:val="00A135E2"/>
    <w:rsid w:val="00A17710"/>
    <w:rsid w:val="00A17BBD"/>
    <w:rsid w:val="00A20E2E"/>
    <w:rsid w:val="00A242C8"/>
    <w:rsid w:val="00A260F0"/>
    <w:rsid w:val="00A2646F"/>
    <w:rsid w:val="00A26B6E"/>
    <w:rsid w:val="00A27A39"/>
    <w:rsid w:val="00A3110C"/>
    <w:rsid w:val="00A32268"/>
    <w:rsid w:val="00A33B50"/>
    <w:rsid w:val="00A41B42"/>
    <w:rsid w:val="00A44908"/>
    <w:rsid w:val="00A5242C"/>
    <w:rsid w:val="00A52EC7"/>
    <w:rsid w:val="00A54A7F"/>
    <w:rsid w:val="00A55A5F"/>
    <w:rsid w:val="00A570C0"/>
    <w:rsid w:val="00A62E9E"/>
    <w:rsid w:val="00A679AA"/>
    <w:rsid w:val="00A7057C"/>
    <w:rsid w:val="00A71A44"/>
    <w:rsid w:val="00A71ED9"/>
    <w:rsid w:val="00A726FE"/>
    <w:rsid w:val="00A744C0"/>
    <w:rsid w:val="00A746E7"/>
    <w:rsid w:val="00A762E8"/>
    <w:rsid w:val="00A767DB"/>
    <w:rsid w:val="00A8024B"/>
    <w:rsid w:val="00A8168F"/>
    <w:rsid w:val="00A83428"/>
    <w:rsid w:val="00A83A4B"/>
    <w:rsid w:val="00A84133"/>
    <w:rsid w:val="00A86DAD"/>
    <w:rsid w:val="00A90FE1"/>
    <w:rsid w:val="00A93DDA"/>
    <w:rsid w:val="00A95B47"/>
    <w:rsid w:val="00AA331F"/>
    <w:rsid w:val="00AA7B66"/>
    <w:rsid w:val="00AB06B6"/>
    <w:rsid w:val="00AB1A21"/>
    <w:rsid w:val="00AB43CC"/>
    <w:rsid w:val="00AC0DE6"/>
    <w:rsid w:val="00AC1E86"/>
    <w:rsid w:val="00AC2086"/>
    <w:rsid w:val="00AC3527"/>
    <w:rsid w:val="00AC5B64"/>
    <w:rsid w:val="00AD1D0E"/>
    <w:rsid w:val="00AD6F6C"/>
    <w:rsid w:val="00AE053F"/>
    <w:rsid w:val="00AE073C"/>
    <w:rsid w:val="00AE0E77"/>
    <w:rsid w:val="00AE1605"/>
    <w:rsid w:val="00AE190D"/>
    <w:rsid w:val="00AE588F"/>
    <w:rsid w:val="00AE6CFB"/>
    <w:rsid w:val="00AE70A5"/>
    <w:rsid w:val="00AF0757"/>
    <w:rsid w:val="00AF0C76"/>
    <w:rsid w:val="00AF2026"/>
    <w:rsid w:val="00AF23BB"/>
    <w:rsid w:val="00AF2C73"/>
    <w:rsid w:val="00AF2CDA"/>
    <w:rsid w:val="00AF592E"/>
    <w:rsid w:val="00AF75A5"/>
    <w:rsid w:val="00B00613"/>
    <w:rsid w:val="00B018B9"/>
    <w:rsid w:val="00B03995"/>
    <w:rsid w:val="00B04D9D"/>
    <w:rsid w:val="00B07491"/>
    <w:rsid w:val="00B07F42"/>
    <w:rsid w:val="00B07FF7"/>
    <w:rsid w:val="00B150DD"/>
    <w:rsid w:val="00B16561"/>
    <w:rsid w:val="00B168AC"/>
    <w:rsid w:val="00B243B6"/>
    <w:rsid w:val="00B252AE"/>
    <w:rsid w:val="00B25A38"/>
    <w:rsid w:val="00B31CB1"/>
    <w:rsid w:val="00B32FAB"/>
    <w:rsid w:val="00B33696"/>
    <w:rsid w:val="00B33CBB"/>
    <w:rsid w:val="00B346E3"/>
    <w:rsid w:val="00B37ECB"/>
    <w:rsid w:val="00B4005A"/>
    <w:rsid w:val="00B402E7"/>
    <w:rsid w:val="00B41AC5"/>
    <w:rsid w:val="00B43430"/>
    <w:rsid w:val="00B44CB7"/>
    <w:rsid w:val="00B44F4F"/>
    <w:rsid w:val="00B45636"/>
    <w:rsid w:val="00B464AD"/>
    <w:rsid w:val="00B478B0"/>
    <w:rsid w:val="00B527D2"/>
    <w:rsid w:val="00B52FE0"/>
    <w:rsid w:val="00B531E3"/>
    <w:rsid w:val="00B54167"/>
    <w:rsid w:val="00B62187"/>
    <w:rsid w:val="00B66DD5"/>
    <w:rsid w:val="00B66FF9"/>
    <w:rsid w:val="00B67030"/>
    <w:rsid w:val="00B72E53"/>
    <w:rsid w:val="00B771DE"/>
    <w:rsid w:val="00B80893"/>
    <w:rsid w:val="00B80F62"/>
    <w:rsid w:val="00B82F0C"/>
    <w:rsid w:val="00B83D23"/>
    <w:rsid w:val="00B857A7"/>
    <w:rsid w:val="00B85D23"/>
    <w:rsid w:val="00B91CF9"/>
    <w:rsid w:val="00B92558"/>
    <w:rsid w:val="00B957B9"/>
    <w:rsid w:val="00B95BC4"/>
    <w:rsid w:val="00B967CB"/>
    <w:rsid w:val="00BA3710"/>
    <w:rsid w:val="00BA3EA5"/>
    <w:rsid w:val="00BA7589"/>
    <w:rsid w:val="00BB08C9"/>
    <w:rsid w:val="00BB11A6"/>
    <w:rsid w:val="00BB491E"/>
    <w:rsid w:val="00BB66FE"/>
    <w:rsid w:val="00BB7E19"/>
    <w:rsid w:val="00BC2A9B"/>
    <w:rsid w:val="00BC60E7"/>
    <w:rsid w:val="00BC63C3"/>
    <w:rsid w:val="00BC6C65"/>
    <w:rsid w:val="00BD07D7"/>
    <w:rsid w:val="00BD09DB"/>
    <w:rsid w:val="00BD1E7D"/>
    <w:rsid w:val="00BD43D2"/>
    <w:rsid w:val="00BD54ED"/>
    <w:rsid w:val="00BD5C9C"/>
    <w:rsid w:val="00BD7454"/>
    <w:rsid w:val="00BD76F6"/>
    <w:rsid w:val="00BD7D4E"/>
    <w:rsid w:val="00BE1E04"/>
    <w:rsid w:val="00BE30B0"/>
    <w:rsid w:val="00BE5AFD"/>
    <w:rsid w:val="00BE7E2A"/>
    <w:rsid w:val="00BF0769"/>
    <w:rsid w:val="00BF1056"/>
    <w:rsid w:val="00C0535B"/>
    <w:rsid w:val="00C07843"/>
    <w:rsid w:val="00C100C8"/>
    <w:rsid w:val="00C15C5C"/>
    <w:rsid w:val="00C2123E"/>
    <w:rsid w:val="00C33B68"/>
    <w:rsid w:val="00C371FC"/>
    <w:rsid w:val="00C403E2"/>
    <w:rsid w:val="00C43734"/>
    <w:rsid w:val="00C43F22"/>
    <w:rsid w:val="00C44EB8"/>
    <w:rsid w:val="00C4572D"/>
    <w:rsid w:val="00C469F3"/>
    <w:rsid w:val="00C50BE5"/>
    <w:rsid w:val="00C51C02"/>
    <w:rsid w:val="00C53888"/>
    <w:rsid w:val="00C53A7F"/>
    <w:rsid w:val="00C54AB5"/>
    <w:rsid w:val="00C5771F"/>
    <w:rsid w:val="00C60E37"/>
    <w:rsid w:val="00C613E5"/>
    <w:rsid w:val="00C62233"/>
    <w:rsid w:val="00C62B69"/>
    <w:rsid w:val="00C62CD9"/>
    <w:rsid w:val="00C62F51"/>
    <w:rsid w:val="00C63784"/>
    <w:rsid w:val="00C64883"/>
    <w:rsid w:val="00C66333"/>
    <w:rsid w:val="00C6671A"/>
    <w:rsid w:val="00C671E9"/>
    <w:rsid w:val="00C76945"/>
    <w:rsid w:val="00C83938"/>
    <w:rsid w:val="00C85BD0"/>
    <w:rsid w:val="00C85D82"/>
    <w:rsid w:val="00C876A8"/>
    <w:rsid w:val="00C92A38"/>
    <w:rsid w:val="00C93D57"/>
    <w:rsid w:val="00C94D7C"/>
    <w:rsid w:val="00C960F2"/>
    <w:rsid w:val="00C96378"/>
    <w:rsid w:val="00C96ED8"/>
    <w:rsid w:val="00C97665"/>
    <w:rsid w:val="00CA0E30"/>
    <w:rsid w:val="00CA2413"/>
    <w:rsid w:val="00CA3559"/>
    <w:rsid w:val="00CA5CBA"/>
    <w:rsid w:val="00CB2FC1"/>
    <w:rsid w:val="00CB4C85"/>
    <w:rsid w:val="00CB5BC4"/>
    <w:rsid w:val="00CB6E30"/>
    <w:rsid w:val="00CC0433"/>
    <w:rsid w:val="00CC1462"/>
    <w:rsid w:val="00CC21AE"/>
    <w:rsid w:val="00CC5D49"/>
    <w:rsid w:val="00CC61F7"/>
    <w:rsid w:val="00CC75E2"/>
    <w:rsid w:val="00CC7EF9"/>
    <w:rsid w:val="00CC7FFC"/>
    <w:rsid w:val="00CD4A82"/>
    <w:rsid w:val="00CD548B"/>
    <w:rsid w:val="00CD78E0"/>
    <w:rsid w:val="00CE2AB4"/>
    <w:rsid w:val="00CE3C60"/>
    <w:rsid w:val="00CE5B9C"/>
    <w:rsid w:val="00CE70B2"/>
    <w:rsid w:val="00CF017E"/>
    <w:rsid w:val="00CF0675"/>
    <w:rsid w:val="00CF0ACF"/>
    <w:rsid w:val="00CF0DD5"/>
    <w:rsid w:val="00CF3768"/>
    <w:rsid w:val="00CF4648"/>
    <w:rsid w:val="00CF65B3"/>
    <w:rsid w:val="00CF74F8"/>
    <w:rsid w:val="00D00569"/>
    <w:rsid w:val="00D0400C"/>
    <w:rsid w:val="00D0410F"/>
    <w:rsid w:val="00D05927"/>
    <w:rsid w:val="00D0654A"/>
    <w:rsid w:val="00D11571"/>
    <w:rsid w:val="00D118E4"/>
    <w:rsid w:val="00D13677"/>
    <w:rsid w:val="00D14BF9"/>
    <w:rsid w:val="00D14E37"/>
    <w:rsid w:val="00D20A3E"/>
    <w:rsid w:val="00D23B3B"/>
    <w:rsid w:val="00D25E65"/>
    <w:rsid w:val="00D33663"/>
    <w:rsid w:val="00D345D0"/>
    <w:rsid w:val="00D34FA0"/>
    <w:rsid w:val="00D35637"/>
    <w:rsid w:val="00D367E3"/>
    <w:rsid w:val="00D375BB"/>
    <w:rsid w:val="00D40CC7"/>
    <w:rsid w:val="00D412A6"/>
    <w:rsid w:val="00D42B14"/>
    <w:rsid w:val="00D44227"/>
    <w:rsid w:val="00D5012B"/>
    <w:rsid w:val="00D52866"/>
    <w:rsid w:val="00D57370"/>
    <w:rsid w:val="00D62DAE"/>
    <w:rsid w:val="00D62F25"/>
    <w:rsid w:val="00D655A0"/>
    <w:rsid w:val="00D70B14"/>
    <w:rsid w:val="00D714BD"/>
    <w:rsid w:val="00D765DC"/>
    <w:rsid w:val="00D7793C"/>
    <w:rsid w:val="00D80446"/>
    <w:rsid w:val="00D80599"/>
    <w:rsid w:val="00D80C26"/>
    <w:rsid w:val="00D823D0"/>
    <w:rsid w:val="00D8529C"/>
    <w:rsid w:val="00D871B0"/>
    <w:rsid w:val="00D93A94"/>
    <w:rsid w:val="00DA0987"/>
    <w:rsid w:val="00DA0F05"/>
    <w:rsid w:val="00DA4951"/>
    <w:rsid w:val="00DA5DFC"/>
    <w:rsid w:val="00DB2E1E"/>
    <w:rsid w:val="00DC1EE8"/>
    <w:rsid w:val="00DC4637"/>
    <w:rsid w:val="00DC738B"/>
    <w:rsid w:val="00DD2840"/>
    <w:rsid w:val="00DD2ECC"/>
    <w:rsid w:val="00DD5E5B"/>
    <w:rsid w:val="00DD6E05"/>
    <w:rsid w:val="00DE112D"/>
    <w:rsid w:val="00DE2AFF"/>
    <w:rsid w:val="00DE2B6A"/>
    <w:rsid w:val="00DE5F99"/>
    <w:rsid w:val="00DE660B"/>
    <w:rsid w:val="00E02828"/>
    <w:rsid w:val="00E03CA0"/>
    <w:rsid w:val="00E070C5"/>
    <w:rsid w:val="00E0732A"/>
    <w:rsid w:val="00E07AC9"/>
    <w:rsid w:val="00E10FB5"/>
    <w:rsid w:val="00E12E91"/>
    <w:rsid w:val="00E1460A"/>
    <w:rsid w:val="00E161E9"/>
    <w:rsid w:val="00E20F49"/>
    <w:rsid w:val="00E3551C"/>
    <w:rsid w:val="00E40D91"/>
    <w:rsid w:val="00E427C6"/>
    <w:rsid w:val="00E434CB"/>
    <w:rsid w:val="00E43820"/>
    <w:rsid w:val="00E441CB"/>
    <w:rsid w:val="00E44AF6"/>
    <w:rsid w:val="00E4523B"/>
    <w:rsid w:val="00E4674A"/>
    <w:rsid w:val="00E500EC"/>
    <w:rsid w:val="00E50AB9"/>
    <w:rsid w:val="00E51368"/>
    <w:rsid w:val="00E51629"/>
    <w:rsid w:val="00E52DDB"/>
    <w:rsid w:val="00E55A73"/>
    <w:rsid w:val="00E561AD"/>
    <w:rsid w:val="00E6144F"/>
    <w:rsid w:val="00E71A05"/>
    <w:rsid w:val="00E71AD0"/>
    <w:rsid w:val="00E7370D"/>
    <w:rsid w:val="00E740C6"/>
    <w:rsid w:val="00E74F12"/>
    <w:rsid w:val="00E767A3"/>
    <w:rsid w:val="00E84114"/>
    <w:rsid w:val="00E842B3"/>
    <w:rsid w:val="00E8658F"/>
    <w:rsid w:val="00E86BBA"/>
    <w:rsid w:val="00E87E17"/>
    <w:rsid w:val="00E90321"/>
    <w:rsid w:val="00E92E0F"/>
    <w:rsid w:val="00E9502A"/>
    <w:rsid w:val="00E976A2"/>
    <w:rsid w:val="00EA01FE"/>
    <w:rsid w:val="00EA2C77"/>
    <w:rsid w:val="00EA2D82"/>
    <w:rsid w:val="00EA4505"/>
    <w:rsid w:val="00EA62C1"/>
    <w:rsid w:val="00EA7D3B"/>
    <w:rsid w:val="00EB0E45"/>
    <w:rsid w:val="00EB7471"/>
    <w:rsid w:val="00EC0DA5"/>
    <w:rsid w:val="00EC275A"/>
    <w:rsid w:val="00EC36B6"/>
    <w:rsid w:val="00EC49D8"/>
    <w:rsid w:val="00EC5AD3"/>
    <w:rsid w:val="00EC5C53"/>
    <w:rsid w:val="00EC5CD1"/>
    <w:rsid w:val="00EC5DFA"/>
    <w:rsid w:val="00ED152E"/>
    <w:rsid w:val="00ED1BF6"/>
    <w:rsid w:val="00ED21E7"/>
    <w:rsid w:val="00ED44FC"/>
    <w:rsid w:val="00ED4EDA"/>
    <w:rsid w:val="00EE14A3"/>
    <w:rsid w:val="00EE28DB"/>
    <w:rsid w:val="00EE3B91"/>
    <w:rsid w:val="00EE4560"/>
    <w:rsid w:val="00EE564D"/>
    <w:rsid w:val="00EE6CCE"/>
    <w:rsid w:val="00EF0533"/>
    <w:rsid w:val="00EF0EF3"/>
    <w:rsid w:val="00EF2829"/>
    <w:rsid w:val="00EF2AD6"/>
    <w:rsid w:val="00EF7E2E"/>
    <w:rsid w:val="00F023D2"/>
    <w:rsid w:val="00F02A2B"/>
    <w:rsid w:val="00F04579"/>
    <w:rsid w:val="00F0506A"/>
    <w:rsid w:val="00F05381"/>
    <w:rsid w:val="00F06298"/>
    <w:rsid w:val="00F0630B"/>
    <w:rsid w:val="00F069F5"/>
    <w:rsid w:val="00F10277"/>
    <w:rsid w:val="00F11A34"/>
    <w:rsid w:val="00F1706C"/>
    <w:rsid w:val="00F2142E"/>
    <w:rsid w:val="00F221F8"/>
    <w:rsid w:val="00F22D74"/>
    <w:rsid w:val="00F22EEA"/>
    <w:rsid w:val="00F2380F"/>
    <w:rsid w:val="00F2496C"/>
    <w:rsid w:val="00F25014"/>
    <w:rsid w:val="00F32EB6"/>
    <w:rsid w:val="00F35279"/>
    <w:rsid w:val="00F35292"/>
    <w:rsid w:val="00F36AB1"/>
    <w:rsid w:val="00F36E3C"/>
    <w:rsid w:val="00F419FE"/>
    <w:rsid w:val="00F4404A"/>
    <w:rsid w:val="00F47E02"/>
    <w:rsid w:val="00F50445"/>
    <w:rsid w:val="00F50916"/>
    <w:rsid w:val="00F51429"/>
    <w:rsid w:val="00F568A2"/>
    <w:rsid w:val="00F60FD8"/>
    <w:rsid w:val="00F6588F"/>
    <w:rsid w:val="00F66473"/>
    <w:rsid w:val="00F70A0E"/>
    <w:rsid w:val="00F710D9"/>
    <w:rsid w:val="00F720D6"/>
    <w:rsid w:val="00F725F2"/>
    <w:rsid w:val="00F802AB"/>
    <w:rsid w:val="00F81D20"/>
    <w:rsid w:val="00F8330A"/>
    <w:rsid w:val="00F83BAA"/>
    <w:rsid w:val="00F85574"/>
    <w:rsid w:val="00F85B2A"/>
    <w:rsid w:val="00F86073"/>
    <w:rsid w:val="00F86CC3"/>
    <w:rsid w:val="00F87952"/>
    <w:rsid w:val="00F91DBD"/>
    <w:rsid w:val="00F9339A"/>
    <w:rsid w:val="00F934FA"/>
    <w:rsid w:val="00F94134"/>
    <w:rsid w:val="00F94210"/>
    <w:rsid w:val="00F9699E"/>
    <w:rsid w:val="00F96B84"/>
    <w:rsid w:val="00F97C9C"/>
    <w:rsid w:val="00FA0109"/>
    <w:rsid w:val="00FB134E"/>
    <w:rsid w:val="00FB13ED"/>
    <w:rsid w:val="00FB1A07"/>
    <w:rsid w:val="00FB2A7C"/>
    <w:rsid w:val="00FB3DF6"/>
    <w:rsid w:val="00FB461A"/>
    <w:rsid w:val="00FB5AAA"/>
    <w:rsid w:val="00FB7266"/>
    <w:rsid w:val="00FB7D34"/>
    <w:rsid w:val="00FC0E7A"/>
    <w:rsid w:val="00FC35D1"/>
    <w:rsid w:val="00FC44AE"/>
    <w:rsid w:val="00FC582A"/>
    <w:rsid w:val="00FC5913"/>
    <w:rsid w:val="00FC7884"/>
    <w:rsid w:val="00FC7CAE"/>
    <w:rsid w:val="00FD179F"/>
    <w:rsid w:val="00FD449A"/>
    <w:rsid w:val="00FD6EA8"/>
    <w:rsid w:val="00FE22C7"/>
    <w:rsid w:val="00FE48F7"/>
    <w:rsid w:val="00FF2CAA"/>
    <w:rsid w:val="00FF3752"/>
    <w:rsid w:val="00FF43C6"/>
    <w:rsid w:val="024E0C69"/>
    <w:rsid w:val="051D0182"/>
    <w:rsid w:val="05E56AFC"/>
    <w:rsid w:val="06027C75"/>
    <w:rsid w:val="078661D8"/>
    <w:rsid w:val="07BA0B49"/>
    <w:rsid w:val="081A0047"/>
    <w:rsid w:val="0C5E2DE2"/>
    <w:rsid w:val="0CDA0D88"/>
    <w:rsid w:val="0DD16780"/>
    <w:rsid w:val="0E263350"/>
    <w:rsid w:val="0E4E5B2A"/>
    <w:rsid w:val="13C0101D"/>
    <w:rsid w:val="15EB3664"/>
    <w:rsid w:val="16554A03"/>
    <w:rsid w:val="18A05C37"/>
    <w:rsid w:val="22DB25F6"/>
    <w:rsid w:val="235D009A"/>
    <w:rsid w:val="24394CD4"/>
    <w:rsid w:val="2681337A"/>
    <w:rsid w:val="268449F5"/>
    <w:rsid w:val="27301010"/>
    <w:rsid w:val="27B53BFD"/>
    <w:rsid w:val="28A6553A"/>
    <w:rsid w:val="2EA0050E"/>
    <w:rsid w:val="2FAD0A91"/>
    <w:rsid w:val="30477BD7"/>
    <w:rsid w:val="318055C4"/>
    <w:rsid w:val="345B399F"/>
    <w:rsid w:val="36026292"/>
    <w:rsid w:val="37444970"/>
    <w:rsid w:val="3B5267F6"/>
    <w:rsid w:val="3E5316CD"/>
    <w:rsid w:val="40997601"/>
    <w:rsid w:val="42560311"/>
    <w:rsid w:val="4407688A"/>
    <w:rsid w:val="445D1822"/>
    <w:rsid w:val="45953408"/>
    <w:rsid w:val="45C92A8B"/>
    <w:rsid w:val="493C06B6"/>
    <w:rsid w:val="49861369"/>
    <w:rsid w:val="4A6564F5"/>
    <w:rsid w:val="4ADF0FEB"/>
    <w:rsid w:val="4B5744CB"/>
    <w:rsid w:val="4BF2777B"/>
    <w:rsid w:val="4FDA758A"/>
    <w:rsid w:val="52061BFF"/>
    <w:rsid w:val="54A03378"/>
    <w:rsid w:val="56013181"/>
    <w:rsid w:val="573C0601"/>
    <w:rsid w:val="57CD6C23"/>
    <w:rsid w:val="63B1210A"/>
    <w:rsid w:val="67DC5F1E"/>
    <w:rsid w:val="697A4BAF"/>
    <w:rsid w:val="6B195523"/>
    <w:rsid w:val="71452A87"/>
    <w:rsid w:val="71714380"/>
    <w:rsid w:val="71EB6651"/>
    <w:rsid w:val="74FC66AF"/>
    <w:rsid w:val="75D71DED"/>
    <w:rsid w:val="76C41490"/>
    <w:rsid w:val="780A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56" w:line="360" w:lineRule="auto"/>
      <w:ind w:firstLine="600" w:firstLineChars="200"/>
      <w:jc w:val="both"/>
    </w:pPr>
    <w:rPr>
      <w:rFonts w:ascii="Times New Roman" w:hAnsi="Times New Roman" w:eastAsia="仿宋_GB2312" w:cs="宋体"/>
      <w:kern w:val="2"/>
      <w:sz w:val="30"/>
      <w:szCs w:val="21"/>
      <w:lang w:val="en-US" w:eastAsia="zh-CN" w:bidi="ar-SA"/>
    </w:rPr>
  </w:style>
  <w:style w:type="paragraph" w:styleId="2">
    <w:name w:val="heading 1"/>
    <w:basedOn w:val="3"/>
    <w:next w:val="1"/>
    <w:link w:val="26"/>
    <w:qFormat/>
    <w:uiPriority w:val="9"/>
    <w:pPr>
      <w:keepNext/>
      <w:keepLines/>
      <w:spacing w:before="260"/>
      <w:jc w:val="center"/>
      <w:outlineLvl w:val="0"/>
    </w:pPr>
    <w:rPr>
      <w:rFonts w:ascii="Arial" w:hAnsi="Arial"/>
      <w:szCs w:val="32"/>
    </w:rPr>
  </w:style>
  <w:style w:type="paragraph" w:styleId="3">
    <w:name w:val="heading 2"/>
    <w:basedOn w:val="4"/>
    <w:next w:val="1"/>
    <w:link w:val="35"/>
    <w:qFormat/>
    <w:uiPriority w:val="9"/>
    <w:pPr>
      <w:keepNext w:val="0"/>
      <w:keepLines w:val="0"/>
      <w:ind w:firstLine="0" w:firstLineChars="0"/>
      <w:outlineLvl w:val="1"/>
    </w:pPr>
    <w:rPr>
      <w:rFonts w:eastAsia="黑体"/>
      <w:bCs w:val="0"/>
      <w:sz w:val="32"/>
      <w:szCs w:val="21"/>
    </w:rPr>
  </w:style>
  <w:style w:type="paragraph" w:styleId="4">
    <w:name w:val="heading 3"/>
    <w:basedOn w:val="5"/>
    <w:next w:val="1"/>
    <w:link w:val="36"/>
    <w:qFormat/>
    <w:uiPriority w:val="9"/>
    <w:pPr>
      <w:ind w:firstLine="602"/>
      <w:outlineLvl w:val="2"/>
    </w:pPr>
  </w:style>
  <w:style w:type="paragraph" w:styleId="5">
    <w:name w:val="heading 4"/>
    <w:basedOn w:val="1"/>
    <w:next w:val="1"/>
    <w:link w:val="37"/>
    <w:qFormat/>
    <w:uiPriority w:val="9"/>
    <w:pPr>
      <w:keepNext/>
      <w:keepLines/>
      <w:outlineLvl w:val="3"/>
    </w:pPr>
    <w:rPr>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47"/>
    <w:semiHidden/>
    <w:unhideWhenUsed/>
    <w:qFormat/>
    <w:uiPriority w:val="99"/>
    <w:pPr>
      <w:ind w:left="100" w:leftChars="2500"/>
    </w:pPr>
  </w:style>
  <w:style w:type="paragraph" w:styleId="9">
    <w:name w:val="Balloon Text"/>
    <w:basedOn w:val="1"/>
    <w:link w:val="34"/>
    <w:semiHidden/>
    <w:unhideWhenUsed/>
    <w:qFormat/>
    <w:uiPriority w:val="99"/>
    <w:pPr>
      <w:spacing w:line="240" w:lineRule="auto"/>
    </w:pPr>
    <w:rPr>
      <w:sz w:val="18"/>
      <w:szCs w:val="18"/>
    </w:rPr>
  </w:style>
  <w:style w:type="paragraph" w:styleId="10">
    <w:name w:val="footer"/>
    <w:basedOn w:val="1"/>
    <w:link w:val="32"/>
    <w:unhideWhenUsed/>
    <w:qFormat/>
    <w:uiPriority w:val="99"/>
    <w:pPr>
      <w:tabs>
        <w:tab w:val="center" w:pos="4153"/>
        <w:tab w:val="right" w:pos="8306"/>
      </w:tabs>
      <w:spacing w:line="240" w:lineRule="auto"/>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toc 1"/>
    <w:basedOn w:val="1"/>
    <w:next w:val="1"/>
    <w:unhideWhenUsed/>
    <w:qFormat/>
    <w:uiPriority w:val="39"/>
    <w:pPr>
      <w:tabs>
        <w:tab w:val="right" w:leader="dot" w:pos="8296"/>
      </w:tabs>
      <w:spacing w:after="0"/>
      <w:ind w:firstLine="0" w:firstLineChars="0"/>
    </w:pPr>
    <w:rPr>
      <w:rFonts w:eastAsia="黑体"/>
      <w:sz w:val="28"/>
    </w:rPr>
  </w:style>
  <w:style w:type="paragraph" w:styleId="13">
    <w:name w:val="Subtitle"/>
    <w:basedOn w:val="1"/>
    <w:next w:val="1"/>
    <w:link w:val="50"/>
    <w:qFormat/>
    <w:uiPriority w:val="11"/>
    <w:pPr>
      <w:spacing w:after="0" w:line="240" w:lineRule="auto"/>
      <w:ind w:firstLine="0" w:firstLineChars="0"/>
      <w:jc w:val="right"/>
    </w:pPr>
    <w:rPr>
      <w:rFonts w:ascii="times new rome" w:hAnsi="times new rome" w:cstheme="minorBidi"/>
      <w:bCs/>
      <w:kern w:val="28"/>
      <w:sz w:val="24"/>
      <w:szCs w:val="32"/>
    </w:rPr>
  </w:style>
  <w:style w:type="paragraph" w:styleId="14">
    <w:name w:val="footnote text"/>
    <w:basedOn w:val="1"/>
    <w:link w:val="48"/>
    <w:semiHidden/>
    <w:unhideWhenUsed/>
    <w:qFormat/>
    <w:uiPriority w:val="99"/>
    <w:pPr>
      <w:snapToGrid w:val="0"/>
      <w:jc w:val="left"/>
    </w:pPr>
    <w:rPr>
      <w:sz w:val="18"/>
      <w:szCs w:val="18"/>
    </w:rPr>
  </w:style>
  <w:style w:type="paragraph" w:styleId="15">
    <w:name w:val="toc 2"/>
    <w:basedOn w:val="1"/>
    <w:next w:val="1"/>
    <w:unhideWhenUsed/>
    <w:qFormat/>
    <w:uiPriority w:val="39"/>
    <w:pPr>
      <w:tabs>
        <w:tab w:val="right" w:leader="dot" w:pos="8296"/>
      </w:tabs>
      <w:spacing w:after="0" w:line="312" w:lineRule="auto"/>
      <w:ind w:firstLine="200"/>
    </w:pPr>
    <w:rPr>
      <w:sz w:val="24"/>
    </w:rPr>
  </w:style>
  <w:style w:type="paragraph" w:styleId="1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kern w:val="0"/>
      <w:sz w:val="24"/>
      <w:szCs w:val="24"/>
    </w:rPr>
  </w:style>
  <w:style w:type="paragraph" w:styleId="17">
    <w:name w:val="Title"/>
    <w:basedOn w:val="1"/>
    <w:next w:val="1"/>
    <w:link w:val="5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8">
    <w:name w:val="annotation subject"/>
    <w:basedOn w:val="6"/>
    <w:next w:val="6"/>
    <w:link w:val="46"/>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1 字符"/>
    <w:basedOn w:val="21"/>
    <w:link w:val="2"/>
    <w:qFormat/>
    <w:uiPriority w:val="9"/>
    <w:rPr>
      <w:rFonts w:ascii="Arial" w:hAnsi="Arial" w:eastAsia="黑体" w:cs="宋体"/>
      <w:b/>
      <w:sz w:val="32"/>
      <w:szCs w:val="32"/>
    </w:rPr>
  </w:style>
  <w:style w:type="paragraph" w:customStyle="1" w:styleId="27">
    <w:name w:val="表格标题"/>
    <w:basedOn w:val="1"/>
    <w:link w:val="29"/>
    <w:qFormat/>
    <w:uiPriority w:val="0"/>
    <w:pPr>
      <w:widowControl/>
      <w:spacing w:after="0"/>
      <w:ind w:firstLine="0" w:firstLineChars="0"/>
      <w:jc w:val="center"/>
    </w:pPr>
    <w:rPr>
      <w:rFonts w:ascii="times new rome" w:hAnsi="times new rome"/>
      <w:b/>
      <w:kern w:val="0"/>
      <w:sz w:val="28"/>
    </w:rPr>
  </w:style>
  <w:style w:type="paragraph" w:customStyle="1" w:styleId="28">
    <w:name w:val="清单标题"/>
    <w:basedOn w:val="1"/>
    <w:link w:val="30"/>
    <w:qFormat/>
    <w:uiPriority w:val="0"/>
    <w:pPr>
      <w:widowControl/>
      <w:spacing w:line="240" w:lineRule="auto"/>
      <w:ind w:firstLine="0" w:firstLineChars="0"/>
      <w:jc w:val="center"/>
    </w:pPr>
    <w:rPr>
      <w:rFonts w:ascii="仿宋" w:hAnsi="仿宋" w:eastAsia="仿宋"/>
      <w:b/>
      <w:bCs/>
      <w:kern w:val="0"/>
      <w:sz w:val="22"/>
    </w:rPr>
  </w:style>
  <w:style w:type="character" w:customStyle="1" w:styleId="29">
    <w:name w:val="表格标题 字符"/>
    <w:basedOn w:val="21"/>
    <w:link w:val="27"/>
    <w:qFormat/>
    <w:uiPriority w:val="0"/>
    <w:rPr>
      <w:rFonts w:ascii="times new rome" w:hAnsi="times new rome" w:eastAsia="仿宋_GB2312" w:cs="宋体"/>
      <w:b/>
      <w:sz w:val="28"/>
      <w:szCs w:val="21"/>
    </w:rPr>
  </w:style>
  <w:style w:type="character" w:customStyle="1" w:styleId="30">
    <w:name w:val="清单标题 字符"/>
    <w:basedOn w:val="21"/>
    <w:link w:val="28"/>
    <w:qFormat/>
    <w:uiPriority w:val="0"/>
    <w:rPr>
      <w:rFonts w:ascii="仿宋" w:hAnsi="仿宋" w:eastAsia="仿宋" w:cs="宋体"/>
      <w:b/>
      <w:bCs/>
      <w:kern w:val="0"/>
      <w:sz w:val="22"/>
    </w:rPr>
  </w:style>
  <w:style w:type="character" w:customStyle="1" w:styleId="31">
    <w:name w:val="页眉 字符"/>
    <w:basedOn w:val="21"/>
    <w:link w:val="11"/>
    <w:qFormat/>
    <w:uiPriority w:val="99"/>
    <w:rPr>
      <w:rFonts w:ascii="Times New Roman" w:hAnsi="Times New Roman" w:eastAsia="仿宋_GB2312"/>
      <w:sz w:val="18"/>
      <w:szCs w:val="18"/>
    </w:rPr>
  </w:style>
  <w:style w:type="character" w:customStyle="1" w:styleId="32">
    <w:name w:val="页脚 字符"/>
    <w:basedOn w:val="21"/>
    <w:link w:val="10"/>
    <w:qFormat/>
    <w:uiPriority w:val="99"/>
    <w:rPr>
      <w:rFonts w:ascii="Times New Roman" w:hAnsi="Times New Roman" w:eastAsia="仿宋_GB2312"/>
      <w:sz w:val="18"/>
      <w:szCs w:val="18"/>
    </w:rPr>
  </w:style>
  <w:style w:type="paragraph" w:styleId="33">
    <w:name w:val="List Paragraph"/>
    <w:basedOn w:val="1"/>
    <w:qFormat/>
    <w:uiPriority w:val="34"/>
    <w:pPr>
      <w:ind w:firstLine="420"/>
    </w:pPr>
  </w:style>
  <w:style w:type="character" w:customStyle="1" w:styleId="34">
    <w:name w:val="批注框文本 字符"/>
    <w:basedOn w:val="21"/>
    <w:link w:val="9"/>
    <w:semiHidden/>
    <w:qFormat/>
    <w:uiPriority w:val="99"/>
    <w:rPr>
      <w:rFonts w:ascii="Times New Roman" w:hAnsi="Times New Roman" w:eastAsia="仿宋_GB2312"/>
      <w:sz w:val="18"/>
      <w:szCs w:val="18"/>
    </w:rPr>
  </w:style>
  <w:style w:type="character" w:customStyle="1" w:styleId="35">
    <w:name w:val="标题 2 字符"/>
    <w:basedOn w:val="21"/>
    <w:link w:val="3"/>
    <w:qFormat/>
    <w:uiPriority w:val="9"/>
    <w:rPr>
      <w:rFonts w:ascii="Times New Roman" w:hAnsi="Times New Roman" w:eastAsia="黑体" w:cs="宋体"/>
      <w:b/>
      <w:sz w:val="32"/>
      <w:szCs w:val="21"/>
    </w:rPr>
  </w:style>
  <w:style w:type="character" w:customStyle="1" w:styleId="36">
    <w:name w:val="标题 3 字符"/>
    <w:basedOn w:val="21"/>
    <w:link w:val="4"/>
    <w:qFormat/>
    <w:uiPriority w:val="9"/>
    <w:rPr>
      <w:rFonts w:ascii="Times New Roman" w:hAnsi="Times New Roman" w:eastAsia="仿宋_GB2312" w:cs="宋体"/>
      <w:b/>
      <w:bCs/>
      <w:sz w:val="30"/>
      <w:szCs w:val="28"/>
    </w:rPr>
  </w:style>
  <w:style w:type="character" w:customStyle="1" w:styleId="37">
    <w:name w:val="标题 4 字符"/>
    <w:basedOn w:val="21"/>
    <w:link w:val="5"/>
    <w:qFormat/>
    <w:uiPriority w:val="9"/>
    <w:rPr>
      <w:rFonts w:ascii="Times New Roman" w:hAnsi="Times New Roman" w:eastAsia="仿宋_GB2312" w:cs="宋体"/>
      <w:b/>
      <w:bCs/>
      <w:sz w:val="30"/>
      <w:szCs w:val="28"/>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kern w:val="0"/>
    </w:rPr>
  </w:style>
  <w:style w:type="paragraph" w:customStyle="1" w:styleId="39">
    <w:name w:val="图片"/>
    <w:link w:val="41"/>
    <w:qFormat/>
    <w:uiPriority w:val="0"/>
    <w:pPr>
      <w:adjustRightInd w:val="0"/>
      <w:snapToGrid w:val="0"/>
      <w:jc w:val="center"/>
    </w:pPr>
    <w:rPr>
      <w:rFonts w:ascii="Times New Roman" w:hAnsi="Times New Roman" w:eastAsia="仿宋_GB2312" w:cs="宋体"/>
      <w:b/>
      <w:bCs/>
      <w:kern w:val="2"/>
      <w:sz w:val="30"/>
      <w:szCs w:val="21"/>
      <w:lang w:val="en-US" w:eastAsia="zh-CN" w:bidi="ar-SA"/>
    </w:rPr>
  </w:style>
  <w:style w:type="paragraph" w:customStyle="1" w:styleId="40">
    <w:name w:val="图名表名"/>
    <w:basedOn w:val="39"/>
    <w:link w:val="43"/>
    <w:qFormat/>
    <w:uiPriority w:val="0"/>
    <w:pPr>
      <w:spacing w:line="360" w:lineRule="auto"/>
    </w:pPr>
    <w:rPr>
      <w:rFonts w:cs="Times New Roman"/>
      <w:sz w:val="28"/>
      <w:szCs w:val="28"/>
    </w:rPr>
  </w:style>
  <w:style w:type="character" w:customStyle="1" w:styleId="41">
    <w:name w:val="图片 字符"/>
    <w:basedOn w:val="21"/>
    <w:link w:val="39"/>
    <w:qFormat/>
    <w:uiPriority w:val="0"/>
    <w:rPr>
      <w:rFonts w:ascii="Times New Roman" w:hAnsi="Times New Roman" w:eastAsia="仿宋_GB2312" w:cs="宋体"/>
      <w:b/>
      <w:bCs/>
      <w:sz w:val="30"/>
      <w:szCs w:val="21"/>
    </w:rPr>
  </w:style>
  <w:style w:type="paragraph" w:customStyle="1" w:styleId="42">
    <w:name w:val="表格内容"/>
    <w:link w:val="44"/>
    <w:qFormat/>
    <w:uiPriority w:val="0"/>
    <w:pPr>
      <w:adjustRightInd w:val="0"/>
      <w:snapToGrid w:val="0"/>
      <w:spacing w:after="100" w:afterAutospacing="1"/>
      <w:jc w:val="center"/>
    </w:pPr>
    <w:rPr>
      <w:rFonts w:ascii="Times New Roman" w:hAnsi="Times New Roman" w:eastAsia="仿宋_GB2312" w:cs="Times New Roman"/>
      <w:kern w:val="2"/>
      <w:sz w:val="22"/>
      <w:szCs w:val="15"/>
      <w:lang w:val="en-US" w:eastAsia="zh-CN" w:bidi="ar-SA"/>
    </w:rPr>
  </w:style>
  <w:style w:type="character" w:customStyle="1" w:styleId="43">
    <w:name w:val="图名表名 字符"/>
    <w:basedOn w:val="41"/>
    <w:link w:val="40"/>
    <w:qFormat/>
    <w:uiPriority w:val="0"/>
    <w:rPr>
      <w:rFonts w:ascii="Times New Roman" w:hAnsi="Times New Roman" w:eastAsia="仿宋_GB2312" w:cs="宋体"/>
      <w:kern w:val="2"/>
      <w:sz w:val="28"/>
      <w:szCs w:val="28"/>
    </w:rPr>
  </w:style>
  <w:style w:type="character" w:customStyle="1" w:styleId="44">
    <w:name w:val="表格内容 字符"/>
    <w:basedOn w:val="21"/>
    <w:link w:val="42"/>
    <w:qFormat/>
    <w:uiPriority w:val="0"/>
    <w:rPr>
      <w:rFonts w:eastAsia="仿宋_GB2312"/>
      <w:kern w:val="2"/>
      <w:sz w:val="22"/>
      <w:szCs w:val="15"/>
    </w:rPr>
  </w:style>
  <w:style w:type="character" w:customStyle="1" w:styleId="45">
    <w:name w:val="批注文字 字符"/>
    <w:basedOn w:val="21"/>
    <w:link w:val="6"/>
    <w:semiHidden/>
    <w:qFormat/>
    <w:uiPriority w:val="99"/>
    <w:rPr>
      <w:rFonts w:ascii="Times New Roman" w:hAnsi="Times New Roman" w:eastAsia="仿宋_GB2312" w:cs="宋体"/>
      <w:sz w:val="30"/>
      <w:szCs w:val="21"/>
    </w:rPr>
  </w:style>
  <w:style w:type="character" w:customStyle="1" w:styleId="46">
    <w:name w:val="批注主题 字符"/>
    <w:basedOn w:val="45"/>
    <w:link w:val="18"/>
    <w:semiHidden/>
    <w:qFormat/>
    <w:uiPriority w:val="99"/>
    <w:rPr>
      <w:rFonts w:ascii="Times New Roman" w:hAnsi="Times New Roman" w:eastAsia="仿宋_GB2312" w:cs="宋体"/>
      <w:b/>
      <w:bCs/>
      <w:sz w:val="30"/>
      <w:szCs w:val="21"/>
    </w:rPr>
  </w:style>
  <w:style w:type="character" w:customStyle="1" w:styleId="47">
    <w:name w:val="日期 字符"/>
    <w:basedOn w:val="21"/>
    <w:link w:val="8"/>
    <w:semiHidden/>
    <w:qFormat/>
    <w:uiPriority w:val="99"/>
    <w:rPr>
      <w:rFonts w:ascii="Times New Roman" w:hAnsi="Times New Roman" w:eastAsia="仿宋_GB2312" w:cs="宋体"/>
      <w:sz w:val="30"/>
      <w:szCs w:val="21"/>
    </w:rPr>
  </w:style>
  <w:style w:type="character" w:customStyle="1" w:styleId="48">
    <w:name w:val="脚注文本 字符"/>
    <w:basedOn w:val="21"/>
    <w:link w:val="14"/>
    <w:semiHidden/>
    <w:qFormat/>
    <w:uiPriority w:val="99"/>
    <w:rPr>
      <w:rFonts w:ascii="Times New Roman" w:hAnsi="Times New Roman" w:eastAsia="仿宋_GB2312" w:cs="宋体"/>
      <w:sz w:val="18"/>
      <w:szCs w:val="18"/>
    </w:rPr>
  </w:style>
  <w:style w:type="character" w:customStyle="1" w:styleId="49">
    <w:name w:val="font21"/>
    <w:basedOn w:val="21"/>
    <w:qFormat/>
    <w:uiPriority w:val="0"/>
    <w:rPr>
      <w:rFonts w:hint="default" w:ascii="Times New Roman" w:hAnsi="Times New Roman" w:cs="Times New Roman"/>
      <w:color w:val="000000"/>
      <w:sz w:val="21"/>
      <w:szCs w:val="21"/>
      <w:u w:val="none"/>
    </w:rPr>
  </w:style>
  <w:style w:type="character" w:customStyle="1" w:styleId="50">
    <w:name w:val="副标题 字符"/>
    <w:basedOn w:val="21"/>
    <w:link w:val="13"/>
    <w:qFormat/>
    <w:uiPriority w:val="11"/>
    <w:rPr>
      <w:rFonts w:ascii="times new rome" w:hAnsi="times new rome" w:eastAsia="仿宋_GB2312" w:cstheme="minorBidi"/>
      <w:bCs/>
      <w:kern w:val="28"/>
      <w:sz w:val="24"/>
      <w:szCs w:val="32"/>
    </w:rPr>
  </w:style>
  <w:style w:type="character" w:customStyle="1" w:styleId="51">
    <w:name w:val="标题 字符"/>
    <w:basedOn w:val="21"/>
    <w:link w:val="17"/>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161C-FE04-4985-B559-5A18CC1E2B8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3218</Words>
  <Characters>3383</Characters>
  <Lines>25</Lines>
  <Paragraphs>7</Paragraphs>
  <TotalTime>16</TotalTime>
  <ScaleCrop>false</ScaleCrop>
  <LinksUpToDate>false</LinksUpToDate>
  <CharactersWithSpaces>3391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2025-03-05T06:11:00Z</dcterms:created>
  <dc:creator>chan fern</dc:creator>
  <cp:lastModifiedBy>范亚南</cp:lastModifiedBy>
  <cp:lastPrinted>2022-12-02T01:15:00Z</cp:lastPrinted>
  <dcterms:modified xsi:type="dcterms:W3CDTF">2025-03-07T10:18:22Z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eyJoZGlkIjoiMzM4N2JjMmU2NmRjNTg1Njg2ZmZiMzFhMDA5OWFiZDgiLCJ1c2VySWQiOiI0NTU1OTMyMDkifQ==</vt:lpwstr>
  </property>
  <property fmtid="{D5CDD505-2E9C-101B-9397-08002B2CF9AE}" pid="4" name="ICV">
    <vt:lpwstr>49649C24ED8E4CF7B8747ABBA754E53B_12</vt:lpwstr>
  </property>
</Properties>
</file>