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p>
    <w:p>
      <w:pPr>
        <w:jc w:val="center"/>
        <w:outlineLvl w:val="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《南沙元宇宙产业先导示范区入驻管理暂行办法</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征求意见稿）</w:t>
      </w:r>
      <w:r>
        <w:rPr>
          <w:rFonts w:hint="eastAsia" w:ascii="方正小标宋简体" w:hAnsi="方正小标宋简体" w:eastAsia="方正小标宋简体" w:cs="方正小标宋简体"/>
          <w:sz w:val="32"/>
          <w:szCs w:val="32"/>
        </w:rPr>
        <w:t>》</w:t>
      </w:r>
    </w:p>
    <w:p>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公众</w:t>
      </w:r>
      <w:r>
        <w:rPr>
          <w:rFonts w:hint="eastAsia" w:ascii="方正小标宋简体" w:hAnsi="方正小标宋简体" w:eastAsia="方正小标宋简体" w:cs="方正小标宋简体"/>
          <w:sz w:val="32"/>
          <w:szCs w:val="32"/>
        </w:rPr>
        <w:t>意见采纳情况汇总表</w:t>
      </w: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6379"/>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2" w:type="dxa"/>
            <w:tcBorders>
              <w:left w:val="single" w:color="auto" w:sz="4" w:space="0"/>
              <w:right w:val="single" w:color="auto" w:sz="4" w:space="0"/>
            </w:tcBorders>
            <w:shd w:val="clear" w:color="auto" w:fill="8DB3E2"/>
            <w:vAlign w:val="center"/>
          </w:tcPr>
          <w:p>
            <w:pPr>
              <w:jc w:val="center"/>
              <w:rPr>
                <w:rFonts w:ascii="Times New Roman" w:hAnsi="Times New Roman" w:eastAsia="黑体"/>
                <w:sz w:val="24"/>
              </w:rPr>
            </w:pPr>
            <w:r>
              <w:rPr>
                <w:rFonts w:ascii="Times New Roman" w:hAnsi="Times New Roman" w:eastAsia="黑体"/>
                <w:sz w:val="24"/>
              </w:rPr>
              <w:t>单位</w:t>
            </w:r>
          </w:p>
        </w:tc>
        <w:tc>
          <w:tcPr>
            <w:tcW w:w="850" w:type="dxa"/>
            <w:tcBorders>
              <w:left w:val="single" w:color="auto" w:sz="4" w:space="0"/>
              <w:right w:val="single" w:color="auto" w:sz="4" w:space="0"/>
            </w:tcBorders>
            <w:shd w:val="clear" w:color="auto" w:fill="8DB3E2"/>
            <w:vAlign w:val="center"/>
          </w:tcPr>
          <w:p>
            <w:pPr>
              <w:jc w:val="center"/>
              <w:rPr>
                <w:rFonts w:ascii="Times New Roman" w:hAnsi="Times New Roman" w:eastAsia="黑体"/>
                <w:sz w:val="24"/>
              </w:rPr>
            </w:pPr>
            <w:r>
              <w:rPr>
                <w:rFonts w:ascii="Times New Roman" w:hAnsi="Times New Roman" w:eastAsia="黑体"/>
                <w:sz w:val="24"/>
              </w:rPr>
              <w:t>序号</w:t>
            </w:r>
          </w:p>
        </w:tc>
        <w:tc>
          <w:tcPr>
            <w:tcW w:w="6379" w:type="dxa"/>
            <w:tcBorders>
              <w:left w:val="single" w:color="auto" w:sz="4" w:space="0"/>
              <w:right w:val="single" w:color="auto" w:sz="4" w:space="0"/>
            </w:tcBorders>
            <w:shd w:val="clear" w:color="auto" w:fill="8DB3E2"/>
            <w:vAlign w:val="center"/>
          </w:tcPr>
          <w:p>
            <w:pPr>
              <w:jc w:val="center"/>
              <w:rPr>
                <w:rFonts w:ascii="Times New Roman" w:hAnsi="Times New Roman" w:eastAsia="黑体"/>
                <w:sz w:val="24"/>
              </w:rPr>
            </w:pPr>
            <w:r>
              <w:rPr>
                <w:rFonts w:ascii="Times New Roman" w:hAnsi="Times New Roman" w:eastAsia="黑体"/>
                <w:sz w:val="24"/>
              </w:rPr>
              <w:t>反馈意见</w:t>
            </w:r>
          </w:p>
        </w:tc>
        <w:tc>
          <w:tcPr>
            <w:tcW w:w="4642" w:type="dxa"/>
            <w:tcBorders>
              <w:left w:val="single" w:color="auto" w:sz="4" w:space="0"/>
            </w:tcBorders>
            <w:shd w:val="clear" w:color="auto" w:fill="8DB3E2"/>
          </w:tcPr>
          <w:p>
            <w:pPr>
              <w:jc w:val="center"/>
              <w:rPr>
                <w:rFonts w:ascii="Times New Roman" w:hAnsi="Times New Roman" w:eastAsia="黑体"/>
                <w:sz w:val="24"/>
              </w:rPr>
            </w:pPr>
            <w:r>
              <w:rPr>
                <w:rFonts w:ascii="Times New Roman" w:hAnsi="Times New Roman" w:eastAsia="黑体"/>
                <w:sz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22"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广州市元宇宙创新产业协会</w:t>
            </w:r>
          </w:p>
          <w:p>
            <w:pPr>
              <w:adjustRightInd w:val="0"/>
              <w:snapToGrid w:val="0"/>
              <w:jc w:val="center"/>
              <w:rPr>
                <w:rFonts w:ascii="Times New Roman" w:hAnsi="Times New Roman" w:eastAsia="仿宋_GB2312"/>
                <w:sz w:val="24"/>
              </w:rPr>
            </w:pPr>
          </w:p>
        </w:tc>
        <w:tc>
          <w:tcPr>
            <w:tcW w:w="850" w:type="dxa"/>
            <w:tcBorders>
              <w:left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6379" w:type="dxa"/>
            <w:tcBorders>
              <w:left w:val="single" w:color="auto" w:sz="4" w:space="0"/>
              <w:right w:val="single" w:color="auto" w:sz="4" w:space="0"/>
            </w:tcBorders>
            <w:vAlign w:val="top"/>
          </w:tcPr>
          <w:p>
            <w:p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在非提交入驻申请期间，有很多企业了解政策后想申请入驻，但因提交申请时间不定期，导致等待过程中容易导致申请企业流失。建议可以设立企业进驻预审核机制，协会作为运营单位对企业进行评估审核，预审核通过的企业可临时进驻办公，若正式评审未通过则清退。</w:t>
            </w:r>
          </w:p>
        </w:tc>
        <w:tc>
          <w:tcPr>
            <w:tcW w:w="4642" w:type="dxa"/>
            <w:tcBorders>
              <w:left w:val="single" w:color="auto" w:sz="4" w:space="0"/>
            </w:tcBorders>
            <w:vAlign w:val="center"/>
          </w:tcPr>
          <w:p>
            <w:pPr>
              <w:adjustRightInd w:val="0"/>
              <w:snapToGrid w:val="0"/>
              <w:rPr>
                <w:rFonts w:hint="eastAsia" w:ascii="Times New Roman" w:hAnsi="Times New Roman" w:eastAsia="仿宋_GB2312"/>
                <w:sz w:val="24"/>
                <w:lang w:eastAsia="zh-CN"/>
              </w:rPr>
            </w:pPr>
            <w:r>
              <w:rPr>
                <w:rFonts w:hint="eastAsia" w:ascii="仿宋_GB2312" w:hAnsi="Times New Roman" w:eastAsia="仿宋_GB2312"/>
                <w:sz w:val="24"/>
                <w:lang w:eastAsia="zh-CN"/>
              </w:rPr>
              <w:t>不</w:t>
            </w:r>
            <w:r>
              <w:rPr>
                <w:rFonts w:hint="eastAsia" w:ascii="仿宋_GB2312" w:hAnsi="Times New Roman" w:eastAsia="仿宋_GB2312"/>
                <w:sz w:val="24"/>
              </w:rPr>
              <w:t>采纳，</w:t>
            </w:r>
            <w:r>
              <w:rPr>
                <w:rFonts w:hint="eastAsia" w:ascii="仿宋_GB2312" w:hAnsi="Times New Roman" w:eastAsia="仿宋_GB2312"/>
                <w:sz w:val="24"/>
                <w:lang w:eastAsia="zh-CN"/>
              </w:rPr>
              <w:t>理由</w:t>
            </w:r>
            <w:r>
              <w:rPr>
                <w:rFonts w:hint="eastAsia" w:ascii="仿宋_GB2312" w:hAnsi="Times New Roman" w:eastAsia="仿宋_GB2312"/>
                <w:sz w:val="24"/>
              </w:rPr>
              <w:t>如下：</w:t>
            </w:r>
            <w:r>
              <w:rPr>
                <w:rFonts w:hint="eastAsia" w:ascii="仿宋_GB2312" w:hAnsi="Times New Roman" w:eastAsia="仿宋_GB2312"/>
                <w:sz w:val="24"/>
                <w:lang w:eastAsia="zh-CN"/>
              </w:rPr>
              <w:t>预审核机制不利于企业入驻实操管理，存在一定的管理风险。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22"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850" w:type="dxa"/>
            <w:tcBorders>
              <w:left w:val="single" w:color="auto" w:sz="4" w:space="0"/>
              <w:right w:val="single" w:color="auto" w:sz="4" w:space="0"/>
            </w:tcBorders>
            <w:vAlign w:val="center"/>
          </w:tcPr>
          <w:p>
            <w:pPr>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w:t>
            </w:r>
          </w:p>
        </w:tc>
        <w:tc>
          <w:tcPr>
            <w:tcW w:w="6379" w:type="dxa"/>
            <w:tcBorders>
              <w:left w:val="single" w:color="auto" w:sz="4" w:space="0"/>
              <w:right w:val="single" w:color="auto" w:sz="4" w:space="0"/>
            </w:tcBorders>
            <w:vAlign w:val="top"/>
          </w:tcPr>
          <w:p>
            <w:p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部分企业存在同时运营的子、母公司，为方便企业员工统一办公，稳定示范区企业办公规模，支持企业业务发展，建议通过允许子、母公司同时入驻的方式扩大示范区企业的业务开展。</w:t>
            </w:r>
          </w:p>
        </w:tc>
        <w:tc>
          <w:tcPr>
            <w:tcW w:w="4642" w:type="dxa"/>
            <w:tcBorders>
              <w:left w:val="single" w:color="auto" w:sz="4" w:space="0"/>
            </w:tcBorders>
            <w:vAlign w:val="center"/>
          </w:tcPr>
          <w:p>
            <w:pPr>
              <w:adjustRightInd w:val="0"/>
              <w:snapToGrid w:val="0"/>
              <w:rPr>
                <w:rFonts w:hint="eastAsia" w:ascii="仿宋_GB2312" w:hAnsi="Times New Roman" w:eastAsia="仿宋_GB2312"/>
                <w:sz w:val="24"/>
                <w:lang w:eastAsia="zh-CN"/>
              </w:rPr>
            </w:pPr>
            <w:r>
              <w:rPr>
                <w:rFonts w:hint="eastAsia" w:ascii="仿宋_GB2312" w:hAnsi="Times New Roman" w:eastAsia="仿宋_GB2312"/>
                <w:sz w:val="24"/>
                <w:lang w:eastAsia="zh-CN"/>
              </w:rPr>
              <w:t>采纳，目前没有限制企业子、母公司不能同时入驻。</w:t>
            </w:r>
          </w:p>
        </w:tc>
      </w:tr>
    </w:tbl>
    <w:p>
      <w:pPr>
        <w:rPr>
          <w:rFonts w:hint="eastAsia"/>
          <w:lang w:eastAsia="zh-CN"/>
        </w:rPr>
      </w:pPr>
      <w:bookmarkStart w:id="0" w:name="_GoBack"/>
      <w:bookmarkEnd w:id="0"/>
    </w:p>
    <w:sectPr>
      <w:footerReference r:id="rId3" w:type="default"/>
      <w:pgSz w:w="16838" w:h="11906" w:orient="landscape"/>
      <w:pgMar w:top="1349" w:right="1440" w:bottom="151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_x0000_s1026"/>
              <wp:cNvGraphicFramePr/>
              <a:graphic xmlns:a="http://schemas.openxmlformats.org/drawingml/2006/main">
                <a:graphicData uri="http://schemas.microsoft.com/office/word/2010/wordprocessingShape">
                  <wps:wsp>
                    <wps:cNvSpPr txBox="true">
                      <a:spLocks noChangeArrowheads="true"/>
                    </wps:cNvSpPr>
                    <wps:spPr bwMode="auto">
                      <a:xfrm>
                        <a:off x="0" y="0"/>
                        <a:ext cx="859155" cy="147955"/>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FBgAAAAAAAAAAAAAAAAAAAAAAAFBLAwQKAAAAAACHTuJAAAAAAAAAAAAAAAAABAAAAGRycy9Q&#10;SwMEFAAAAAgAh07iQGF1YZnSAAAABAEAAA8AAABkcnMvZG93bnJldi54bWxNj8FOwzAQRO9I/IO1&#10;lbhRp42AKsTpoRIXbhSE1Ns23sZR7XVku2ny97hc4LLSaEYzb+vt5KwYKcTes4LVsgBB3Hrdc6fg&#10;6/PtcQMiJmSN1jMpmCnCtrm/q7HS/sofNO5TJ3IJxwoVmJSGSsrYGnIYl34gzt7JB4cpy9BJHfCa&#10;y52V66J4lg57zgsGB9oZas/7i1PwMn17GiLt6HAa22D6eWPfZ6UeFqviFUSiKf2F4Yaf0aHJTEd/&#10;YR2FVZAfSb/35pVPJYijgnVZgmxq+R+++QFQSwMEFAAAAAgAh07iQCrEmKTpAQAAwgMAAA4AAABk&#10;cnMvZTJvRG9jLnhtbK1TTW/bMAy9D9h/EHRf7ARL1xpxiq5FhgHdB9DtXDCyHAuzRYFSYme/fpQc&#10;p9l2G+aDQFHU4+PT8+p26Fpx0OQN2lLOZ7kU2iqsjN2V8vu3zZtrKXwAW0GLVpfyqL28Xb9+tepd&#10;oRfYYFtpEgxifdG7UjYhuCLLvGp0B36GTls+rJE6CLylXVYR9Izetdkiz6+yHqlyhEp7z9mH8VCu&#10;E35daxW+1LXXQbSlZG4hrZTWbVyz9QqKHYFrjDrRgH9g0YGx3PQM9QABxJ7MX1CdUYQe6zBT2GVY&#10;10bpNANPM8//mOapAafTLCyOd2eZ/P+DVZ8PX0mYit9OCgsdP9HzkPP37Of54irq0ztfcNmT48Iw&#10;vMehlIH2kRcU3j2i+uGFxfsG7E7fEWHfaKiYYiri+9kFwIjmI9S2/4QVt4N9wIQ11NRFTBZFcA9+&#10;reP5hfQQhOLk9fJmvlxKofho/vbdDcexAxTTZUc+fNDYiRiUktgACRwOjz6MpVNJ7GVxY9qW81C0&#10;9rcEY8ZMIh/5jszDsB24Ok60xerIYxCOnuJ/gIMG6acUPfuplJYNL0X70bIW0XpTQFOwnQKwii+y&#10;YlKM4X3gXQ2tZ4C9I7NrGPtC9DvWbGPSPC9UTmTZKEmRk6mjEy/3qerl11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F1YZnSAAAABAEAAA8AAAAAAAAAAQAgAAAAOAAAAGRycy9kb3ducmV2Lnht&#10;bFBLAQIUABQAAAAIAIdO4kAqxJik6QEAAMIDAAAOAAAAAAAAAAEAIAAAADcBAABkcnMvZTJvRG9j&#10;LnhtbFBLBQYAAAAABgAGAFkBAACSBQ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YjYzMmFjNjFiODQ5MzNhZGE2NmIxZDE3YTllNWUifQ=="/>
  </w:docVars>
  <w:rsids>
    <w:rsidRoot w:val="00172A27"/>
    <w:rsid w:val="000074D9"/>
    <w:rsid w:val="00040FDD"/>
    <w:rsid w:val="00172A27"/>
    <w:rsid w:val="001A6C9F"/>
    <w:rsid w:val="001D4A10"/>
    <w:rsid w:val="001F7698"/>
    <w:rsid w:val="002E7069"/>
    <w:rsid w:val="00397675"/>
    <w:rsid w:val="00467B98"/>
    <w:rsid w:val="004F4C44"/>
    <w:rsid w:val="005B139F"/>
    <w:rsid w:val="005B1E25"/>
    <w:rsid w:val="007D0701"/>
    <w:rsid w:val="00821091"/>
    <w:rsid w:val="00885EC3"/>
    <w:rsid w:val="00972A30"/>
    <w:rsid w:val="009D219F"/>
    <w:rsid w:val="00AA063B"/>
    <w:rsid w:val="00AE60A1"/>
    <w:rsid w:val="00C00865"/>
    <w:rsid w:val="00D62B47"/>
    <w:rsid w:val="00D65DFE"/>
    <w:rsid w:val="00D93DEA"/>
    <w:rsid w:val="00EC7078"/>
    <w:rsid w:val="00EF4A94"/>
    <w:rsid w:val="00F450BE"/>
    <w:rsid w:val="00F4796F"/>
    <w:rsid w:val="00FE4761"/>
    <w:rsid w:val="0373299E"/>
    <w:rsid w:val="03F97356"/>
    <w:rsid w:val="08911916"/>
    <w:rsid w:val="11A5325C"/>
    <w:rsid w:val="14BC213E"/>
    <w:rsid w:val="177341E9"/>
    <w:rsid w:val="1CE02F27"/>
    <w:rsid w:val="235E33FD"/>
    <w:rsid w:val="24EE4C3B"/>
    <w:rsid w:val="24F22AC4"/>
    <w:rsid w:val="2AEF1994"/>
    <w:rsid w:val="2E9A1EFA"/>
    <w:rsid w:val="2EC36C88"/>
    <w:rsid w:val="2FFFBF64"/>
    <w:rsid w:val="345ABEE1"/>
    <w:rsid w:val="35C93029"/>
    <w:rsid w:val="3760179A"/>
    <w:rsid w:val="38581A33"/>
    <w:rsid w:val="3B9F7EA0"/>
    <w:rsid w:val="3CC52D38"/>
    <w:rsid w:val="3DBF71A0"/>
    <w:rsid w:val="3DED76EE"/>
    <w:rsid w:val="3EA40F42"/>
    <w:rsid w:val="430143AE"/>
    <w:rsid w:val="450213CF"/>
    <w:rsid w:val="47F9079C"/>
    <w:rsid w:val="4BF7F906"/>
    <w:rsid w:val="4CEF4C93"/>
    <w:rsid w:val="4DC165E2"/>
    <w:rsid w:val="4E2D0AB5"/>
    <w:rsid w:val="52B23B53"/>
    <w:rsid w:val="538E6079"/>
    <w:rsid w:val="53F7249E"/>
    <w:rsid w:val="563E6692"/>
    <w:rsid w:val="56ED4000"/>
    <w:rsid w:val="57A557E8"/>
    <w:rsid w:val="59ED991A"/>
    <w:rsid w:val="5FAD8E85"/>
    <w:rsid w:val="615362B5"/>
    <w:rsid w:val="65A98491"/>
    <w:rsid w:val="669E2445"/>
    <w:rsid w:val="67CF36BA"/>
    <w:rsid w:val="6BD770B5"/>
    <w:rsid w:val="6C1847E2"/>
    <w:rsid w:val="6DCD14A6"/>
    <w:rsid w:val="6FD3792B"/>
    <w:rsid w:val="71E252C4"/>
    <w:rsid w:val="72AD27C3"/>
    <w:rsid w:val="73CFBE28"/>
    <w:rsid w:val="74C6176C"/>
    <w:rsid w:val="76DF785C"/>
    <w:rsid w:val="7CFFC57E"/>
    <w:rsid w:val="7E5E99F3"/>
    <w:rsid w:val="7F77113E"/>
    <w:rsid w:val="7F7A9FC8"/>
    <w:rsid w:val="7FBD2288"/>
    <w:rsid w:val="7FDDDBBF"/>
    <w:rsid w:val="7FFCC340"/>
    <w:rsid w:val="7FFDC85C"/>
    <w:rsid w:val="7FFF47B9"/>
    <w:rsid w:val="9F2D68D8"/>
    <w:rsid w:val="AC6BA7DB"/>
    <w:rsid w:val="AF7DC29E"/>
    <w:rsid w:val="AF8FE5CA"/>
    <w:rsid w:val="B2AF9E92"/>
    <w:rsid w:val="BB6F8E7B"/>
    <w:rsid w:val="BB7F6EB2"/>
    <w:rsid w:val="BBFBDA86"/>
    <w:rsid w:val="BDDFE1A1"/>
    <w:rsid w:val="BFF1A3FA"/>
    <w:rsid w:val="CFBB78AF"/>
    <w:rsid w:val="D3FFFEE1"/>
    <w:rsid w:val="D7FB5ED2"/>
    <w:rsid w:val="DBBE0E14"/>
    <w:rsid w:val="DBF3B67F"/>
    <w:rsid w:val="DCED8EC2"/>
    <w:rsid w:val="DD7F8E5F"/>
    <w:rsid w:val="DEFFD018"/>
    <w:rsid w:val="EAEFCE17"/>
    <w:rsid w:val="EF9D38A7"/>
    <w:rsid w:val="EFFF55FC"/>
    <w:rsid w:val="F3F37409"/>
    <w:rsid w:val="F5F525EF"/>
    <w:rsid w:val="FA774682"/>
    <w:rsid w:val="FABF8403"/>
    <w:rsid w:val="FDBD88EB"/>
    <w:rsid w:val="FDFF4780"/>
    <w:rsid w:val="FE7B1036"/>
    <w:rsid w:val="FEDF60B8"/>
    <w:rsid w:val="FF6E8FFE"/>
    <w:rsid w:val="FFF70EEB"/>
    <w:rsid w:val="FFF7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48"/>
      <w:szCs w:val="48"/>
    </w:rPr>
  </w:style>
  <w:style w:type="paragraph" w:styleId="2">
    <w:name w:val="heading 2"/>
    <w:basedOn w:val="1"/>
    <w:next w:val="1"/>
    <w:qFormat/>
    <w:uiPriority w:val="0"/>
    <w:pPr>
      <w:keepNext/>
      <w:keepLines/>
      <w:spacing w:line="416" w:lineRule="auto"/>
      <w:outlineLvl w:val="1"/>
    </w:pPr>
    <w:rPr>
      <w:rFonts w:ascii="Cambria" w:hAnsi="Cambria"/>
      <w:b/>
      <w:kern w:val="0"/>
      <w:sz w:val="32"/>
      <w:szCs w:val="32"/>
    </w:rPr>
  </w:style>
  <w:style w:type="paragraph" w:styleId="4">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rPr>
      <w:rFonts w:ascii="等线" w:hAnsi="等线" w:eastAsia="等线"/>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firstLineChars="200"/>
    </w:pPr>
    <w:rPr>
      <w:rFonts w:ascii="Calibri" w:hAnsi="Calibri" w:eastAsia="宋体"/>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5">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font01"/>
    <w:basedOn w:val="11"/>
    <w:qFormat/>
    <w:uiPriority w:val="0"/>
    <w:rPr>
      <w:rFonts w:hint="eastAsia" w:ascii="宋体" w:hAnsi="宋体" w:eastAsia="宋体" w:cs="宋体"/>
      <w:color w:val="000000"/>
      <w:sz w:val="28"/>
      <w:szCs w:val="28"/>
      <w:u w:val="none"/>
    </w:rPr>
  </w:style>
  <w:style w:type="character" w:customStyle="1" w:styleId="17">
    <w:name w:val="font11"/>
    <w:basedOn w:val="1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403</Words>
  <Characters>420</Characters>
  <Lines>3</Lines>
  <Paragraphs>1</Paragraphs>
  <TotalTime>8</TotalTime>
  <ScaleCrop>false</ScaleCrop>
  <LinksUpToDate>false</LinksUpToDate>
  <CharactersWithSpaces>420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2023-05-03T01:23:00Z</dcterms:created>
  <dc:creator>Administrator</dc:creator>
  <cp:lastModifiedBy>user</cp:lastModifiedBy>
  <cp:lastPrinted>2024-11-22T19:53:00Z</cp:lastPrinted>
  <dcterms:modified xsi:type="dcterms:W3CDTF">2025-03-05T10:41:23Z</dcterms:modified>
  <dc:title>huang wenhua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4A223651556C46B5996B7D8925B20A80</vt:lpwstr>
  </property>
</Properties>
</file>