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4856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44"/>
          <w:szCs w:val="44"/>
          <w:highlight w:val="none"/>
        </w:rPr>
      </w:pPr>
      <w:bookmarkStart w:id="0" w:name="_Hlk536868065"/>
      <w:bookmarkEnd w:id="0"/>
      <w:bookmarkStart w:id="1" w:name="_Toc15962"/>
      <w:bookmarkStart w:id="2" w:name="_Toc29719"/>
      <w:r>
        <w:rPr>
          <w:rFonts w:hint="default" w:ascii="Times New Roman" w:hAnsi="Times New Roman" w:eastAsia="方正小标宋简体" w:cs="Times New Roman"/>
          <w:sz w:val="44"/>
          <w:szCs w:val="44"/>
          <w:highlight w:val="none"/>
        </w:rPr>
        <w:t>广州市南沙区数字经济发展规划</w:t>
      </w:r>
      <w:bookmarkEnd w:id="1"/>
      <w:bookmarkEnd w:id="2"/>
    </w:p>
    <w:p w14:paraId="0C43CE6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方正小标宋简体" w:cs="Times New Roman"/>
          <w:sz w:val="44"/>
          <w:szCs w:val="44"/>
          <w:highlight w:val="none"/>
          <w:lang w:val="en-US" w:eastAsia="zh-CN"/>
        </w:rPr>
      </w:pPr>
    </w:p>
    <w:p w14:paraId="5D34FBFC">
      <w:pPr>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9"/>
        <w:rPr>
          <w:rFonts w:hint="default" w:ascii="Times New Roman" w:hAnsi="Times New Roman" w:eastAsia="宋体" w:cs="Times New Roman"/>
          <w:sz w:val="36"/>
          <w:szCs w:val="36"/>
          <w:highlight w:val="none"/>
          <w:lang w:val="en-US" w:eastAsia="zh-CN"/>
        </w:rPr>
      </w:pPr>
    </w:p>
    <w:p w14:paraId="6CCE0FBE">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rPr>
          <w:rFonts w:hint="default" w:ascii="Times New Roman" w:hAnsi="Times New Roman" w:eastAsia="宋体" w:cs="Times New Roman"/>
          <w:kern w:val="2"/>
          <w:sz w:val="36"/>
          <w:szCs w:val="36"/>
          <w:highlight w:val="none"/>
          <w:lang w:val="en-US" w:eastAsia="zh-CN" w:bidi="ar-SA"/>
        </w:rPr>
      </w:pPr>
      <w:bookmarkStart w:id="3" w:name="_Toc16262"/>
      <w:bookmarkStart w:id="4" w:name="_Toc13232"/>
    </w:p>
    <w:p w14:paraId="1E35BA7F">
      <w:pPr>
        <w:autoSpaceDE w:val="0"/>
        <w:autoSpaceDN w:val="0"/>
        <w:spacing w:line="520" w:lineRule="exact"/>
        <w:ind w:firstLine="0" w:firstLineChars="0"/>
        <w:jc w:val="center"/>
        <w:textAlignment w:val="bottom"/>
        <w:rPr>
          <w:rFonts w:hint="default" w:ascii="Times New Roman" w:hAnsi="Times New Roman" w:eastAsia="宋体" w:cs="Times New Roman"/>
          <w:sz w:val="36"/>
          <w:szCs w:val="36"/>
          <w:highlight w:val="none"/>
          <w:lang w:val="en-US" w:eastAsia="zh-CN"/>
        </w:rPr>
      </w:pPr>
    </w:p>
    <w:p w14:paraId="38AF3C21">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50DE4B3F">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68476614">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4CE80041">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7AFE932F">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63D303A9">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370E0F7B">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6ACF4D8B">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2A1D9354">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093E2085">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539D6BA1">
      <w:pPr>
        <w:autoSpaceDE w:val="0"/>
        <w:autoSpaceDN w:val="0"/>
        <w:spacing w:line="520" w:lineRule="exact"/>
        <w:ind w:firstLine="0" w:firstLineChars="0"/>
        <w:jc w:val="center"/>
        <w:textAlignment w:val="bottom"/>
        <w:rPr>
          <w:rFonts w:hint="default" w:ascii="Times New Roman" w:hAnsi="Times New Roman" w:eastAsia="宋体" w:cs="Times New Roman"/>
          <w:kern w:val="2"/>
          <w:sz w:val="36"/>
          <w:szCs w:val="36"/>
          <w:highlight w:val="none"/>
          <w:lang w:val="en-US" w:eastAsia="zh-CN" w:bidi="ar-SA"/>
        </w:rPr>
      </w:pPr>
    </w:p>
    <w:p w14:paraId="2CFD819C">
      <w:pPr>
        <w:keepNext w:val="0"/>
        <w:keepLines w:val="0"/>
        <w:pageBreakBefore w:val="0"/>
        <w:widowControl w:val="0"/>
        <w:kinsoku/>
        <w:wordWrap/>
        <w:overflowPunct/>
        <w:topLinePunct w:val="0"/>
        <w:autoSpaceDE/>
        <w:autoSpaceDN/>
        <w:bidi w:val="0"/>
        <w:adjustRightInd/>
        <w:snapToGrid/>
        <w:spacing w:afterLines="0" w:line="560" w:lineRule="exact"/>
        <w:ind w:firstLine="0" w:firstLineChars="0"/>
        <w:jc w:val="center"/>
        <w:textAlignment w:val="auto"/>
        <w:rPr>
          <w:rFonts w:hint="default" w:ascii="Times New Roman" w:hAnsi="Times New Roman" w:cs="Times New Roman"/>
          <w:highlight w:val="none"/>
          <w:lang w:val="en-US" w:eastAsia="zh-CN"/>
        </w:rPr>
        <w:sectPr>
          <w:footerReference r:id="rId3" w:type="default"/>
          <w:pgSz w:w="11906" w:h="16838"/>
          <w:pgMar w:top="2098" w:right="1474" w:bottom="1984" w:left="1587" w:header="851" w:footer="124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5285600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kern w:val="2"/>
          <w:sz w:val="32"/>
          <w:szCs w:val="32"/>
          <w:highlight w:val="none"/>
          <w:lang w:val="en-US" w:eastAsia="zh-CN" w:bidi="ar-SA"/>
        </w:rPr>
      </w:pPr>
      <w:bookmarkStart w:id="5" w:name="_Toc138756279"/>
      <w:bookmarkStart w:id="6" w:name="_Toc112073850"/>
      <w:bookmarkStart w:id="7" w:name="_Toc17518"/>
      <w:r>
        <w:rPr>
          <w:rFonts w:hint="default" w:ascii="Times New Roman" w:hAnsi="Times New Roman" w:eastAsia="华文中宋" w:cs="Times New Roman"/>
          <w:bCs/>
          <w:kern w:val="44"/>
          <w:sz w:val="36"/>
          <w:szCs w:val="36"/>
          <w:lang w:val="en-US" w:eastAsia="zh-CN" w:bidi="ar-SA"/>
        </w:rPr>
        <w:t>目</w:t>
      </w:r>
      <w:r>
        <w:rPr>
          <w:rFonts w:hint="eastAsia" w:ascii="Times New Roman" w:hAnsi="Times New Roman" w:eastAsia="华文中宋" w:cs="Times New Roman"/>
          <w:bCs/>
          <w:kern w:val="44"/>
          <w:sz w:val="36"/>
          <w:szCs w:val="36"/>
          <w:lang w:val="en-US" w:eastAsia="zh-CN" w:bidi="ar-SA"/>
        </w:rPr>
        <w:t xml:space="preserve">  </w:t>
      </w:r>
      <w:r>
        <w:rPr>
          <w:rFonts w:hint="default" w:ascii="Times New Roman" w:hAnsi="Times New Roman" w:eastAsia="华文中宋" w:cs="Times New Roman"/>
          <w:bCs/>
          <w:kern w:val="44"/>
          <w:sz w:val="36"/>
          <w:szCs w:val="36"/>
          <w:lang w:val="en-US" w:eastAsia="zh-CN" w:bidi="ar-SA"/>
        </w:rPr>
        <w:t>录</w:t>
      </w:r>
      <w:bookmarkEnd w:id="5"/>
      <w:bookmarkEnd w:id="6"/>
      <w:bookmarkEnd w:id="7"/>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TOC \o "1-3" \h \u </w:instrText>
      </w:r>
      <w:r>
        <w:rPr>
          <w:rFonts w:hint="default" w:ascii="Times New Roman" w:hAnsi="Times New Roman" w:eastAsia="仿宋_GB2312" w:cs="Times New Roman"/>
          <w:sz w:val="32"/>
          <w:szCs w:val="32"/>
          <w:highlight w:val="none"/>
        </w:rPr>
        <w:fldChar w:fldCharType="separate"/>
      </w:r>
    </w:p>
    <w:p w14:paraId="62B43A75">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_Toc3847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一、发展现状与趋势</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_Toc3847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6</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6350AAB4">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_Toc30735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kern w:val="2"/>
          <w:sz w:val="32"/>
          <w:szCs w:val="32"/>
          <w:highlight w:val="none"/>
          <w:lang w:val="en-US" w:eastAsia="zh-CN" w:bidi="ar-SA"/>
        </w:rPr>
        <w:t>（一）发展基础</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_Toc30735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6</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5F05A5F9">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_Toc27481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kern w:val="2"/>
          <w:sz w:val="32"/>
          <w:szCs w:val="32"/>
          <w:highlight w:val="none"/>
          <w:lang w:val="en-US" w:eastAsia="zh-CN" w:bidi="ar-SA"/>
        </w:rPr>
        <w:t>（二）存在问题</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_Toc27481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10</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4251FB4A">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_Toc8565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kern w:val="2"/>
          <w:sz w:val="32"/>
          <w:szCs w:val="32"/>
          <w:highlight w:val="none"/>
          <w:lang w:val="en-US" w:eastAsia="zh-CN" w:bidi="ar-SA"/>
        </w:rPr>
        <w:t>（三）面临形势</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_Toc8565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11</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29571012">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_Toc16168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二、</w:t>
      </w:r>
      <w:r>
        <w:rPr>
          <w:rFonts w:hint="eastAsia" w:ascii="Times New Roman" w:hAnsi="Times New Roman" w:eastAsia="黑体" w:cs="Times New Roman"/>
          <w:b w:val="0"/>
          <w:i w:val="0"/>
          <w:kern w:val="2"/>
          <w:sz w:val="32"/>
          <w:szCs w:val="32"/>
          <w:highlight w:val="none"/>
          <w:lang w:val="en-US" w:eastAsia="zh-CN" w:bidi="ar-SA"/>
        </w:rPr>
        <w:t>发展要求与目标</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_Toc16168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13</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2C6BE7F0">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_Toc3238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kern w:val="2"/>
          <w:sz w:val="32"/>
          <w:szCs w:val="32"/>
          <w:highlight w:val="none"/>
          <w:lang w:val="en-US" w:eastAsia="zh-CN" w:bidi="ar-SA"/>
        </w:rPr>
        <w:t>（一）</w:t>
      </w:r>
      <w:r>
        <w:rPr>
          <w:rFonts w:hint="eastAsia" w:ascii="Times New Roman" w:hAnsi="Times New Roman" w:eastAsia="楷体_GB2312" w:cs="Times New Roman"/>
          <w:kern w:val="2"/>
          <w:sz w:val="32"/>
          <w:szCs w:val="32"/>
          <w:highlight w:val="none"/>
          <w:lang w:val="en-US" w:eastAsia="zh-CN" w:bidi="ar-SA"/>
        </w:rPr>
        <w:t>总体要求</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_Toc3238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13</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41B0EA54">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_Toc19406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kern w:val="2"/>
          <w:sz w:val="32"/>
          <w:szCs w:val="32"/>
          <w:highlight w:val="none"/>
          <w:lang w:val="en-US" w:eastAsia="zh-CN" w:bidi="ar-SA"/>
        </w:rPr>
        <w:t>（二）基本原则</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_Toc19406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13</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2128E86D">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_Toc32100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kern w:val="2"/>
          <w:sz w:val="32"/>
          <w:szCs w:val="32"/>
          <w:highlight w:val="none"/>
          <w:lang w:val="en-US" w:eastAsia="zh-CN" w:bidi="ar-SA"/>
        </w:rPr>
        <w:t>（三）</w:t>
      </w:r>
      <w:r>
        <w:rPr>
          <w:rFonts w:hint="eastAsia" w:ascii="Times New Roman" w:hAnsi="Times New Roman" w:eastAsia="楷体_GB2312" w:cs="Times New Roman"/>
          <w:kern w:val="2"/>
          <w:sz w:val="32"/>
          <w:szCs w:val="32"/>
          <w:highlight w:val="none"/>
          <w:lang w:val="en-US" w:eastAsia="zh-CN" w:bidi="ar-SA"/>
        </w:rPr>
        <w:t>发展体系</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_Toc32100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14</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14573635">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_Toc10664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eastAsia" w:ascii="Times New Roman" w:hAnsi="Times New Roman" w:eastAsia="楷体_GB2312" w:cs="Times New Roman"/>
          <w:kern w:val="2"/>
          <w:sz w:val="32"/>
          <w:szCs w:val="32"/>
          <w:highlight w:val="none"/>
          <w:lang w:val="en-US" w:eastAsia="zh-CN" w:bidi="ar-SA"/>
        </w:rPr>
        <w:t>（四）</w:t>
      </w:r>
      <w:r>
        <w:rPr>
          <w:rFonts w:hint="default" w:ascii="Times New Roman" w:hAnsi="Times New Roman" w:eastAsia="楷体_GB2312" w:cs="Times New Roman"/>
          <w:kern w:val="2"/>
          <w:sz w:val="32"/>
          <w:szCs w:val="32"/>
          <w:highlight w:val="none"/>
          <w:lang w:val="en-US" w:eastAsia="zh-CN" w:bidi="ar-SA"/>
        </w:rPr>
        <w:t>发展目标</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_Toc10664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16</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4C591F7A">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_Toc5928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w:t>
      </w:r>
      <w:r>
        <w:rPr>
          <w:rFonts w:hint="eastAsia" w:ascii="Times New Roman" w:hAnsi="Times New Roman" w:eastAsia="楷体_GB2312" w:cs="Times New Roman"/>
          <w:bCs/>
          <w:kern w:val="0"/>
          <w:sz w:val="32"/>
          <w:szCs w:val="32"/>
          <w:highlight w:val="none"/>
          <w:lang w:val="en-US" w:eastAsia="zh-CN" w:bidi="ar-SA"/>
        </w:rPr>
        <w:t>五</w:t>
      </w:r>
      <w:r>
        <w:rPr>
          <w:rFonts w:hint="default" w:ascii="Times New Roman" w:hAnsi="Times New Roman" w:eastAsia="楷体_GB2312" w:cs="Times New Roman"/>
          <w:bCs/>
          <w:kern w:val="0"/>
          <w:sz w:val="32"/>
          <w:szCs w:val="32"/>
          <w:highlight w:val="none"/>
          <w:lang w:val="en-US" w:eastAsia="zh-CN" w:bidi="ar-SA"/>
        </w:rPr>
        <w:t>）空间布局</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_Toc5928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18</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0E17E9A7">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_Toc11874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三、探索打造粤港澳大湾区数据</w:t>
      </w:r>
      <w:r>
        <w:rPr>
          <w:rFonts w:hint="eastAsia" w:ascii="Times New Roman" w:hAnsi="Times New Roman" w:eastAsia="黑体" w:cs="Times New Roman"/>
          <w:b w:val="0"/>
          <w:i w:val="0"/>
          <w:kern w:val="2"/>
          <w:sz w:val="32"/>
          <w:szCs w:val="32"/>
          <w:highlight w:val="none"/>
          <w:lang w:val="en-US" w:eastAsia="zh-CN" w:bidi="ar-SA"/>
        </w:rPr>
        <w:t>服务核心枢纽</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_Toc11874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21</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383DD578">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_Toc13710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eastAsia" w:ascii="Times New Roman" w:hAnsi="Times New Roman" w:eastAsia="楷体_GB2312" w:cs="Times New Roman"/>
          <w:bCs/>
          <w:kern w:val="0"/>
          <w:sz w:val="32"/>
          <w:szCs w:val="32"/>
          <w:lang w:val="en-US" w:eastAsia="zh-CN" w:bidi="ar-SA"/>
        </w:rPr>
        <w:t>（一）</w:t>
      </w:r>
      <w:r>
        <w:rPr>
          <w:rFonts w:hint="default" w:ascii="Times New Roman" w:hAnsi="Times New Roman" w:eastAsia="楷体_GB2312" w:cs="Times New Roman"/>
          <w:bCs/>
          <w:kern w:val="0"/>
          <w:sz w:val="32"/>
          <w:szCs w:val="32"/>
          <w:highlight w:val="none"/>
          <w:lang w:val="en-US" w:eastAsia="zh-CN" w:bidi="ar-SA"/>
        </w:rPr>
        <w:t>打造数据制度综合改革试验田</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_Toc13710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21</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3180B924">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_Toc3054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eastAsia" w:ascii="Times New Roman" w:hAnsi="Times New Roman" w:eastAsia="楷体_GB2312" w:cs="Times New Roman"/>
          <w:kern w:val="2"/>
          <w:sz w:val="32"/>
          <w:szCs w:val="32"/>
          <w:lang w:val="en-US" w:eastAsia="zh-CN" w:bidi="ar-SA"/>
        </w:rPr>
        <w:t>（二）</w:t>
      </w:r>
      <w:r>
        <w:rPr>
          <w:rFonts w:hint="default" w:ascii="Times New Roman" w:hAnsi="Times New Roman" w:eastAsia="楷体_GB2312" w:cs="Times New Roman"/>
          <w:bCs/>
          <w:kern w:val="0"/>
          <w:sz w:val="32"/>
          <w:szCs w:val="32"/>
          <w:highlight w:val="none"/>
          <w:lang w:val="en-US" w:eastAsia="zh-CN" w:bidi="ar-SA"/>
        </w:rPr>
        <w:t>推动数据共享开放及开发利用</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_Toc3054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22</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528D56BB">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_Toc12434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（三）构筑跨境数据协同发展新高地</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_Toc12434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23</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67DFBDD8">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_Toc18699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四、构建创新引领的数字产业集群</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_Toc18699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24</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0E75A3AB">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_Toc17484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w:t>
      </w:r>
      <w:r>
        <w:rPr>
          <w:rFonts w:hint="eastAsia" w:ascii="Times New Roman" w:hAnsi="Times New Roman" w:eastAsia="楷体_GB2312" w:cs="Times New Roman"/>
          <w:bCs/>
          <w:kern w:val="0"/>
          <w:sz w:val="32"/>
          <w:szCs w:val="32"/>
          <w:highlight w:val="none"/>
          <w:lang w:val="en-US" w:eastAsia="zh-CN" w:bidi="ar-SA"/>
        </w:rPr>
        <w:t>一</w:t>
      </w:r>
      <w:r>
        <w:rPr>
          <w:rFonts w:hint="default" w:ascii="Times New Roman" w:hAnsi="Times New Roman" w:eastAsia="楷体_GB2312" w:cs="Times New Roman"/>
          <w:bCs/>
          <w:kern w:val="0"/>
          <w:sz w:val="32"/>
          <w:szCs w:val="32"/>
          <w:highlight w:val="none"/>
          <w:lang w:val="en-US" w:eastAsia="zh-CN" w:bidi="ar-SA"/>
        </w:rPr>
        <w:t>）聚力</w:t>
      </w:r>
      <w:r>
        <w:rPr>
          <w:rFonts w:hint="eastAsia" w:ascii="Times New Roman" w:hAnsi="Times New Roman" w:eastAsia="楷体_GB2312" w:cs="Times New Roman"/>
          <w:bCs/>
          <w:kern w:val="0"/>
          <w:sz w:val="32"/>
          <w:szCs w:val="32"/>
          <w:highlight w:val="none"/>
          <w:lang w:val="en-US" w:eastAsia="zh-CN" w:bidi="ar-SA"/>
        </w:rPr>
        <w:t>推进“</w:t>
      </w:r>
      <w:r>
        <w:rPr>
          <w:rFonts w:hint="default" w:ascii="Times New Roman" w:hAnsi="Times New Roman" w:eastAsia="楷体_GB2312" w:cs="Times New Roman"/>
          <w:bCs/>
          <w:kern w:val="0"/>
          <w:sz w:val="32"/>
          <w:szCs w:val="32"/>
          <w:highlight w:val="none"/>
          <w:lang w:val="en-US" w:eastAsia="zh-CN" w:bidi="ar-SA"/>
        </w:rPr>
        <w:t>芯网器端</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电子信息</w:t>
      </w:r>
      <w:r>
        <w:rPr>
          <w:rFonts w:hint="eastAsia" w:ascii="Times New Roman" w:hAnsi="Times New Roman" w:eastAsia="楷体_GB2312" w:cs="Times New Roman"/>
          <w:bCs/>
          <w:kern w:val="0"/>
          <w:sz w:val="32"/>
          <w:szCs w:val="32"/>
          <w:highlight w:val="none"/>
          <w:lang w:val="en-US" w:eastAsia="zh-CN" w:bidi="ar-SA"/>
        </w:rPr>
        <w:t>聚链成势</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_Toc17484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24</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2DF6E98B">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_Toc8245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w:t>
      </w:r>
      <w:r>
        <w:rPr>
          <w:rFonts w:hint="eastAsia" w:ascii="Times New Roman" w:hAnsi="Times New Roman" w:eastAsia="楷体_GB2312" w:cs="Times New Roman"/>
          <w:bCs/>
          <w:kern w:val="0"/>
          <w:sz w:val="32"/>
          <w:szCs w:val="32"/>
          <w:highlight w:val="none"/>
          <w:lang w:val="en-US" w:eastAsia="zh-CN" w:bidi="ar-SA"/>
        </w:rPr>
        <w:t>二</w:t>
      </w:r>
      <w:r>
        <w:rPr>
          <w:rFonts w:hint="default" w:ascii="Times New Roman" w:hAnsi="Times New Roman" w:eastAsia="楷体_GB2312" w:cs="Times New Roman"/>
          <w:bCs/>
          <w:kern w:val="0"/>
          <w:sz w:val="32"/>
          <w:szCs w:val="32"/>
          <w:highlight w:val="none"/>
          <w:lang w:val="en-US" w:eastAsia="zh-CN" w:bidi="ar-SA"/>
        </w:rPr>
        <w:t>）</w:t>
      </w:r>
      <w:r>
        <w:rPr>
          <w:rFonts w:hint="eastAsia" w:ascii="Times New Roman" w:hAnsi="Times New Roman" w:eastAsia="楷体_GB2312" w:cs="Times New Roman"/>
          <w:bCs/>
          <w:kern w:val="0"/>
          <w:sz w:val="32"/>
          <w:szCs w:val="32"/>
          <w:highlight w:val="none"/>
          <w:lang w:val="en-US" w:eastAsia="zh-CN" w:bidi="ar-SA"/>
        </w:rPr>
        <w:t>发展</w:t>
      </w:r>
      <w:r>
        <w:rPr>
          <w:rFonts w:hint="default" w:ascii="Times New Roman" w:hAnsi="Times New Roman" w:eastAsia="楷体_GB2312" w:cs="Times New Roman"/>
          <w:bCs/>
          <w:kern w:val="0"/>
          <w:sz w:val="32"/>
          <w:szCs w:val="32"/>
          <w:highlight w:val="none"/>
          <w:lang w:val="en-US" w:eastAsia="zh-CN" w:bidi="ar-SA"/>
        </w:rPr>
        <w:t>壮大</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软信数安</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数字技术应用</w:t>
      </w:r>
      <w:r>
        <w:rPr>
          <w:rFonts w:hint="eastAsia" w:ascii="Times New Roman" w:hAnsi="Times New Roman" w:eastAsia="楷体_GB2312" w:cs="Times New Roman"/>
          <w:bCs/>
          <w:kern w:val="0"/>
          <w:sz w:val="32"/>
          <w:szCs w:val="32"/>
          <w:highlight w:val="none"/>
          <w:lang w:val="en-US" w:eastAsia="zh-CN" w:bidi="ar-SA"/>
        </w:rPr>
        <w:t>生态</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_Toc8245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26</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6DF174E4">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_Toc9518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w:t>
      </w:r>
      <w:r>
        <w:rPr>
          <w:rFonts w:hint="eastAsia" w:ascii="Times New Roman" w:hAnsi="Times New Roman" w:eastAsia="楷体_GB2312" w:cs="Times New Roman"/>
          <w:bCs/>
          <w:kern w:val="0"/>
          <w:sz w:val="32"/>
          <w:szCs w:val="32"/>
          <w:highlight w:val="none"/>
          <w:lang w:val="en-US" w:eastAsia="zh-CN" w:bidi="ar-SA"/>
        </w:rPr>
        <w:t>全面</w:t>
      </w:r>
      <w:r>
        <w:rPr>
          <w:rFonts w:hint="default" w:ascii="Times New Roman" w:hAnsi="Times New Roman" w:eastAsia="楷体_GB2312" w:cs="Times New Roman"/>
          <w:bCs/>
          <w:kern w:val="0"/>
          <w:sz w:val="32"/>
          <w:szCs w:val="32"/>
          <w:highlight w:val="none"/>
          <w:lang w:val="en-US" w:eastAsia="zh-CN" w:bidi="ar-SA"/>
        </w:rPr>
        <w:t>激活</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人工智能+</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产业发展新能级</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_Toc9518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27</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0A79C778">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_Toc15895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（四）</w:t>
      </w:r>
      <w:r>
        <w:rPr>
          <w:rFonts w:hint="eastAsia" w:ascii="Times New Roman" w:hAnsi="Times New Roman" w:eastAsia="楷体_GB2312" w:cs="Times New Roman"/>
          <w:bCs/>
          <w:kern w:val="0"/>
          <w:sz w:val="32"/>
          <w:szCs w:val="32"/>
          <w:highlight w:val="none"/>
          <w:lang w:val="en-US" w:eastAsia="zh-CN" w:bidi="ar-SA"/>
        </w:rPr>
        <w:t>积极培育“</w:t>
      </w:r>
      <w:r>
        <w:rPr>
          <w:rFonts w:hint="default" w:ascii="Times New Roman" w:hAnsi="Times New Roman" w:eastAsia="楷体_GB2312" w:cs="Times New Roman"/>
          <w:bCs/>
          <w:kern w:val="0"/>
          <w:sz w:val="32"/>
          <w:szCs w:val="32"/>
          <w:highlight w:val="none"/>
          <w:lang w:val="en-US" w:eastAsia="zh-CN" w:bidi="ar-SA"/>
        </w:rPr>
        <w:t>元宇宙+</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数字创意融合</w:t>
      </w:r>
      <w:r>
        <w:rPr>
          <w:rFonts w:hint="eastAsia" w:ascii="Times New Roman" w:hAnsi="Times New Roman" w:eastAsia="楷体_GB2312" w:cs="Times New Roman"/>
          <w:bCs/>
          <w:kern w:val="0"/>
          <w:sz w:val="32"/>
          <w:szCs w:val="32"/>
          <w:highlight w:val="none"/>
          <w:lang w:val="en-US" w:eastAsia="zh-CN" w:bidi="ar-SA"/>
        </w:rPr>
        <w:t>业态</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_Toc15895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28</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6A18BED1">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_Toc26127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eastAsia" w:ascii="Times New Roman" w:hAnsi="Times New Roman" w:eastAsia="楷体_GB2312" w:cs="Times New Roman"/>
          <w:bCs/>
          <w:kern w:val="0"/>
          <w:sz w:val="32"/>
          <w:szCs w:val="32"/>
          <w:lang w:val="en-US" w:eastAsia="zh-CN" w:bidi="ar-SA"/>
        </w:rPr>
        <w:t>（五）</w:t>
      </w:r>
      <w:r>
        <w:rPr>
          <w:rFonts w:hint="eastAsia" w:ascii="Times New Roman" w:hAnsi="Times New Roman" w:eastAsia="楷体_GB2312" w:cs="Times New Roman"/>
          <w:bCs/>
          <w:kern w:val="0"/>
          <w:sz w:val="32"/>
          <w:szCs w:val="32"/>
          <w:highlight w:val="none"/>
          <w:lang w:val="en-US" w:eastAsia="zh-CN" w:bidi="ar-SA"/>
        </w:rPr>
        <w:t>前瞻布局“</w:t>
      </w:r>
      <w:r>
        <w:rPr>
          <w:rFonts w:hint="eastAsia" w:ascii="楷体_GB2312" w:hAnsi="楷体_GB2312" w:eastAsia="楷体_GB2312" w:cs="楷体_GB2312"/>
          <w:sz w:val="32"/>
          <w:highlight w:val="none"/>
          <w:lang w:val="en-US" w:eastAsia="zh-CN"/>
        </w:rPr>
        <w:t>陆海空天</w:t>
      </w:r>
      <w:r>
        <w:rPr>
          <w:rFonts w:hint="eastAsia" w:ascii="Times New Roman" w:hAnsi="Times New Roman" w:eastAsia="楷体_GB2312" w:cs="Times New Roman"/>
          <w:bCs/>
          <w:kern w:val="0"/>
          <w:sz w:val="32"/>
          <w:szCs w:val="32"/>
          <w:highlight w:val="none"/>
          <w:lang w:val="en-US" w:eastAsia="zh-CN" w:bidi="ar-SA"/>
        </w:rPr>
        <w:t>”无人体系未来产业</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_Toc26127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29</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5C454339">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_Toc6017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五、推进优势工业领域数字化转型</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_Toc6017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31</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5751FF7A">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_Toc17098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（一）强化数字化转型支撑及能力</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_Toc17098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31</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247E6A75">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_Toc3845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（二）推动集群数智转型示范引领</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_Toc3845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32</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033B4CE0">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_Toc22854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（三）强化数字赋能园区提质升级</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_Toc22854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33</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5E09917A">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_Toc25115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（四）</w:t>
      </w:r>
      <w:r>
        <w:rPr>
          <w:rFonts w:hint="default" w:ascii="Times New Roman" w:hAnsi="Times New Roman" w:eastAsia="楷体_GB2312" w:cs="Times New Roman"/>
          <w:kern w:val="2"/>
          <w:sz w:val="32"/>
          <w:szCs w:val="32"/>
          <w:highlight w:val="none"/>
          <w:lang w:val="en-US" w:eastAsia="zh-CN" w:bidi="ar-SA"/>
        </w:rPr>
        <w:t>创新发展服务型制造新模式</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_Toc25115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34</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64220278">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_Toc29569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六、加快特色服务业数字化发展</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_Toc29569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34</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2FBEFE5B">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_Toc21390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（一）加快建设世界一流智慧港航</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_Toc21390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34</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47AF6550">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_Toc28376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（二）多点发力数字商贸服务发展</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_Toc28376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35</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3E443A68">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_Toc16925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（三）积极推进数字金融创新发展</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_Toc16925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36</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412A265A">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_Toc4756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（四）全面发展数字化生活服务业</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_Toc4756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36</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5ACC5FD1">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_Toc21831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七、推动建筑业多场景智能化升级</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_Toc21831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38</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6617D8C0">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_Toc30743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（一）夯实数字化建筑基础底座</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_Toc30743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38</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7567ABD9">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_Toc31071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（二）加快关键建造技术攻关</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_Toc31071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39</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3F98E3DF">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_Toc30991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（三）智能建造与建筑工业化协同发展</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_Toc30991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39</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72C60288">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_Toc27993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八、加快推进农业农村数字化转型</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_Toc27993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40</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1E0CB661">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_Toc31896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（一）推进种牧渔业数字化转型</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_Toc31896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40</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131C6147">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_Toc30709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（二）完善农业电商流通体系</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_Toc30709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41</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756CBF13">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_Toc577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（三）推动数字乡村高质量发展</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_Toc577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41</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1A52C95C">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_Toc18215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九、提升城市及政务数字化治理效能</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_Toc18215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42</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703A23B4">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_Toc579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（一）建立健全数字城市公共支撑平台</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_Toc579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42</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3CEF8552">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_Toc21496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（二）提升政务服务数字化智慧化水平</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_Toc21496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43</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50761346">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_Toc13423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（三）推进社会全域智能化精细化治理</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_Toc13423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44</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29E8606F">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_Toc13873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十、夯实数字化基础设施底座</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_Toc13873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46</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02A203E9">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_Toc7078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（一）优化提升通信网络基础设施</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_Toc7078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46</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53648D81">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_Toc28298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（二）建设高效智能算力基础设施</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_Toc28298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47</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4A290B03">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_Toc25034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（三）构建全面泛在物联感知体系</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_Toc25034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47</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6BECFEA6">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_Toc9016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十一、构筑数字经济交流合作新生态</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_Toc9016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48</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175C1509">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_Toc12430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（一）</w:t>
      </w:r>
      <w:r>
        <w:rPr>
          <w:rFonts w:hint="eastAsia" w:ascii="Times New Roman" w:hAnsi="Times New Roman" w:eastAsia="楷体_GB2312" w:cs="Times New Roman"/>
          <w:bCs/>
          <w:kern w:val="0"/>
          <w:sz w:val="32"/>
          <w:szCs w:val="32"/>
          <w:highlight w:val="none"/>
          <w:lang w:val="en-US" w:eastAsia="zh-CN" w:bidi="ar-SA"/>
        </w:rPr>
        <w:t>加强</w:t>
      </w:r>
      <w:r>
        <w:rPr>
          <w:rFonts w:hint="default" w:ascii="Times New Roman" w:hAnsi="Times New Roman" w:eastAsia="楷体_GB2312" w:cs="Times New Roman"/>
          <w:bCs/>
          <w:kern w:val="0"/>
          <w:sz w:val="32"/>
          <w:szCs w:val="32"/>
          <w:highlight w:val="none"/>
          <w:lang w:val="en-US" w:eastAsia="zh-CN" w:bidi="ar-SA"/>
        </w:rPr>
        <w:t>珠三角</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朋友圈</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互促共融</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_Toc12430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48</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04CFD462">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_Toc27156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（二）</w:t>
      </w:r>
      <w:r>
        <w:rPr>
          <w:rFonts w:hint="eastAsia" w:ascii="Times New Roman" w:hAnsi="Times New Roman" w:eastAsia="楷体_GB2312" w:cs="Times New Roman"/>
          <w:bCs/>
          <w:kern w:val="0"/>
          <w:sz w:val="32"/>
          <w:szCs w:val="32"/>
          <w:highlight w:val="none"/>
          <w:lang w:val="en-US" w:eastAsia="zh-CN" w:bidi="ar-SA"/>
        </w:rPr>
        <w:t>促进</w:t>
      </w:r>
      <w:r>
        <w:rPr>
          <w:rFonts w:hint="default" w:ascii="Times New Roman" w:hAnsi="Times New Roman" w:eastAsia="楷体_GB2312" w:cs="Times New Roman"/>
          <w:bCs/>
          <w:kern w:val="0"/>
          <w:sz w:val="32"/>
          <w:szCs w:val="32"/>
          <w:highlight w:val="none"/>
          <w:lang w:val="en-US" w:eastAsia="zh-CN" w:bidi="ar-SA"/>
        </w:rPr>
        <w:t>粤港澳三地联动协同</w:t>
      </w:r>
      <w:r>
        <w:rPr>
          <w:rFonts w:hint="eastAsia" w:ascii="Times New Roman" w:hAnsi="Times New Roman" w:eastAsia="楷体_GB2312" w:cs="Times New Roman"/>
          <w:bCs/>
          <w:kern w:val="0"/>
          <w:sz w:val="32"/>
          <w:szCs w:val="32"/>
          <w:highlight w:val="none"/>
          <w:lang w:val="en-US" w:eastAsia="zh-CN" w:bidi="ar-SA"/>
        </w:rPr>
        <w:t>发展</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_Toc27156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49</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1988FD5F">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_Toc21917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（三）深化</w:t>
      </w:r>
      <w:r>
        <w:rPr>
          <w:rFonts w:hint="eastAsia" w:ascii="Times New Roman" w:hAnsi="Times New Roman" w:eastAsia="楷体_GB2312" w:cs="Times New Roman"/>
          <w:bCs/>
          <w:kern w:val="0"/>
          <w:sz w:val="32"/>
          <w:szCs w:val="32"/>
          <w:highlight w:val="none"/>
          <w:lang w:val="en-US" w:eastAsia="zh-CN" w:bidi="ar-SA"/>
        </w:rPr>
        <w:t>“</w:t>
      </w:r>
      <w:r>
        <w:rPr>
          <w:rFonts w:hint="default" w:ascii="Times New Roman" w:hAnsi="Times New Roman" w:eastAsia="楷体_GB2312" w:cs="Times New Roman"/>
          <w:bCs/>
          <w:kern w:val="0"/>
          <w:sz w:val="32"/>
          <w:szCs w:val="32"/>
          <w:highlight w:val="none"/>
          <w:lang w:val="en-US" w:eastAsia="zh-CN" w:bidi="ar-SA"/>
        </w:rPr>
        <w:t>数字丝绸之路</w:t>
      </w:r>
      <w:r>
        <w:rPr>
          <w:rFonts w:hint="eastAsia" w:ascii="Times New Roman" w:hAnsi="Times New Roman" w:eastAsia="楷体_GB2312" w:cs="Times New Roman"/>
          <w:bCs/>
          <w:kern w:val="0"/>
          <w:sz w:val="32"/>
          <w:szCs w:val="32"/>
          <w:highlight w:val="none"/>
          <w:lang w:val="en-US" w:eastAsia="zh-CN" w:bidi="ar-SA"/>
        </w:rPr>
        <w:t>”国际</w:t>
      </w:r>
      <w:r>
        <w:rPr>
          <w:rFonts w:hint="default" w:ascii="Times New Roman" w:hAnsi="Times New Roman" w:eastAsia="楷体_GB2312" w:cs="Times New Roman"/>
          <w:bCs/>
          <w:kern w:val="0"/>
          <w:sz w:val="32"/>
          <w:szCs w:val="32"/>
          <w:highlight w:val="none"/>
          <w:lang w:val="en-US" w:eastAsia="zh-CN" w:bidi="ar-SA"/>
        </w:rPr>
        <w:t>合作</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_Toc21917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49</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71C8C605">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b w:val="0"/>
          <w:i w:val="0"/>
          <w:kern w:val="2"/>
          <w:sz w:val="32"/>
          <w:szCs w:val="32"/>
          <w:lang w:val="en-US" w:eastAsia="zh-CN" w:bidi="ar-SA"/>
        </w:rPr>
      </w:pPr>
      <w:r>
        <w:rPr>
          <w:rFonts w:hint="default" w:ascii="Times New Roman" w:hAnsi="Times New Roman" w:eastAsia="黑体" w:cs="Times New Roman"/>
          <w:b w:val="0"/>
          <w:i w:val="0"/>
          <w:kern w:val="2"/>
          <w:sz w:val="32"/>
          <w:szCs w:val="32"/>
          <w:highlight w:val="none"/>
          <w:lang w:val="en-US" w:eastAsia="zh-CN" w:bidi="ar-SA"/>
        </w:rPr>
        <w:fldChar w:fldCharType="begin"/>
      </w:r>
      <w:r>
        <w:rPr>
          <w:rFonts w:hint="default" w:ascii="Times New Roman" w:hAnsi="Times New Roman" w:eastAsia="黑体" w:cs="Times New Roman"/>
          <w:kern w:val="2"/>
          <w:sz w:val="32"/>
          <w:szCs w:val="32"/>
          <w:highlight w:val="none"/>
          <w:lang w:val="en-US" w:eastAsia="zh-CN" w:bidi="ar-SA"/>
        </w:rPr>
        <w:instrText xml:space="preserve"> HYPERLINK \l _Toc21668 </w:instrText>
      </w:r>
      <w:r>
        <w:rPr>
          <w:rFonts w:hint="default" w:ascii="Times New Roman" w:hAnsi="Times New Roman" w:eastAsia="黑体" w:cs="Times New Roman"/>
          <w:b w:val="0"/>
          <w:i w:val="0"/>
          <w:kern w:val="2"/>
          <w:sz w:val="32"/>
          <w:szCs w:val="32"/>
          <w:highlight w:val="none"/>
          <w:lang w:val="en-US" w:eastAsia="zh-CN" w:bidi="ar-SA"/>
        </w:rPr>
        <w:fldChar w:fldCharType="separate"/>
      </w:r>
      <w:r>
        <w:rPr>
          <w:rFonts w:hint="default" w:ascii="Times New Roman" w:hAnsi="Times New Roman" w:eastAsia="黑体" w:cs="Times New Roman"/>
          <w:b w:val="0"/>
          <w:i w:val="0"/>
          <w:kern w:val="2"/>
          <w:sz w:val="32"/>
          <w:szCs w:val="32"/>
          <w:highlight w:val="none"/>
          <w:lang w:val="en-US" w:eastAsia="zh-CN" w:bidi="ar-SA"/>
        </w:rPr>
        <w:t>十二、保障措施</w:t>
      </w:r>
      <w:r>
        <w:rPr>
          <w:rFonts w:ascii="Times New Roman" w:hAnsi="Times New Roman" w:eastAsia="黑体" w:cs="Times New Roman"/>
          <w:b w:val="0"/>
          <w:i w:val="0"/>
          <w:kern w:val="2"/>
          <w:sz w:val="32"/>
          <w:szCs w:val="32"/>
          <w:lang w:val="en-US" w:eastAsia="zh-CN" w:bidi="ar-SA"/>
        </w:rPr>
        <w:tab/>
      </w:r>
      <w:r>
        <w:rPr>
          <w:rFonts w:ascii="Times New Roman" w:hAnsi="Times New Roman" w:eastAsia="黑体" w:cs="Times New Roman"/>
          <w:b w:val="0"/>
          <w:i w:val="0"/>
          <w:kern w:val="2"/>
          <w:sz w:val="32"/>
          <w:szCs w:val="32"/>
          <w:lang w:val="en-US" w:eastAsia="zh-CN" w:bidi="ar-SA"/>
        </w:rPr>
        <w:fldChar w:fldCharType="begin"/>
      </w:r>
      <w:r>
        <w:rPr>
          <w:rFonts w:ascii="Times New Roman" w:hAnsi="Times New Roman" w:eastAsia="黑体" w:cs="Times New Roman"/>
          <w:kern w:val="2"/>
          <w:sz w:val="32"/>
          <w:szCs w:val="32"/>
          <w:lang w:val="en-US" w:eastAsia="zh-CN" w:bidi="ar-SA"/>
        </w:rPr>
        <w:instrText xml:space="preserve"> PAGEREF _Toc21668 \h </w:instrText>
      </w:r>
      <w:r>
        <w:rPr>
          <w:rFonts w:ascii="Times New Roman" w:hAnsi="Times New Roman" w:eastAsia="黑体" w:cs="Times New Roman"/>
          <w:b w:val="0"/>
          <w:i w:val="0"/>
          <w:kern w:val="2"/>
          <w:sz w:val="32"/>
          <w:szCs w:val="32"/>
          <w:lang w:val="en-US" w:eastAsia="zh-CN" w:bidi="ar-SA"/>
        </w:rPr>
        <w:fldChar w:fldCharType="separate"/>
      </w:r>
      <w:r>
        <w:rPr>
          <w:rFonts w:ascii="Times New Roman" w:hAnsi="Times New Roman" w:eastAsia="黑体" w:cs="Times New Roman"/>
          <w:kern w:val="2"/>
          <w:sz w:val="32"/>
          <w:szCs w:val="32"/>
          <w:lang w:val="en-US" w:eastAsia="zh-CN" w:bidi="ar-SA"/>
        </w:rPr>
        <w:t>50</w:t>
      </w:r>
      <w:r>
        <w:rPr>
          <w:rFonts w:ascii="Times New Roman" w:hAnsi="Times New Roman" w:eastAsia="黑体" w:cs="Times New Roman"/>
          <w:b w:val="0"/>
          <w:i w:val="0"/>
          <w:kern w:val="2"/>
          <w:sz w:val="32"/>
          <w:szCs w:val="32"/>
          <w:lang w:val="en-US" w:eastAsia="zh-CN" w:bidi="ar-SA"/>
        </w:rPr>
        <w:fldChar w:fldCharType="end"/>
      </w:r>
      <w:r>
        <w:rPr>
          <w:rFonts w:hint="default" w:ascii="Times New Roman" w:hAnsi="Times New Roman" w:eastAsia="黑体" w:cs="Times New Roman"/>
          <w:b w:val="0"/>
          <w:i w:val="0"/>
          <w:kern w:val="2"/>
          <w:sz w:val="32"/>
          <w:szCs w:val="32"/>
          <w:highlight w:val="none"/>
          <w:lang w:val="en-US" w:eastAsia="zh-CN" w:bidi="ar-SA"/>
        </w:rPr>
        <w:fldChar w:fldCharType="end"/>
      </w:r>
    </w:p>
    <w:p w14:paraId="0049A429">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_Toc13529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（一）强化统筹协调</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_Toc13529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50</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0F32A762">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_Toc21970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（二）完善</w:t>
      </w:r>
      <w:r>
        <w:rPr>
          <w:rFonts w:hint="eastAsia" w:ascii="Times New Roman" w:hAnsi="Times New Roman" w:eastAsia="楷体_GB2312" w:cs="Times New Roman"/>
          <w:bCs/>
          <w:kern w:val="0"/>
          <w:sz w:val="32"/>
          <w:szCs w:val="32"/>
          <w:highlight w:val="none"/>
          <w:lang w:val="en-US" w:eastAsia="zh-CN" w:bidi="ar-SA"/>
        </w:rPr>
        <w:t>资金</w:t>
      </w:r>
      <w:r>
        <w:rPr>
          <w:rFonts w:hint="default" w:ascii="Times New Roman" w:hAnsi="Times New Roman" w:eastAsia="楷体_GB2312" w:cs="Times New Roman"/>
          <w:bCs/>
          <w:kern w:val="0"/>
          <w:sz w:val="32"/>
          <w:szCs w:val="32"/>
          <w:highlight w:val="none"/>
          <w:lang w:val="en-US" w:eastAsia="zh-CN" w:bidi="ar-SA"/>
        </w:rPr>
        <w:t>配套</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_Toc21970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50</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492A475E">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_Toc25035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（三）强化人才保障</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_Toc25035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51</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1FE55789">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_Toc5666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eastAsia" w:ascii="Times New Roman" w:hAnsi="Times New Roman" w:eastAsia="楷体_GB2312" w:cs="Times New Roman"/>
          <w:bCs/>
          <w:kern w:val="0"/>
          <w:sz w:val="32"/>
          <w:szCs w:val="32"/>
          <w:lang w:val="en-US" w:eastAsia="zh-CN" w:bidi="ar-SA"/>
        </w:rPr>
        <w:t>（四）</w:t>
      </w:r>
      <w:r>
        <w:rPr>
          <w:rFonts w:hint="default" w:ascii="Times New Roman" w:hAnsi="Times New Roman" w:eastAsia="楷体_GB2312" w:cs="Times New Roman"/>
          <w:bCs/>
          <w:kern w:val="0"/>
          <w:sz w:val="32"/>
          <w:szCs w:val="32"/>
          <w:highlight w:val="none"/>
          <w:lang w:val="en-US" w:eastAsia="zh-CN" w:bidi="ar-SA"/>
        </w:rPr>
        <w:t>实施试点示范</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_Toc5666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51</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15D1307F">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_Toc16774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eastAsia" w:ascii="Times New Roman" w:hAnsi="Times New Roman" w:eastAsia="楷体_GB2312" w:cs="Times New Roman"/>
          <w:bCs/>
          <w:kern w:val="0"/>
          <w:sz w:val="32"/>
          <w:szCs w:val="32"/>
          <w:lang w:val="en-US" w:eastAsia="zh-CN" w:bidi="ar-SA"/>
        </w:rPr>
        <w:t>（五）</w:t>
      </w:r>
      <w:r>
        <w:rPr>
          <w:rFonts w:hint="default" w:ascii="Times New Roman" w:hAnsi="Times New Roman" w:eastAsia="楷体_GB2312" w:cs="Times New Roman"/>
          <w:kern w:val="2"/>
          <w:sz w:val="32"/>
          <w:szCs w:val="32"/>
          <w:highlight w:val="none"/>
          <w:lang w:val="en-US" w:eastAsia="zh-CN" w:bidi="ar-SA"/>
        </w:rPr>
        <w:t>推进场景牵引</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_Toc16774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51</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6D37AB63">
      <w:pPr>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highlight w:val="none"/>
          <w:lang w:val="en-US" w:eastAsia="zh-CN" w:bidi="ar-SA"/>
        </w:rPr>
        <w:fldChar w:fldCharType="begin"/>
      </w:r>
      <w:r>
        <w:rPr>
          <w:rFonts w:hint="default" w:ascii="Times New Roman" w:hAnsi="Times New Roman" w:eastAsia="楷体_GB2312" w:cs="Times New Roman"/>
          <w:kern w:val="2"/>
          <w:sz w:val="32"/>
          <w:szCs w:val="32"/>
          <w:highlight w:val="none"/>
          <w:lang w:val="en-US" w:eastAsia="zh-CN" w:bidi="ar-SA"/>
        </w:rPr>
        <w:instrText xml:space="preserve"> HYPERLINK \l _Toc12946 </w:instrText>
      </w:r>
      <w:r>
        <w:rPr>
          <w:rFonts w:hint="default" w:ascii="Times New Roman" w:hAnsi="Times New Roman" w:eastAsia="楷体_GB2312" w:cs="Times New Roman"/>
          <w:kern w:val="2"/>
          <w:sz w:val="32"/>
          <w:szCs w:val="32"/>
          <w:highlight w:val="none"/>
          <w:lang w:val="en-US" w:eastAsia="zh-CN" w:bidi="ar-SA"/>
        </w:rPr>
        <w:fldChar w:fldCharType="separate"/>
      </w:r>
      <w:r>
        <w:rPr>
          <w:rFonts w:hint="default" w:ascii="Times New Roman" w:hAnsi="Times New Roman" w:eastAsia="楷体_GB2312" w:cs="Times New Roman"/>
          <w:bCs/>
          <w:kern w:val="0"/>
          <w:sz w:val="32"/>
          <w:szCs w:val="32"/>
          <w:highlight w:val="none"/>
          <w:lang w:val="en-US" w:eastAsia="zh-CN" w:bidi="ar-SA"/>
        </w:rPr>
        <w:t>（</w:t>
      </w:r>
      <w:r>
        <w:rPr>
          <w:rFonts w:hint="eastAsia" w:ascii="Times New Roman" w:hAnsi="Times New Roman" w:eastAsia="楷体_GB2312" w:cs="Times New Roman"/>
          <w:bCs/>
          <w:kern w:val="0"/>
          <w:sz w:val="32"/>
          <w:szCs w:val="32"/>
          <w:highlight w:val="none"/>
          <w:lang w:val="en-US" w:eastAsia="zh-CN" w:bidi="ar-SA"/>
        </w:rPr>
        <w:t>六</w:t>
      </w:r>
      <w:r>
        <w:rPr>
          <w:rFonts w:hint="default" w:ascii="Times New Roman" w:hAnsi="Times New Roman" w:eastAsia="楷体_GB2312" w:cs="Times New Roman"/>
          <w:bCs/>
          <w:kern w:val="0"/>
          <w:sz w:val="32"/>
          <w:szCs w:val="32"/>
          <w:highlight w:val="none"/>
          <w:lang w:val="en-US" w:eastAsia="zh-CN" w:bidi="ar-SA"/>
        </w:rPr>
        <w:t>）优化发展环境</w:t>
      </w:r>
      <w:r>
        <w:rPr>
          <w:rFonts w:ascii="Times New Roman" w:hAnsi="Times New Roman" w:eastAsia="楷体_GB2312" w:cs="Times New Roman"/>
          <w:kern w:val="2"/>
          <w:sz w:val="32"/>
          <w:szCs w:val="32"/>
          <w:lang w:val="en-US" w:eastAsia="zh-CN" w:bidi="ar-SA"/>
        </w:rPr>
        <w:tab/>
      </w:r>
      <w:r>
        <w:rPr>
          <w:rFonts w:ascii="Times New Roman" w:hAnsi="Times New Roman" w:eastAsia="楷体_GB2312" w:cs="Times New Roman"/>
          <w:kern w:val="2"/>
          <w:sz w:val="32"/>
          <w:szCs w:val="32"/>
          <w:lang w:val="en-US" w:eastAsia="zh-CN" w:bidi="ar-SA"/>
        </w:rPr>
        <w:fldChar w:fldCharType="begin"/>
      </w:r>
      <w:r>
        <w:rPr>
          <w:rFonts w:ascii="Times New Roman" w:hAnsi="Times New Roman" w:eastAsia="楷体_GB2312" w:cs="Times New Roman"/>
          <w:kern w:val="2"/>
          <w:sz w:val="32"/>
          <w:szCs w:val="32"/>
          <w:lang w:val="en-US" w:eastAsia="zh-CN" w:bidi="ar-SA"/>
        </w:rPr>
        <w:instrText xml:space="preserve"> PAGEREF _Toc12946 \h </w:instrText>
      </w:r>
      <w:r>
        <w:rPr>
          <w:rFonts w:ascii="Times New Roman" w:hAnsi="Times New Roman" w:eastAsia="楷体_GB2312" w:cs="Times New Roman"/>
          <w:kern w:val="2"/>
          <w:sz w:val="32"/>
          <w:szCs w:val="32"/>
          <w:lang w:val="en-US" w:eastAsia="zh-CN" w:bidi="ar-SA"/>
        </w:rPr>
        <w:fldChar w:fldCharType="separate"/>
      </w:r>
      <w:r>
        <w:rPr>
          <w:rFonts w:ascii="Times New Roman" w:hAnsi="Times New Roman" w:eastAsia="楷体_GB2312" w:cs="Times New Roman"/>
          <w:kern w:val="2"/>
          <w:sz w:val="32"/>
          <w:szCs w:val="32"/>
          <w:lang w:val="en-US" w:eastAsia="zh-CN" w:bidi="ar-SA"/>
        </w:rPr>
        <w:t>52</w:t>
      </w:r>
      <w:r>
        <w:rPr>
          <w:rFonts w:ascii="Times New Roman" w:hAnsi="Times New Roman" w:eastAsia="楷体_GB2312" w:cs="Times New Roman"/>
          <w:kern w:val="2"/>
          <w:sz w:val="32"/>
          <w:szCs w:val="32"/>
          <w:lang w:val="en-US" w:eastAsia="zh-CN" w:bidi="ar-SA"/>
        </w:rPr>
        <w:fldChar w:fldCharType="end"/>
      </w:r>
      <w:r>
        <w:rPr>
          <w:rFonts w:hint="default" w:ascii="Times New Roman" w:hAnsi="Times New Roman" w:eastAsia="楷体_GB2312" w:cs="Times New Roman"/>
          <w:kern w:val="2"/>
          <w:sz w:val="32"/>
          <w:szCs w:val="32"/>
          <w:highlight w:val="none"/>
          <w:lang w:val="en-US" w:eastAsia="zh-CN" w:bidi="ar-SA"/>
        </w:rPr>
        <w:fldChar w:fldCharType="end"/>
      </w:r>
    </w:p>
    <w:p w14:paraId="63EA58F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szCs w:val="32"/>
          <w:highlight w:val="none"/>
        </w:rPr>
        <w:fldChar w:fldCharType="end"/>
      </w:r>
    </w:p>
    <w:bookmarkEnd w:id="3"/>
    <w:bookmarkEnd w:id="4"/>
    <w:p w14:paraId="1D2BB6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_GBK" w:cs="Times New Roman"/>
          <w:color w:val="000000"/>
          <w:kern w:val="0"/>
          <w:sz w:val="43"/>
          <w:szCs w:val="43"/>
          <w:highlight w:val="none"/>
          <w:lang w:val="en-US" w:eastAsia="zh-CN" w:bidi="ar"/>
        </w:rPr>
        <w:sectPr>
          <w:pgSz w:w="11906" w:h="16838"/>
          <w:pgMar w:top="2098" w:right="1474" w:bottom="1984" w:left="1587" w:header="851" w:footer="1247" w:gutter="0"/>
          <w:pgBorders>
            <w:top w:val="none" w:sz="0" w:space="0"/>
            <w:left w:val="none" w:sz="0" w:space="0"/>
            <w:bottom w:val="none" w:sz="0" w:space="0"/>
            <w:right w:val="none" w:sz="0" w:space="0"/>
          </w:pgBorders>
          <w:pgNumType w:fmt="decimal"/>
          <w:cols w:space="720" w:num="1"/>
          <w:rtlGutter w:val="0"/>
          <w:docGrid w:type="lines" w:linePitch="319" w:charSpace="0"/>
        </w:sectPr>
      </w:pPr>
      <w:bookmarkStart w:id="8" w:name="_Toc29972667"/>
      <w:bookmarkStart w:id="9" w:name="_Toc31360"/>
      <w:bookmarkStart w:id="10" w:name="_Toc30417"/>
      <w:bookmarkStart w:id="11" w:name="_Toc14496"/>
    </w:p>
    <w:bookmarkEnd w:id="8"/>
    <w:bookmarkEnd w:id="9"/>
    <w:bookmarkEnd w:id="10"/>
    <w:bookmarkEnd w:id="11"/>
    <w:p w14:paraId="3D9CA4FE">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为全面贯彻习近平总书记关于发展数字经济的重要讲话精神，深入落实党中央、国务院和省委、省政府关于大力发展数字经济的决策部署，培育发展新质生产力，推动数字经济和实体经济深度融合，加快城市全域数字化转型，构建现代化产业体系，实现南沙区经济社会高质量发展，助力南沙区建设成为立足湾区、协同港澳、面向世界的数字经济引领区，根据国家《数字中国建设整体布局规划》《</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十四五</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数字经济发展规划》《广东省数字经济促进条例》《广州市数字经济促进条例》《广州市数字经济高质量发展规划》，特制定本发展规划。本规划期限为2024</w:t>
      </w:r>
      <w:r>
        <w:rPr>
          <w:rFonts w:hint="eastAsia" w:ascii="Times New Roman" w:hAnsi="Times New Roman" w:eastAsia="仿宋_GB2312" w:cs="Times New Roman"/>
          <w:sz w:val="32"/>
          <w:highlight w:val="none"/>
          <w:lang w:val="en-US" w:eastAsia="zh-CN"/>
        </w:rPr>
        <w:t>年至</w:t>
      </w:r>
      <w:r>
        <w:rPr>
          <w:rFonts w:hint="default" w:ascii="Times New Roman" w:hAnsi="Times New Roman" w:eastAsia="仿宋_GB2312" w:cs="Times New Roman"/>
          <w:sz w:val="32"/>
          <w:highlight w:val="none"/>
          <w:lang w:val="en-US" w:eastAsia="zh-CN"/>
        </w:rPr>
        <w:t>2026年，展望期到2035年。</w:t>
      </w:r>
    </w:p>
    <w:p w14:paraId="2140A2CB">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default" w:ascii="Times New Roman" w:hAnsi="Times New Roman" w:eastAsia="黑体" w:cs="Times New Roman"/>
          <w:b w:val="0"/>
          <w:bCs/>
          <w:i w:val="0"/>
          <w:kern w:val="44"/>
          <w:sz w:val="32"/>
          <w:szCs w:val="48"/>
          <w:highlight w:val="none"/>
          <w:lang w:val="en-US" w:eastAsia="zh-CN" w:bidi="ar"/>
        </w:rPr>
      </w:pPr>
      <w:bookmarkStart w:id="12" w:name="_Toc3847"/>
      <w:bookmarkStart w:id="13" w:name="_Toc13397"/>
      <w:bookmarkStart w:id="14" w:name="_Toc2268"/>
      <w:r>
        <w:rPr>
          <w:rFonts w:hint="default" w:ascii="Times New Roman" w:hAnsi="Times New Roman" w:eastAsia="黑体" w:cs="Times New Roman"/>
          <w:b w:val="0"/>
          <w:bCs/>
          <w:i w:val="0"/>
          <w:kern w:val="44"/>
          <w:sz w:val="32"/>
          <w:szCs w:val="48"/>
          <w:highlight w:val="none"/>
          <w:lang w:val="en-US" w:eastAsia="zh-CN" w:bidi="ar"/>
        </w:rPr>
        <w:t>一、发展现状与趋势</w:t>
      </w:r>
      <w:bookmarkEnd w:id="12"/>
      <w:bookmarkEnd w:id="13"/>
      <w:bookmarkEnd w:id="14"/>
    </w:p>
    <w:p w14:paraId="7454C3DA">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highlight w:val="none"/>
          <w:lang w:val="en-US" w:eastAsia="zh-CN"/>
        </w:rPr>
      </w:pPr>
      <w:bookmarkStart w:id="15" w:name="_Toc30735"/>
      <w:bookmarkStart w:id="16" w:name="_Toc4992"/>
      <w:bookmarkStart w:id="17" w:name="_Toc9766"/>
      <w:r>
        <w:rPr>
          <w:rFonts w:hint="eastAsia" w:ascii="楷体_GB2312" w:hAnsi="楷体_GB2312" w:eastAsia="楷体_GB2312" w:cs="楷体_GB2312"/>
          <w:sz w:val="32"/>
          <w:highlight w:val="none"/>
          <w:lang w:val="en-US" w:eastAsia="zh-CN"/>
        </w:rPr>
        <w:t>（一）发展基础</w:t>
      </w:r>
      <w:bookmarkEnd w:id="15"/>
      <w:bookmarkEnd w:id="16"/>
      <w:bookmarkEnd w:id="17"/>
    </w:p>
    <w:p w14:paraId="3385EDE0">
      <w:pPr>
        <w:keepNext w:val="0"/>
        <w:keepLines w:val="0"/>
        <w:pageBreakBefore w:val="0"/>
        <w:kinsoku/>
        <w:wordWrap/>
        <w:overflowPunct/>
        <w:topLinePunct w:val="0"/>
        <w:autoSpaceDE w:val="0"/>
        <w:autoSpaceDN w:val="0"/>
        <w:bidi w:val="0"/>
        <w:snapToGrid/>
        <w:spacing w:line="560" w:lineRule="exact"/>
        <w:ind w:firstLine="640" w:firstLineChars="200"/>
        <w:jc w:val="both"/>
        <w:textAlignment w:val="bottom"/>
        <w:rPr>
          <w:rFonts w:hint="default" w:ascii="Times New Roman" w:hAnsi="Times New Roman" w:eastAsia="仿宋_GB2312" w:cs="Times New Roman"/>
          <w:color w:val="000000"/>
          <w:sz w:val="32"/>
          <w:highlight w:val="none"/>
          <w:lang w:val="en-US" w:eastAsia="zh-CN"/>
        </w:rPr>
      </w:pPr>
      <w:r>
        <w:rPr>
          <w:rFonts w:hint="default" w:ascii="Times New Roman" w:hAnsi="Times New Roman" w:eastAsia="仿宋_GB2312" w:cs="Times New Roman"/>
          <w:color w:val="000000"/>
          <w:sz w:val="32"/>
          <w:highlight w:val="none"/>
          <w:lang w:val="en-US" w:eastAsia="zh-CN"/>
        </w:rPr>
        <w:t>十四五以来，南沙</w:t>
      </w:r>
      <w:r>
        <w:rPr>
          <w:rFonts w:hint="eastAsia" w:ascii="Times New Roman" w:hAnsi="Times New Roman" w:eastAsia="仿宋_GB2312" w:cs="Times New Roman"/>
          <w:color w:val="000000"/>
          <w:sz w:val="32"/>
          <w:highlight w:val="none"/>
          <w:lang w:val="en-US" w:eastAsia="zh-CN"/>
        </w:rPr>
        <w:t>区</w:t>
      </w:r>
      <w:r>
        <w:rPr>
          <w:rFonts w:hint="default" w:ascii="Times New Roman" w:hAnsi="Times New Roman" w:eastAsia="仿宋_GB2312" w:cs="Times New Roman"/>
          <w:color w:val="000000"/>
          <w:sz w:val="32"/>
          <w:highlight w:val="none"/>
          <w:lang w:val="en-US" w:eastAsia="zh-CN"/>
        </w:rPr>
        <w:t>持续完善数字经济发展政策体系，数字产业加速培育壮大，传统产业加快数字化转型，数据要素乘数效应初现，数字基础设施和数字化治理迈上新台阶，数字经济总体呈现持续向好的发展态势。</w:t>
      </w:r>
      <w:r>
        <w:rPr>
          <w:rFonts w:hint="default" w:ascii="Times New Roman" w:hAnsi="Times New Roman" w:eastAsia="仿宋_GB2312" w:cs="Times New Roman"/>
          <w:color w:val="000000"/>
          <w:sz w:val="32"/>
          <w:highlight w:val="none"/>
        </w:rPr>
        <w:t>2023年</w:t>
      </w:r>
      <w:r>
        <w:rPr>
          <w:rFonts w:hint="default" w:ascii="Times New Roman" w:hAnsi="Times New Roman" w:eastAsia="仿宋_GB2312" w:cs="Times New Roman"/>
          <w:color w:val="000000"/>
          <w:sz w:val="32"/>
          <w:highlight w:val="none"/>
          <w:lang w:eastAsia="zh-CN"/>
        </w:rPr>
        <w:t>，</w:t>
      </w:r>
      <w:r>
        <w:rPr>
          <w:rFonts w:hint="default" w:ascii="Times New Roman" w:hAnsi="Times New Roman" w:eastAsia="仿宋_GB2312" w:cs="Times New Roman"/>
          <w:color w:val="000000"/>
          <w:sz w:val="32"/>
          <w:highlight w:val="none"/>
        </w:rPr>
        <w:t>南沙区数字经济核心产业增加值达144.99亿元，占GDP比重达6.24%</w:t>
      </w:r>
      <w:r>
        <w:rPr>
          <w:rFonts w:hint="default" w:ascii="Times New Roman" w:hAnsi="Times New Roman" w:eastAsia="仿宋_GB2312" w:cs="Times New Roman"/>
          <w:color w:val="000000"/>
          <w:sz w:val="32"/>
          <w:highlight w:val="none"/>
          <w:lang w:eastAsia="zh-CN"/>
        </w:rPr>
        <w:t>，</w:t>
      </w:r>
      <w:r>
        <w:rPr>
          <w:rFonts w:hint="default" w:ascii="Times New Roman" w:hAnsi="Times New Roman" w:eastAsia="仿宋_GB2312" w:cs="Times New Roman"/>
          <w:color w:val="000000"/>
          <w:sz w:val="32"/>
          <w:highlight w:val="none"/>
          <w:lang w:val="en-US" w:eastAsia="zh-CN"/>
        </w:rPr>
        <w:t>产业规模连续5年保持增长，助力全区</w:t>
      </w:r>
      <w:r>
        <w:rPr>
          <w:rFonts w:hint="default" w:ascii="Times New Roman" w:hAnsi="Times New Roman" w:eastAsia="仿宋_GB2312" w:cs="Times New Roman"/>
          <w:color w:val="000000"/>
          <w:sz w:val="32"/>
          <w:highlight w:val="none"/>
          <w:lang w:eastAsia="zh-CN"/>
        </w:rPr>
        <w:t>国民经济高质量发展。</w:t>
      </w:r>
    </w:p>
    <w:p w14:paraId="457D8282">
      <w:pPr>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仿宋_GB2312" w:cs="Times New Roman"/>
          <w:b/>
          <w:bCs/>
          <w:color w:val="auto"/>
          <w:sz w:val="32"/>
          <w:highlight w:val="none"/>
          <w:lang w:val="en-US" w:eastAsia="zh-CN"/>
        </w:rPr>
      </w:pPr>
      <w:bookmarkStart w:id="18" w:name="_Toc28947"/>
      <w:bookmarkStart w:id="19" w:name="_Toc18722"/>
      <w:bookmarkStart w:id="20" w:name="_Toc18460"/>
      <w:bookmarkStart w:id="21" w:name="_Toc5153"/>
      <w:bookmarkStart w:id="22" w:name="_Toc842"/>
      <w:bookmarkStart w:id="23" w:name="_Toc27921"/>
      <w:bookmarkStart w:id="24" w:name="_Toc12074"/>
      <w:bookmarkStart w:id="25" w:name="_Toc19451"/>
      <w:bookmarkStart w:id="26" w:name="_Toc2969"/>
      <w:bookmarkStart w:id="27" w:name="_Toc12448"/>
      <w:bookmarkStart w:id="28" w:name="_Toc12163"/>
      <w:r>
        <w:rPr>
          <w:rFonts w:hint="default" w:ascii="Times New Roman" w:hAnsi="Times New Roman" w:eastAsia="仿宋_GB2312" w:cs="Times New Roman"/>
          <w:b/>
          <w:bCs/>
          <w:sz w:val="32"/>
          <w:highlight w:val="none"/>
          <w:lang w:val="en-US" w:eastAsia="zh-CN"/>
        </w:rPr>
        <w:t>1.</w:t>
      </w:r>
      <w:r>
        <w:rPr>
          <w:rFonts w:hint="default" w:ascii="Times New Roman" w:hAnsi="Times New Roman" w:eastAsia="仿宋_GB2312" w:cs="Times New Roman"/>
          <w:b/>
          <w:bCs/>
          <w:color w:val="auto"/>
          <w:sz w:val="32"/>
          <w:highlight w:val="none"/>
          <w:lang w:val="en-US" w:eastAsia="zh-CN"/>
        </w:rPr>
        <w:t>数字经济核心产业稳步发展</w:t>
      </w:r>
      <w:bookmarkEnd w:id="18"/>
      <w:bookmarkEnd w:id="19"/>
      <w:bookmarkEnd w:id="20"/>
      <w:bookmarkEnd w:id="21"/>
      <w:bookmarkEnd w:id="22"/>
      <w:bookmarkEnd w:id="23"/>
      <w:bookmarkEnd w:id="24"/>
      <w:bookmarkEnd w:id="25"/>
      <w:bookmarkEnd w:id="26"/>
      <w:bookmarkEnd w:id="27"/>
      <w:bookmarkEnd w:id="28"/>
    </w:p>
    <w:p w14:paraId="3D308CD8">
      <w:pPr>
        <w:widowControl w:val="0"/>
        <w:autoSpaceDE/>
        <w:autoSpaceDN/>
        <w:spacing w:line="560" w:lineRule="exact"/>
        <w:ind w:firstLine="640" w:firstLineChars="200"/>
        <w:jc w:val="both"/>
        <w:textAlignment w:val="auto"/>
        <w:outlineLvl w:val="9"/>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2023年，全区集聚</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四上</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数字经济核心产业企业244家，营收总额达514.19亿元，</w:t>
      </w:r>
      <w:r>
        <w:rPr>
          <w:rFonts w:hint="default" w:ascii="Times New Roman" w:hAnsi="Times New Roman" w:eastAsia="仿宋_GB2312" w:cs="Times New Roman"/>
          <w:b w:val="0"/>
          <w:bCs w:val="0"/>
          <w:color w:val="000000"/>
          <w:kern w:val="2"/>
          <w:sz w:val="32"/>
          <w:szCs w:val="32"/>
          <w:highlight w:val="none"/>
          <w:lang w:val="en-US" w:eastAsia="zh-CN" w:bidi="ar-SA"/>
        </w:rPr>
        <w:t>形成以</w:t>
      </w:r>
      <w:r>
        <w:rPr>
          <w:rFonts w:hint="default" w:ascii="Times New Roman" w:hAnsi="Times New Roman" w:eastAsia="仿宋_GB2312" w:cs="Times New Roman"/>
          <w:color w:val="000000"/>
          <w:kern w:val="2"/>
          <w:sz w:val="32"/>
          <w:szCs w:val="32"/>
          <w:highlight w:val="none"/>
          <w:lang w:val="en-US" w:eastAsia="zh-CN" w:bidi="ar-SA"/>
        </w:rPr>
        <w:t>半导体与集成电路、</w:t>
      </w:r>
      <w:r>
        <w:rPr>
          <w:rFonts w:hint="default" w:ascii="Times New Roman" w:hAnsi="Times New Roman" w:eastAsia="仿宋_GB2312" w:cs="Times New Roman"/>
          <w:b w:val="0"/>
          <w:bCs w:val="0"/>
          <w:color w:val="000000"/>
          <w:kern w:val="2"/>
          <w:sz w:val="32"/>
          <w:szCs w:val="32"/>
          <w:highlight w:val="none"/>
          <w:lang w:val="en-US" w:eastAsia="zh-CN" w:bidi="ar-SA"/>
        </w:rPr>
        <w:t>人工智能、智能网联汽车等特色产业为主导的发展格局</w:t>
      </w:r>
      <w:r>
        <w:rPr>
          <w:rFonts w:hint="default" w:ascii="Times New Roman" w:hAnsi="Times New Roman" w:eastAsia="仿宋_GB2312" w:cs="Times New Roman"/>
          <w:color w:val="000000"/>
          <w:kern w:val="2"/>
          <w:sz w:val="32"/>
          <w:szCs w:val="32"/>
          <w:highlight w:val="none"/>
          <w:lang w:val="en-US" w:eastAsia="zh-CN" w:bidi="ar-SA"/>
        </w:rPr>
        <w:t>。</w:t>
      </w:r>
      <w:r>
        <w:rPr>
          <w:rFonts w:hint="eastAsia" w:ascii="Calibri" w:hAnsi="Calibri" w:eastAsia="仿宋_GB2312" w:cs="Times New Roman"/>
          <w:color w:val="000000"/>
          <w:kern w:val="2"/>
          <w:sz w:val="32"/>
          <w:szCs w:val="32"/>
          <w:highlight w:val="none"/>
          <w:lang w:val="en-US" w:eastAsia="zh-CN" w:bidi="ar-SA"/>
        </w:rPr>
        <w:t>半导体与</w:t>
      </w:r>
      <w:r>
        <w:rPr>
          <w:rFonts w:hint="default" w:ascii="Times New Roman" w:hAnsi="Times New Roman" w:eastAsia="仿宋_GB2312" w:cs="Times New Roman"/>
          <w:color w:val="000000"/>
          <w:kern w:val="2"/>
          <w:sz w:val="32"/>
          <w:szCs w:val="32"/>
          <w:highlight w:val="none"/>
          <w:lang w:val="en-US" w:eastAsia="zh-CN" w:bidi="ar-SA"/>
        </w:rPr>
        <w:t>集成电路产业加速集聚，拥有芯粤能、芯聚能等13家规模以上相关企业，成为国内首个</w:t>
      </w:r>
      <w:r>
        <w:rPr>
          <w:rFonts w:hint="default" w:ascii="Times New Roman" w:hAnsi="Times New Roman" w:eastAsia="仿宋_GB2312" w:cs="Times New Roman"/>
          <w:b w:val="0"/>
          <w:bCs w:val="0"/>
          <w:kern w:val="2"/>
          <w:sz w:val="32"/>
          <w:szCs w:val="32"/>
          <w:highlight w:val="none"/>
          <w:lang w:val="en-US" w:eastAsia="zh-CN" w:bidi="ar-SA"/>
        </w:rPr>
        <w:t>宽禁带半导体全产业链布局的地区。</w:t>
      </w:r>
      <w:r>
        <w:rPr>
          <w:rFonts w:hint="default" w:ascii="Times New Roman" w:hAnsi="Times New Roman" w:eastAsia="仿宋_GB2312" w:cs="Times New Roman"/>
          <w:color w:val="000000"/>
          <w:kern w:val="2"/>
          <w:sz w:val="32"/>
          <w:szCs w:val="32"/>
          <w:highlight w:val="none"/>
          <w:lang w:val="en-US" w:eastAsia="zh-CN" w:bidi="ar-SA"/>
        </w:rPr>
        <w:t>人工智能产业生态持续做大做强，集聚云从科技、暗物智能等一批人工智能</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独角兽</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企业。智能网联汽车</w:t>
      </w:r>
      <w:r>
        <w:rPr>
          <w:rFonts w:hint="default" w:ascii="Times New Roman" w:hAnsi="Times New Roman" w:eastAsia="仿宋_GB2312" w:cs="Times New Roman"/>
          <w:b w:val="0"/>
          <w:bCs w:val="0"/>
          <w:color w:val="000000"/>
          <w:kern w:val="2"/>
          <w:sz w:val="32"/>
          <w:szCs w:val="32"/>
          <w:highlight w:val="none"/>
          <w:lang w:val="en-US" w:eastAsia="zh-CN" w:bidi="ar-SA"/>
        </w:rPr>
        <w:t>道路测试和示范运营进程引领全市</w:t>
      </w:r>
      <w:r>
        <w:rPr>
          <w:rFonts w:hint="default" w:ascii="Times New Roman" w:hAnsi="Times New Roman" w:eastAsia="仿宋_GB2312" w:cs="Times New Roman"/>
          <w:b w:val="0"/>
          <w:bCs w:val="0"/>
          <w:color w:val="000000"/>
          <w:kern w:val="2"/>
          <w:sz w:val="32"/>
          <w:szCs w:val="2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率先支持小马智行等自动驾驶头部企业在全区</w:t>
      </w:r>
      <w:r>
        <w:rPr>
          <w:rFonts w:hint="default" w:ascii="Times New Roman" w:hAnsi="Times New Roman" w:eastAsia="仿宋_GB2312" w:cs="Times New Roman"/>
          <w:color w:val="000000"/>
          <w:kern w:val="2"/>
          <w:sz w:val="32"/>
          <w:szCs w:val="32"/>
          <w:highlight w:val="none"/>
          <w:lang w:val="en-US" w:eastAsia="zh-CN" w:bidi="ar-SA"/>
        </w:rPr>
        <w:t>开展自动驾驶商业化试点应用</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城市出行服务自动驾驶先导应用试点项目入选第二批智能交通先导应用试点项目。前瞻布局元宇宙产业，发布</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元宇宙九条</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，集聚了宸境科技、科伊斯等相关企业30余家，全力打造元宇宙产业先导示范区。积极参与制定和实施海陆空全空间无人体系技术标准，发布全国首个全空间无人体系超级示范应用场景</w:t>
      </w:r>
      <w:r>
        <w:rPr>
          <w:rFonts w:hint="eastAsia" w:ascii="Calibri" w:hAnsi="Calibri"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探索打造低空交通出行服务体验等试点应用。</w:t>
      </w:r>
    </w:p>
    <w:p w14:paraId="310AF345">
      <w:pPr>
        <w:widowControl w:val="0"/>
        <w:autoSpaceDE/>
        <w:autoSpaceDN/>
        <w:spacing w:line="560" w:lineRule="exact"/>
        <w:ind w:firstLine="643" w:firstLineChars="200"/>
        <w:jc w:val="both"/>
        <w:textAlignment w:val="auto"/>
        <w:outlineLvl w:val="2"/>
        <w:rPr>
          <w:rFonts w:hint="default" w:ascii="Times New Roman" w:hAnsi="Times New Roman" w:eastAsia="仿宋_GB2312" w:cs="Times New Roman"/>
          <w:b/>
          <w:bCs/>
          <w:color w:val="auto"/>
          <w:kern w:val="2"/>
          <w:sz w:val="32"/>
          <w:szCs w:val="32"/>
          <w:highlight w:val="none"/>
          <w:lang w:val="en-US" w:eastAsia="zh-CN" w:bidi="ar-SA"/>
        </w:rPr>
      </w:pPr>
      <w:bookmarkStart w:id="29" w:name="_Toc14957"/>
      <w:bookmarkStart w:id="30" w:name="_Toc19205"/>
      <w:bookmarkStart w:id="31" w:name="_Toc30518"/>
      <w:bookmarkStart w:id="32" w:name="_Toc16412"/>
      <w:bookmarkStart w:id="33" w:name="_Toc21475"/>
      <w:bookmarkStart w:id="34" w:name="_Toc3994"/>
      <w:bookmarkStart w:id="35" w:name="_Toc20061"/>
      <w:bookmarkStart w:id="36" w:name="_Toc11614"/>
      <w:bookmarkStart w:id="37" w:name="_Toc32321"/>
      <w:bookmarkStart w:id="38" w:name="_Toc31887"/>
      <w:bookmarkStart w:id="39" w:name="_Toc18705"/>
      <w:r>
        <w:rPr>
          <w:rFonts w:hint="default" w:ascii="Times New Roman" w:hAnsi="Times New Roman" w:eastAsia="仿宋_GB2312" w:cs="Times New Roman"/>
          <w:b/>
          <w:bCs/>
          <w:color w:val="auto"/>
          <w:kern w:val="2"/>
          <w:sz w:val="32"/>
          <w:szCs w:val="32"/>
          <w:highlight w:val="none"/>
          <w:lang w:val="en-US" w:eastAsia="zh-CN" w:bidi="ar-SA"/>
        </w:rPr>
        <w:t>2.产业数字化转型提速升级</w:t>
      </w:r>
      <w:bookmarkEnd w:id="29"/>
      <w:bookmarkEnd w:id="30"/>
      <w:bookmarkEnd w:id="31"/>
      <w:bookmarkEnd w:id="32"/>
      <w:bookmarkEnd w:id="33"/>
      <w:bookmarkEnd w:id="34"/>
      <w:bookmarkEnd w:id="35"/>
      <w:bookmarkEnd w:id="36"/>
      <w:bookmarkEnd w:id="37"/>
      <w:bookmarkEnd w:id="38"/>
      <w:bookmarkEnd w:id="39"/>
    </w:p>
    <w:p w14:paraId="6F674C60">
      <w:pPr>
        <w:widowControl w:val="0"/>
        <w:autoSpaceDE/>
        <w:autoSpaceDN/>
        <w:spacing w:line="560" w:lineRule="exact"/>
        <w:ind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全面推进工业、服务业、农业、建筑业数字化转型，融合发展成效初现。智能制造示范效果持续提升，</w:t>
      </w:r>
      <w:r>
        <w:rPr>
          <w:rFonts w:hint="default" w:ascii="Times New Roman" w:hAnsi="Times New Roman" w:eastAsia="仿宋_GB2312" w:cs="Times New Roman"/>
          <w:color w:val="000000"/>
          <w:kern w:val="2"/>
          <w:sz w:val="32"/>
          <w:szCs w:val="32"/>
          <w:highlight w:val="none"/>
          <w:lang w:val="en-US" w:eastAsia="zh-CN" w:bidi="ar-SA"/>
        </w:rPr>
        <w:t>在汽车、高端装备、电子信息等重点产业打造了一批智能制造标杆场景，先后推动36家工业企业参与广州市</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四化</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诊断，6家企业入选国家级智能制造优秀场景，4家企业纳入广东省首批智能制造试点示范名单，华凌制冷入选世界经济论坛</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全球灯塔工厂</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。依托华南技术转移中心等平台，推动上百家中小企业</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上云用数赋智</w:t>
      </w:r>
      <w:r>
        <w:rPr>
          <w:rFonts w:hint="eastAsia"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积极推动数字技术与港口物流、金融商贸、教育医疗等重点服务业深度融合，打造粤港澳大湾区首个全自动化集装箱码头，高标准建设三大数字贸易服务平台，</w:t>
      </w:r>
      <w:r>
        <w:rPr>
          <w:rFonts w:hint="default" w:ascii="Times New Roman" w:hAnsi="Times New Roman" w:eastAsia="仿宋_GB2312" w:cs="Times New Roman"/>
          <w:b w:val="0"/>
          <w:bCs w:val="0"/>
          <w:color w:val="000000"/>
          <w:kern w:val="2"/>
          <w:sz w:val="32"/>
          <w:szCs w:val="32"/>
          <w:highlight w:val="none"/>
          <w:lang w:val="en-US" w:eastAsia="zh-CN" w:bidi="ar-SA"/>
        </w:rPr>
        <w:t>智慧医院和智慧校园建设取得初步成效</w:t>
      </w:r>
      <w:r>
        <w:rPr>
          <w:rFonts w:hint="default" w:ascii="Times New Roman" w:hAnsi="Times New Roman" w:eastAsia="仿宋_GB2312" w:cs="Times New Roman"/>
          <w:color w:val="000000"/>
          <w:kern w:val="2"/>
          <w:sz w:val="32"/>
          <w:szCs w:val="32"/>
          <w:highlight w:val="none"/>
          <w:lang w:val="en-US" w:eastAsia="zh-CN" w:bidi="ar-SA"/>
        </w:rPr>
        <w:t>。积极探索智慧农业和数字乡村，启动广东省级智慧农业标准化试点项目。获批打造广东首个未来城市综合试点，建设智慧城市</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湾区示范样板</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w:t>
      </w:r>
    </w:p>
    <w:p w14:paraId="09F5B639">
      <w:pPr>
        <w:widowControl w:val="0"/>
        <w:autoSpaceDE/>
        <w:autoSpaceDN/>
        <w:spacing w:line="560" w:lineRule="exact"/>
        <w:ind w:firstLine="643" w:firstLineChars="200"/>
        <w:jc w:val="both"/>
        <w:textAlignment w:val="auto"/>
        <w:outlineLvl w:val="2"/>
        <w:rPr>
          <w:rFonts w:hint="default" w:ascii="Times New Roman" w:hAnsi="Times New Roman" w:eastAsia="仿宋_GB2312" w:cs="Times New Roman"/>
          <w:b/>
          <w:bCs/>
          <w:color w:val="auto"/>
          <w:kern w:val="2"/>
          <w:sz w:val="32"/>
          <w:szCs w:val="32"/>
          <w:highlight w:val="none"/>
          <w:lang w:val="en-US" w:eastAsia="zh-CN" w:bidi="ar-SA"/>
        </w:rPr>
      </w:pPr>
      <w:bookmarkStart w:id="40" w:name="_Toc22622"/>
      <w:bookmarkStart w:id="41" w:name="_Toc32305"/>
      <w:bookmarkStart w:id="42" w:name="_Toc30565"/>
      <w:bookmarkStart w:id="43" w:name="_Toc6688"/>
      <w:bookmarkStart w:id="44" w:name="_Toc22538"/>
      <w:bookmarkStart w:id="45" w:name="_Toc30913"/>
      <w:bookmarkStart w:id="46" w:name="_Toc16003"/>
      <w:bookmarkStart w:id="47" w:name="_Toc23914"/>
      <w:bookmarkStart w:id="48" w:name="_Toc31452"/>
      <w:bookmarkStart w:id="49" w:name="_Toc12949"/>
      <w:bookmarkStart w:id="50" w:name="_Toc18968"/>
      <w:r>
        <w:rPr>
          <w:rFonts w:hint="default" w:ascii="Times New Roman" w:hAnsi="Times New Roman" w:eastAsia="仿宋_GB2312" w:cs="Times New Roman"/>
          <w:b/>
          <w:bCs/>
          <w:color w:val="auto"/>
          <w:kern w:val="2"/>
          <w:sz w:val="32"/>
          <w:szCs w:val="32"/>
          <w:highlight w:val="none"/>
          <w:lang w:val="en-US" w:eastAsia="zh-CN" w:bidi="ar-SA"/>
        </w:rPr>
        <w:t>3.数字化治理效能显著提升</w:t>
      </w:r>
      <w:bookmarkEnd w:id="40"/>
      <w:bookmarkEnd w:id="41"/>
      <w:bookmarkEnd w:id="42"/>
      <w:bookmarkEnd w:id="43"/>
      <w:bookmarkEnd w:id="44"/>
      <w:bookmarkEnd w:id="45"/>
      <w:bookmarkEnd w:id="46"/>
      <w:bookmarkEnd w:id="47"/>
      <w:bookmarkEnd w:id="48"/>
      <w:bookmarkEnd w:id="49"/>
      <w:bookmarkEnd w:id="50"/>
    </w:p>
    <w:p w14:paraId="6B1B13D5">
      <w:pPr>
        <w:keepNext w:val="0"/>
        <w:keepLines w:val="0"/>
        <w:pageBreakBefore w:val="0"/>
        <w:kinsoku/>
        <w:wordWrap/>
        <w:overflowPunct/>
        <w:topLinePunct w:val="0"/>
        <w:autoSpaceDE w:val="0"/>
        <w:autoSpaceDN w:val="0"/>
        <w:bidi w:val="0"/>
        <w:snapToGrid/>
        <w:spacing w:after="0" w:line="560" w:lineRule="exact"/>
        <w:ind w:firstLine="640" w:firstLineChars="200"/>
        <w:jc w:val="both"/>
        <w:textAlignment w:val="bottom"/>
        <w:outlineLvl w:val="9"/>
        <w:rPr>
          <w:rFonts w:hint="default" w:ascii="Times New Roman" w:hAnsi="Times New Roman" w:eastAsia="仿宋_GB2312" w:cs="Times New Roman"/>
          <w:b w:val="0"/>
          <w:bCs w:val="0"/>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持续提升区内政务信息基础设施建设水平，深化南沙城市大脑和一体化政务服务平台建设，打通区内20多个重要业务系统，实现城市运行实时监控、企业运行综合分析、风险隐患监测及应急指挥调度等功能。</w:t>
      </w:r>
      <w:r>
        <w:rPr>
          <w:rFonts w:hint="default" w:ascii="Times New Roman" w:hAnsi="Times New Roman" w:eastAsia="仿宋_GB2312" w:cs="Times New Roman"/>
          <w:b w:val="0"/>
          <w:bCs w:val="0"/>
          <w:color w:val="000000"/>
          <w:sz w:val="32"/>
          <w:szCs w:val="32"/>
          <w:highlight w:val="none"/>
          <w:lang w:eastAsia="zh-CN"/>
        </w:rPr>
        <w:t>打造</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指尖办</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移动政务服务南沙品牌，</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互联网+政务服务</w:t>
      </w:r>
      <w:r>
        <w:rPr>
          <w:rFonts w:hint="eastAsia"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eastAsia="zh-CN"/>
        </w:rPr>
        <w:t>应用全面深化，</w:t>
      </w:r>
      <w:r>
        <w:rPr>
          <w:rFonts w:hint="default" w:ascii="Times New Roman" w:hAnsi="Times New Roman" w:eastAsia="仿宋_GB2312" w:cs="Times New Roman"/>
          <w:b w:val="0"/>
          <w:bCs w:val="0"/>
          <w:color w:val="000000"/>
          <w:sz w:val="32"/>
          <w:szCs w:val="32"/>
          <w:highlight w:val="none"/>
          <w:lang w:val="en-US" w:eastAsia="zh-CN"/>
        </w:rPr>
        <w:t>36个部门共计1861个政务服务事项实现全流程网上办理</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智慧民生服务体系不断完善，</w:t>
      </w:r>
      <w:r>
        <w:rPr>
          <w:rFonts w:hint="default" w:ascii="Times New Roman" w:hAnsi="Times New Roman" w:eastAsia="仿宋_GB2312" w:cs="Times New Roman"/>
          <w:b w:val="0"/>
          <w:bCs w:val="0"/>
          <w:color w:val="000000"/>
          <w:sz w:val="32"/>
          <w:szCs w:val="32"/>
          <w:highlight w:val="none"/>
          <w:lang w:eastAsia="zh-CN"/>
        </w:rPr>
        <w:t>教育数字化转型全面推进，</w:t>
      </w:r>
      <w:r>
        <w:rPr>
          <w:rFonts w:hint="default" w:ascii="Times New Roman" w:hAnsi="Times New Roman" w:eastAsia="仿宋_GB2312" w:cs="Times New Roman"/>
          <w:b w:val="0"/>
          <w:bCs w:val="0"/>
          <w:color w:val="000000"/>
          <w:sz w:val="32"/>
          <w:szCs w:val="32"/>
          <w:highlight w:val="none"/>
          <w:lang w:val="en-US" w:eastAsia="zh-CN"/>
        </w:rPr>
        <w:t>全区100%学校完成</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校校通</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工程建设，</w:t>
      </w:r>
      <w:r>
        <w:rPr>
          <w:rFonts w:hint="default" w:ascii="Times New Roman" w:hAnsi="Times New Roman" w:eastAsia="仿宋_GB2312" w:cs="Times New Roman"/>
          <w:color w:val="000000"/>
          <w:sz w:val="32"/>
          <w:highlight w:val="none"/>
          <w:lang w:val="en-US" w:eastAsia="zh-CN"/>
        </w:rPr>
        <w:t>创新试点建设智慧社区，打造</w:t>
      </w:r>
      <w:r>
        <w:rPr>
          <w:rFonts w:hint="eastAsia" w:ascii="Times New Roman" w:hAnsi="Times New Roman" w:eastAsia="仿宋_GB2312" w:cs="Times New Roman"/>
          <w:color w:val="000000"/>
          <w:sz w:val="32"/>
          <w:highlight w:val="none"/>
          <w:lang w:val="en-US" w:eastAsia="zh-CN"/>
        </w:rPr>
        <w:t>“</w:t>
      </w:r>
      <w:r>
        <w:rPr>
          <w:rFonts w:hint="default" w:ascii="Times New Roman" w:hAnsi="Times New Roman" w:eastAsia="仿宋_GB2312" w:cs="Times New Roman"/>
          <w:color w:val="000000"/>
          <w:sz w:val="32"/>
          <w:highlight w:val="none"/>
          <w:lang w:val="en-US" w:eastAsia="zh-CN"/>
        </w:rPr>
        <w:t>居家养老综合信息服务平台</w:t>
      </w:r>
      <w:r>
        <w:rPr>
          <w:rFonts w:hint="eastAsia" w:ascii="Times New Roman" w:hAnsi="Times New Roman" w:eastAsia="仿宋_GB2312" w:cs="Times New Roman"/>
          <w:color w:val="000000"/>
          <w:sz w:val="32"/>
          <w:highlight w:val="none"/>
          <w:lang w:val="en-US" w:eastAsia="zh-CN"/>
        </w:rPr>
        <w:t>”</w:t>
      </w:r>
      <w:r>
        <w:rPr>
          <w:rFonts w:hint="default" w:ascii="Times New Roman" w:hAnsi="Times New Roman" w:eastAsia="仿宋_GB2312" w:cs="Times New Roman"/>
          <w:color w:val="000000"/>
          <w:sz w:val="32"/>
          <w:highlight w:val="none"/>
          <w:lang w:val="en-US" w:eastAsia="zh-CN"/>
        </w:rPr>
        <w:t>。</w:t>
      </w:r>
      <w:r>
        <w:rPr>
          <w:rFonts w:hint="default" w:ascii="Times New Roman" w:hAnsi="Times New Roman" w:eastAsia="仿宋_GB2312" w:cs="Times New Roman"/>
          <w:sz w:val="32"/>
          <w:highlight w:val="none"/>
          <w:lang w:val="en-US" w:eastAsia="zh-CN"/>
        </w:rPr>
        <w:t>构建小虎化工园区智能化数据分析处理平台</w:t>
      </w:r>
      <w:r>
        <w:rPr>
          <w:rFonts w:hint="default" w:ascii="Times New Roman" w:hAnsi="Times New Roman" w:eastAsia="仿宋_GB2312" w:cs="Times New Roman"/>
          <w:color w:val="auto"/>
          <w:sz w:val="32"/>
          <w:highlight w:val="none"/>
          <w:lang w:val="en-US" w:eastAsia="zh-CN"/>
        </w:rPr>
        <w:t>，</w:t>
      </w:r>
      <w:r>
        <w:rPr>
          <w:rFonts w:hint="default" w:ascii="Times New Roman" w:hAnsi="Times New Roman" w:eastAsia="仿宋_GB2312" w:cs="Times New Roman"/>
          <w:color w:val="auto"/>
          <w:sz w:val="32"/>
          <w:highlight w:val="none"/>
        </w:rPr>
        <w:t>赋能应急管理提质增效</w:t>
      </w:r>
      <w:r>
        <w:rPr>
          <w:rFonts w:hint="default" w:ascii="Times New Roman" w:hAnsi="Times New Roman" w:eastAsia="仿宋_GB2312" w:cs="Times New Roman"/>
          <w:color w:val="auto"/>
          <w:sz w:val="32"/>
          <w:highlight w:val="none"/>
          <w:lang w:eastAsia="zh-CN"/>
        </w:rPr>
        <w:t>。</w:t>
      </w:r>
      <w:r>
        <w:rPr>
          <w:rFonts w:hint="default" w:ascii="Times New Roman" w:hAnsi="Times New Roman" w:eastAsia="仿宋_GB2312" w:cs="Times New Roman"/>
          <w:color w:val="auto"/>
          <w:sz w:val="32"/>
          <w:highlight w:val="none"/>
          <w:lang w:val="en-US" w:eastAsia="zh-CN"/>
        </w:rPr>
        <w:t>打造</w:t>
      </w:r>
      <w:r>
        <w:rPr>
          <w:rFonts w:hint="default" w:ascii="Times New Roman" w:hAnsi="Times New Roman" w:eastAsia="仿宋_GB2312" w:cs="Times New Roman"/>
          <w:sz w:val="32"/>
          <w:highlight w:val="none"/>
          <w:lang w:val="en-US" w:eastAsia="zh-CN"/>
        </w:rPr>
        <w:t>全国首个5G+云化AI智能生活垃圾分类监管系统，</w:t>
      </w:r>
      <w:r>
        <w:rPr>
          <w:rFonts w:hint="default" w:ascii="Times New Roman" w:hAnsi="Times New Roman" w:eastAsia="仿宋_GB2312" w:cs="Times New Roman"/>
          <w:color w:val="auto"/>
          <w:sz w:val="32"/>
          <w:highlight w:val="none"/>
          <w:lang w:val="en-US" w:eastAsia="zh-CN"/>
        </w:rPr>
        <w:t>智慧三防、水文监测及水务应用不断拓展，</w:t>
      </w:r>
      <w:r>
        <w:rPr>
          <w:rFonts w:hint="default" w:ascii="Times New Roman" w:hAnsi="Times New Roman" w:eastAsia="仿宋_GB2312" w:cs="Times New Roman"/>
          <w:sz w:val="32"/>
          <w:highlight w:val="none"/>
          <w:lang w:val="en-US" w:eastAsia="zh-CN"/>
        </w:rPr>
        <w:t>实现精细化、智能化管理无缝融合。</w:t>
      </w:r>
      <w:r>
        <w:rPr>
          <w:rFonts w:hint="default" w:ascii="Times New Roman" w:hAnsi="Times New Roman" w:eastAsia="仿宋_GB2312" w:cs="Times New Roman"/>
          <w:color w:val="auto"/>
          <w:sz w:val="32"/>
          <w:highlight w:val="none"/>
          <w:lang w:val="en-US" w:eastAsia="zh-CN"/>
        </w:rPr>
        <w:t>积极探索</w:t>
      </w:r>
      <w:r>
        <w:rPr>
          <w:rFonts w:hint="default" w:ascii="Times New Roman" w:hAnsi="Times New Roman" w:eastAsia="仿宋_GB2312" w:cs="Times New Roman"/>
          <w:sz w:val="32"/>
          <w:szCs w:val="32"/>
          <w:highlight w:val="none"/>
        </w:rPr>
        <w:t>以大数据</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rPr>
        <w:t>支撑的</w:t>
      </w:r>
      <w:r>
        <w:rPr>
          <w:rFonts w:hint="default" w:ascii="Times New Roman" w:hAnsi="Times New Roman" w:eastAsia="仿宋_GB2312" w:cs="Times New Roman"/>
          <w:color w:val="auto"/>
          <w:sz w:val="32"/>
          <w:highlight w:val="none"/>
          <w:lang w:val="en-US" w:eastAsia="zh-CN"/>
        </w:rPr>
        <w:t>智慧市场监管新模式</w:t>
      </w:r>
      <w:r>
        <w:rPr>
          <w:rFonts w:hint="default" w:ascii="Times New Roman" w:hAnsi="Times New Roman" w:eastAsia="仿宋_GB2312" w:cs="Times New Roman"/>
          <w:sz w:val="32"/>
          <w:szCs w:val="32"/>
          <w:highlight w:val="none"/>
          <w:lang w:eastAsia="zh-CN"/>
        </w:rPr>
        <w:t>，实现对全区市场主体的精准信用画像，</w:t>
      </w:r>
      <w:r>
        <w:rPr>
          <w:rFonts w:hint="default" w:ascii="Times New Roman" w:hAnsi="Times New Roman" w:eastAsia="仿宋_GB2312" w:cs="Times New Roman"/>
          <w:color w:val="auto"/>
          <w:sz w:val="32"/>
          <w:highlight w:val="none"/>
          <w:lang w:val="en-US" w:eastAsia="zh-CN"/>
        </w:rPr>
        <w:t>数智赋能社会治理再上新台阶。</w:t>
      </w:r>
    </w:p>
    <w:p w14:paraId="0DF67ADB">
      <w:pPr>
        <w:widowControl w:val="0"/>
        <w:autoSpaceDE/>
        <w:autoSpaceDN/>
        <w:spacing w:line="560" w:lineRule="exact"/>
        <w:ind w:firstLine="643" w:firstLineChars="200"/>
        <w:jc w:val="both"/>
        <w:textAlignment w:val="auto"/>
        <w:outlineLvl w:val="2"/>
        <w:rPr>
          <w:rFonts w:hint="default" w:ascii="Times New Roman" w:hAnsi="Times New Roman" w:eastAsia="仿宋_GB2312" w:cs="Times New Roman"/>
          <w:b/>
          <w:bCs/>
          <w:color w:val="auto"/>
          <w:kern w:val="2"/>
          <w:sz w:val="32"/>
          <w:szCs w:val="32"/>
          <w:highlight w:val="none"/>
          <w:lang w:val="en-US" w:eastAsia="zh-CN" w:bidi="ar-SA"/>
        </w:rPr>
      </w:pPr>
      <w:bookmarkStart w:id="51" w:name="_Toc24895"/>
      <w:bookmarkStart w:id="52" w:name="_Toc23055"/>
      <w:bookmarkStart w:id="53" w:name="_Toc18997"/>
      <w:bookmarkStart w:id="54" w:name="_Toc3917"/>
      <w:bookmarkStart w:id="55" w:name="_Toc30852"/>
      <w:bookmarkStart w:id="56" w:name="_Toc9341"/>
      <w:bookmarkStart w:id="57" w:name="_Toc24816"/>
      <w:bookmarkStart w:id="58" w:name="_Toc32205"/>
      <w:bookmarkStart w:id="59" w:name="_Toc25216"/>
      <w:bookmarkStart w:id="60" w:name="_Toc15461"/>
      <w:bookmarkStart w:id="61" w:name="_Toc6462"/>
      <w:r>
        <w:rPr>
          <w:rFonts w:hint="default" w:ascii="Times New Roman" w:hAnsi="Times New Roman" w:eastAsia="仿宋_GB2312" w:cs="Times New Roman"/>
          <w:b/>
          <w:bCs/>
          <w:color w:val="auto"/>
          <w:kern w:val="2"/>
          <w:sz w:val="32"/>
          <w:szCs w:val="32"/>
          <w:highlight w:val="none"/>
          <w:lang w:val="en-US" w:eastAsia="zh-CN" w:bidi="ar-SA"/>
        </w:rPr>
        <w:t>4.数据价值化取得积极成效</w:t>
      </w:r>
      <w:bookmarkEnd w:id="51"/>
      <w:bookmarkEnd w:id="52"/>
      <w:bookmarkEnd w:id="53"/>
      <w:bookmarkEnd w:id="54"/>
      <w:bookmarkEnd w:id="55"/>
      <w:bookmarkEnd w:id="56"/>
      <w:bookmarkEnd w:id="57"/>
      <w:bookmarkEnd w:id="58"/>
      <w:bookmarkEnd w:id="59"/>
      <w:bookmarkEnd w:id="60"/>
      <w:bookmarkEnd w:id="61"/>
    </w:p>
    <w:p w14:paraId="5878C05A">
      <w:pPr>
        <w:widowControl w:val="0"/>
        <w:autoSpaceDE/>
        <w:autoSpaceDN/>
        <w:spacing w:line="560" w:lineRule="exact"/>
        <w:ind w:firstLine="640" w:firstLineChars="200"/>
        <w:jc w:val="both"/>
        <w:textAlignment w:val="auto"/>
        <w:outlineLvl w:val="9"/>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全球</w:t>
      </w:r>
      <w:r>
        <w:rPr>
          <w:rFonts w:hint="eastAsia" w:ascii="Calibri" w:hAnsi="Calibri" w:eastAsia="仿宋_GB2312" w:cs="Times New Roman"/>
          <w:color w:val="auto"/>
          <w:kern w:val="2"/>
          <w:sz w:val="32"/>
          <w:szCs w:val="32"/>
          <w:highlight w:val="none"/>
          <w:lang w:val="en-US" w:eastAsia="zh-CN" w:bidi="ar-SA"/>
        </w:rPr>
        <w:t>数</w:t>
      </w:r>
      <w:r>
        <w:rPr>
          <w:rFonts w:hint="default" w:ascii="Times New Roman" w:hAnsi="Times New Roman" w:eastAsia="仿宋_GB2312" w:cs="Times New Roman"/>
          <w:color w:val="auto"/>
          <w:kern w:val="2"/>
          <w:sz w:val="32"/>
          <w:szCs w:val="32"/>
          <w:highlight w:val="none"/>
          <w:lang w:val="en-US" w:eastAsia="zh-CN" w:bidi="ar-SA"/>
        </w:rPr>
        <w:t>源中心建设深入推进，首创多重数据校验机制，建成全球首个商品数据画像库，创设溯源数据授权流转规则和溯源数据权益分配制度，编制形成155份标准，实现溯源标准规则输出。</w:t>
      </w:r>
      <w:r>
        <w:rPr>
          <w:rFonts w:hint="default" w:ascii="Times New Roman" w:hAnsi="Times New Roman" w:eastAsia="仿宋_GB2312" w:cs="Times New Roman"/>
          <w:b w:val="0"/>
          <w:bCs w:val="0"/>
          <w:color w:val="auto"/>
          <w:kern w:val="2"/>
          <w:sz w:val="32"/>
          <w:szCs w:val="32"/>
          <w:highlight w:val="none"/>
          <w:lang w:val="en-US" w:eastAsia="zh-CN" w:bidi="ar-SA"/>
        </w:rPr>
        <w:t>数据要素市场化配置深入推动，</w:t>
      </w:r>
      <w:r>
        <w:rPr>
          <w:rFonts w:hint="default" w:ascii="Times New Roman" w:hAnsi="Times New Roman" w:eastAsia="仿宋_GB2312" w:cs="Times New Roman"/>
          <w:color w:val="000000"/>
          <w:kern w:val="2"/>
          <w:sz w:val="32"/>
          <w:szCs w:val="32"/>
          <w:highlight w:val="none"/>
          <w:lang w:val="en-US" w:eastAsia="zh-CN" w:bidi="ar-SA"/>
        </w:rPr>
        <w:t>依托广州数据交易所实施</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一所多基地多平台</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体系，上线全国首个行业数据指数发布平台和算力资源发布共享平台，探索完成全国首个普惠金融领域的公共数据产品</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企业经营健康指数</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的进场交易。公共数据共享开放水平持续提升，建立区级首席数据官管理制度和组织体系，累计提供行业数据共享主题244个，共享数据总量近13.87亿条，建成全区正常经营的约20万企业及7万个体工商户的法人库。数据跨境合规流动取得新突破，举办</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粤港澳数据合作会议</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等会议活动，落地</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粤港澳大湾区数据保护和数据跨境服务平台</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等一批重大项目，基于IPv6的</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澳科大</w:t>
      </w:r>
      <w:r>
        <w:rPr>
          <w:rFonts w:hint="eastAsia" w:ascii="仿宋_GB2312" w:hAnsi="仿宋_GB2312" w:eastAsia="仿宋_GB2312" w:cs="仿宋_GB2312"/>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大湾区科研数据跨境专网</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成为我国首个获得双向认证许可的数据跨境示范案例。成立粤港澳数据合作咨询委员会，为推动数据安全能力提升等提供技术与智库支撑。</w:t>
      </w:r>
    </w:p>
    <w:p w14:paraId="68940FC3">
      <w:pPr>
        <w:widowControl w:val="0"/>
        <w:autoSpaceDE/>
        <w:autoSpaceDN/>
        <w:spacing w:line="560" w:lineRule="exact"/>
        <w:ind w:firstLine="643" w:firstLineChars="200"/>
        <w:jc w:val="both"/>
        <w:textAlignment w:val="auto"/>
        <w:outlineLvl w:val="2"/>
        <w:rPr>
          <w:rFonts w:hint="default" w:ascii="Times New Roman" w:hAnsi="Times New Roman" w:eastAsia="仿宋_GB2312" w:cs="Times New Roman"/>
          <w:b/>
          <w:bCs/>
          <w:color w:val="auto"/>
          <w:kern w:val="2"/>
          <w:sz w:val="32"/>
          <w:szCs w:val="32"/>
          <w:highlight w:val="none"/>
          <w:lang w:val="en-US" w:eastAsia="zh-CN" w:bidi="ar-SA"/>
        </w:rPr>
      </w:pPr>
      <w:bookmarkStart w:id="62" w:name="_Toc30008"/>
      <w:bookmarkStart w:id="63" w:name="_Toc2836"/>
      <w:bookmarkStart w:id="64" w:name="_Toc22928"/>
      <w:bookmarkStart w:id="65" w:name="_Toc2651"/>
      <w:bookmarkStart w:id="66" w:name="_Toc1930"/>
      <w:bookmarkStart w:id="67" w:name="_Toc27585"/>
      <w:bookmarkStart w:id="68" w:name="_Toc7664"/>
      <w:bookmarkStart w:id="69" w:name="_Toc26863"/>
      <w:bookmarkStart w:id="70" w:name="_Toc12782"/>
      <w:bookmarkStart w:id="71" w:name="_Toc24535"/>
      <w:bookmarkStart w:id="72" w:name="_Toc15808"/>
      <w:r>
        <w:rPr>
          <w:rFonts w:hint="default" w:ascii="Times New Roman" w:hAnsi="Times New Roman" w:eastAsia="仿宋_GB2312" w:cs="Times New Roman"/>
          <w:b/>
          <w:bCs/>
          <w:color w:val="auto"/>
          <w:kern w:val="2"/>
          <w:sz w:val="32"/>
          <w:szCs w:val="32"/>
          <w:highlight w:val="none"/>
          <w:lang w:val="en-US" w:eastAsia="zh-CN" w:bidi="ar-SA"/>
        </w:rPr>
        <w:t>5.数字基础设施底座稳步夯实</w:t>
      </w:r>
      <w:bookmarkEnd w:id="62"/>
      <w:bookmarkEnd w:id="63"/>
      <w:bookmarkEnd w:id="64"/>
      <w:bookmarkEnd w:id="65"/>
      <w:bookmarkEnd w:id="66"/>
      <w:bookmarkEnd w:id="67"/>
      <w:bookmarkEnd w:id="68"/>
      <w:bookmarkEnd w:id="69"/>
      <w:bookmarkEnd w:id="70"/>
      <w:bookmarkEnd w:id="71"/>
      <w:bookmarkEnd w:id="72"/>
    </w:p>
    <w:p w14:paraId="50E736F1">
      <w:pPr>
        <w:keepNext w:val="0"/>
        <w:keepLines w:val="0"/>
        <w:pageBreakBefore w:val="0"/>
        <w:kinsoku/>
        <w:wordWrap/>
        <w:overflowPunct/>
        <w:topLinePunct w:val="0"/>
        <w:autoSpaceDE w:val="0"/>
        <w:autoSpaceDN w:val="0"/>
        <w:bidi w:val="0"/>
        <w:snapToGrid/>
        <w:spacing w:line="560" w:lineRule="exact"/>
        <w:ind w:firstLine="640" w:firstLineChars="200"/>
        <w:jc w:val="both"/>
        <w:textAlignment w:val="bottom"/>
        <w:outlineLvl w:val="9"/>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b w:val="0"/>
          <w:bCs w:val="0"/>
          <w:color w:val="000000"/>
          <w:sz w:val="32"/>
          <w:highlight w:val="none"/>
          <w:lang w:val="en-US" w:eastAsia="zh-CN"/>
        </w:rPr>
        <w:t>全区双千兆网络深度覆盖，</w:t>
      </w:r>
      <w:r>
        <w:rPr>
          <w:rFonts w:hint="default" w:ascii="Times New Roman" w:hAnsi="Times New Roman" w:eastAsia="仿宋_GB2312" w:cs="Times New Roman"/>
          <w:color w:val="000000"/>
          <w:sz w:val="32"/>
          <w:highlight w:val="none"/>
          <w:lang w:val="en-US" w:eastAsia="zh-CN"/>
        </w:rPr>
        <w:t>累计建成5G基站6856个，城市家庭千兆光网接入超95%。算力基础设施建设统筹推进，</w:t>
      </w:r>
      <w:r>
        <w:rPr>
          <w:rFonts w:hint="default" w:ascii="Times New Roman" w:hAnsi="Times New Roman" w:eastAsia="仿宋_GB2312" w:cs="Times New Roman"/>
          <w:color w:val="000000"/>
          <w:sz w:val="32"/>
          <w:szCs w:val="32"/>
          <w:highlight w:val="none"/>
          <w:lang w:val="en-US" w:eastAsia="zh-CN"/>
        </w:rPr>
        <w:t>全区已建与在建数据中心共10个，在用标准机架</w:t>
      </w:r>
      <w:r>
        <w:rPr>
          <w:rFonts w:hint="default" w:ascii="Times New Roman" w:hAnsi="Times New Roman" w:eastAsia="仿宋_GB2312" w:cs="Times New Roman"/>
          <w:color w:val="000000"/>
          <w:sz w:val="32"/>
          <w:szCs w:val="32"/>
          <w:highlight w:val="none"/>
        </w:rPr>
        <w:t>（2.5</w:t>
      </w:r>
      <w:r>
        <w:rPr>
          <w:rFonts w:hint="eastAsia" w:ascii="Times New Roman" w:hAnsi="Times New Roman" w:eastAsia="仿宋_GB2312" w:cs="Times New Roman"/>
          <w:color w:val="000000"/>
          <w:sz w:val="32"/>
          <w:szCs w:val="32"/>
          <w:highlight w:val="none"/>
          <w:lang w:val="en-US" w:eastAsia="zh-CN"/>
        </w:rPr>
        <w:t>k</w:t>
      </w:r>
      <w:r>
        <w:rPr>
          <w:rFonts w:hint="default" w:ascii="Times New Roman" w:hAnsi="Times New Roman" w:eastAsia="仿宋_GB2312" w:cs="Times New Roman"/>
          <w:color w:val="000000"/>
          <w:sz w:val="32"/>
          <w:szCs w:val="32"/>
          <w:highlight w:val="none"/>
        </w:rPr>
        <w:t>W/个）</w:t>
      </w:r>
      <w:r>
        <w:rPr>
          <w:rFonts w:hint="default" w:ascii="Times New Roman" w:hAnsi="Times New Roman" w:eastAsia="仿宋_GB2312" w:cs="Times New Roman"/>
          <w:color w:val="000000"/>
          <w:sz w:val="32"/>
          <w:szCs w:val="32"/>
          <w:highlight w:val="none"/>
          <w:lang w:val="en-US" w:eastAsia="zh-CN"/>
        </w:rPr>
        <w:t>数</w:t>
      </w:r>
      <w:r>
        <w:rPr>
          <w:rFonts w:hint="eastAsia" w:ascii="Times New Roman" w:hAnsi="Times New Roman" w:eastAsia="仿宋_GB2312" w:cs="Times New Roman"/>
          <w:color w:val="000000"/>
          <w:sz w:val="32"/>
          <w:szCs w:val="32"/>
          <w:highlight w:val="none"/>
          <w:lang w:val="en-US" w:eastAsia="zh-CN"/>
        </w:rPr>
        <w:t>量达</w:t>
      </w:r>
      <w:r>
        <w:rPr>
          <w:rFonts w:hint="default" w:ascii="Times New Roman" w:hAnsi="Times New Roman" w:eastAsia="仿宋_GB2312" w:cs="Times New Roman"/>
          <w:color w:val="000000"/>
          <w:sz w:val="32"/>
          <w:szCs w:val="32"/>
          <w:highlight w:val="none"/>
          <w:lang w:val="en-US" w:eastAsia="zh-CN"/>
        </w:rPr>
        <w:t>2.9万架，为数字政务、智慧城市、智慧交通、数字金融等行业发展提供有力支撑。国家超级计算广州中心南沙分中心加快发展，成为全国首个通过</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点对点</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跨境专线联通内地和港澳地区的高性能计算和数据处理服务平台，累计为港澳提供超2.5亿核时的超算服务。建成并运行</w:t>
      </w:r>
      <w:r>
        <w:rPr>
          <w:rFonts w:hint="default" w:ascii="Times New Roman" w:hAnsi="Times New Roman" w:eastAsia="仿宋_GB2312" w:cs="Times New Roman"/>
          <w:b w:val="0"/>
          <w:bCs w:val="0"/>
          <w:color w:val="000000"/>
          <w:sz w:val="32"/>
          <w:highlight w:val="none"/>
          <w:lang w:val="en-US" w:eastAsia="zh-CN"/>
        </w:rPr>
        <w:t>华南唯一一台国际IPv6根服务器系统，持续推进</w:t>
      </w:r>
      <w:r>
        <w:rPr>
          <w:rFonts w:hint="default" w:ascii="Times New Roman" w:hAnsi="Times New Roman" w:eastAsia="仿宋_GB2312" w:cs="Times New Roman"/>
          <w:color w:val="000000"/>
          <w:kern w:val="2"/>
          <w:sz w:val="32"/>
          <w:szCs w:val="32"/>
          <w:highlight w:val="none"/>
          <w:lang w:val="en-US" w:eastAsia="zh-CN" w:bidi="ar-SA"/>
        </w:rPr>
        <w:t>IPv6规模部署。智慧城市基础设施稳步发展，</w:t>
      </w:r>
      <w:r>
        <w:rPr>
          <w:rFonts w:hint="default" w:ascii="Times New Roman" w:hAnsi="Times New Roman" w:eastAsia="仿宋_GB2312" w:cs="Times New Roman"/>
          <w:b w:val="0"/>
          <w:bCs w:val="0"/>
          <w:color w:val="000000"/>
          <w:sz w:val="32"/>
          <w:highlight w:val="none"/>
          <w:lang w:val="en-US" w:eastAsia="zh-CN"/>
        </w:rPr>
        <w:t>累计建成智慧灯杆292根，</w:t>
      </w:r>
      <w:r>
        <w:rPr>
          <w:rFonts w:hint="default" w:ascii="Times New Roman" w:hAnsi="Times New Roman" w:eastAsia="仿宋_GB2312" w:cs="Times New Roman"/>
          <w:color w:val="000000"/>
          <w:kern w:val="2"/>
          <w:sz w:val="32"/>
          <w:szCs w:val="32"/>
          <w:highlight w:val="none"/>
          <w:lang w:val="en-US" w:eastAsia="zh-CN" w:bidi="ar-SA"/>
        </w:rPr>
        <w:t>杆体挂载应用涵盖车联网、移动基站以及环境监测等领域。</w:t>
      </w:r>
    </w:p>
    <w:p w14:paraId="24190F7F">
      <w:pPr>
        <w:keepNext w:val="0"/>
        <w:keepLines w:val="0"/>
        <w:pageBreakBefore w:val="0"/>
        <w:widowControl w:val="0"/>
        <w:kinsoku/>
        <w:wordWrap/>
        <w:overflowPunct/>
        <w:topLinePunct w:val="0"/>
        <w:autoSpaceDE/>
        <w:autoSpaceDN/>
        <w:bidi w:val="0"/>
        <w:snapToGrid/>
        <w:spacing w:after="0" w:line="560" w:lineRule="exact"/>
        <w:ind w:firstLine="643" w:firstLineChars="200"/>
        <w:jc w:val="both"/>
        <w:textAlignment w:val="auto"/>
        <w:outlineLvl w:val="2"/>
        <w:rPr>
          <w:rFonts w:hint="default" w:ascii="Times New Roman" w:hAnsi="Times New Roman" w:eastAsia="仿宋_GB2312" w:cs="Times New Roman"/>
          <w:b/>
          <w:bCs/>
          <w:color w:val="auto"/>
          <w:kern w:val="2"/>
          <w:sz w:val="32"/>
          <w:szCs w:val="22"/>
          <w:highlight w:val="none"/>
          <w:lang w:val="en-US" w:eastAsia="zh-CN" w:bidi="ar-SA"/>
        </w:rPr>
      </w:pPr>
      <w:bookmarkStart w:id="73" w:name="_Toc16968"/>
      <w:bookmarkStart w:id="74" w:name="_Toc17644"/>
      <w:bookmarkStart w:id="75" w:name="_Toc28173"/>
      <w:bookmarkStart w:id="76" w:name="_Toc27449"/>
      <w:bookmarkStart w:id="77" w:name="_Toc15615"/>
      <w:bookmarkStart w:id="78" w:name="_Toc2779"/>
      <w:bookmarkStart w:id="79" w:name="_Toc25605"/>
      <w:bookmarkStart w:id="80" w:name="_Toc30823"/>
      <w:bookmarkStart w:id="81" w:name="_Toc10911"/>
      <w:bookmarkStart w:id="82" w:name="_Toc3482"/>
      <w:bookmarkStart w:id="83" w:name="_Toc5061"/>
      <w:r>
        <w:rPr>
          <w:rFonts w:hint="default" w:ascii="Times New Roman" w:hAnsi="Times New Roman" w:eastAsia="仿宋_GB2312" w:cs="Times New Roman"/>
          <w:b/>
          <w:bCs/>
          <w:color w:val="auto"/>
          <w:kern w:val="2"/>
          <w:sz w:val="32"/>
          <w:szCs w:val="22"/>
          <w:highlight w:val="none"/>
          <w:lang w:val="en-US" w:eastAsia="zh-CN" w:bidi="ar-SA"/>
        </w:rPr>
        <w:t>6.数字经济发展环境持续优化</w:t>
      </w:r>
      <w:bookmarkEnd w:id="73"/>
      <w:bookmarkEnd w:id="74"/>
      <w:bookmarkEnd w:id="75"/>
      <w:bookmarkEnd w:id="76"/>
      <w:bookmarkEnd w:id="77"/>
      <w:bookmarkEnd w:id="78"/>
      <w:bookmarkEnd w:id="79"/>
      <w:bookmarkEnd w:id="80"/>
      <w:bookmarkEnd w:id="81"/>
      <w:bookmarkEnd w:id="82"/>
      <w:bookmarkEnd w:id="83"/>
    </w:p>
    <w:p w14:paraId="0F2DCCA4">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Times New Roman" w:hAnsi="Times New Roman" w:eastAsia="仿宋_GB2312" w:cs="Times New Roman"/>
          <w:bCs w:val="0"/>
          <w:color w:val="000000"/>
          <w:kern w:val="2"/>
          <w:sz w:val="32"/>
          <w:szCs w:val="32"/>
          <w:highlight w:val="none"/>
          <w:lang w:val="en-US" w:eastAsia="zh-CN" w:bidi="ar-SA"/>
        </w:rPr>
      </w:pPr>
      <w:r>
        <w:rPr>
          <w:rFonts w:hint="default" w:ascii="Times New Roman" w:hAnsi="Times New Roman" w:eastAsia="仿宋_GB2312" w:cs="Times New Roman"/>
          <w:bCs w:val="0"/>
          <w:color w:val="000000"/>
          <w:kern w:val="2"/>
          <w:sz w:val="32"/>
          <w:szCs w:val="32"/>
          <w:highlight w:val="none"/>
          <w:lang w:val="en-US" w:eastAsia="zh-CN" w:bidi="ar-SA"/>
        </w:rPr>
        <w:t>南沙区初步建成</w:t>
      </w:r>
      <w:r>
        <w:rPr>
          <w:rFonts w:hint="eastAsia" w:ascii="Times New Roman" w:hAnsi="Times New Roman" w:eastAsia="仿宋_GB2312" w:cs="Times New Roman"/>
          <w:bCs w:val="0"/>
          <w:color w:val="000000"/>
          <w:kern w:val="2"/>
          <w:sz w:val="32"/>
          <w:szCs w:val="32"/>
          <w:highlight w:val="none"/>
          <w:lang w:val="en-US" w:eastAsia="zh-CN" w:bidi="ar-SA"/>
        </w:rPr>
        <w:t>“</w:t>
      </w:r>
      <w:r>
        <w:rPr>
          <w:rFonts w:hint="default" w:ascii="Times New Roman" w:hAnsi="Times New Roman" w:eastAsia="仿宋_GB2312" w:cs="Times New Roman"/>
          <w:bCs w:val="0"/>
          <w:color w:val="000000"/>
          <w:kern w:val="2"/>
          <w:sz w:val="32"/>
          <w:szCs w:val="32"/>
          <w:highlight w:val="none"/>
          <w:lang w:val="en-US" w:eastAsia="zh-CN" w:bidi="ar-SA"/>
        </w:rPr>
        <w:t>顶层规划—扶持办法—项目管理</w:t>
      </w:r>
      <w:r>
        <w:rPr>
          <w:rFonts w:hint="eastAsia" w:ascii="Times New Roman" w:hAnsi="Times New Roman" w:eastAsia="仿宋_GB2312" w:cs="Times New Roman"/>
          <w:bCs w:val="0"/>
          <w:color w:val="000000"/>
          <w:kern w:val="2"/>
          <w:sz w:val="32"/>
          <w:szCs w:val="32"/>
          <w:highlight w:val="none"/>
          <w:lang w:val="en-US" w:eastAsia="zh-CN" w:bidi="ar-SA"/>
        </w:rPr>
        <w:t>”</w:t>
      </w:r>
      <w:r>
        <w:rPr>
          <w:rFonts w:hint="default" w:ascii="Times New Roman" w:hAnsi="Times New Roman" w:eastAsia="仿宋_GB2312" w:cs="Times New Roman"/>
          <w:bCs w:val="0"/>
          <w:color w:val="000000"/>
          <w:kern w:val="2"/>
          <w:sz w:val="32"/>
          <w:szCs w:val="32"/>
          <w:highlight w:val="none"/>
          <w:lang w:val="en-US" w:eastAsia="zh-CN" w:bidi="ar-SA"/>
        </w:rPr>
        <w:t>数字经济政策体系，涵盖人工智能、半导体与集成电路、智能网联与新能源汽车、元宇宙、智慧城市、数字</w:t>
      </w:r>
      <w:r>
        <w:rPr>
          <w:rFonts w:hint="eastAsia" w:ascii="Times New Roman" w:hAnsi="Times New Roman" w:eastAsia="仿宋_GB2312" w:cs="Times New Roman"/>
          <w:bCs w:val="0"/>
          <w:color w:val="000000"/>
          <w:kern w:val="2"/>
          <w:sz w:val="32"/>
          <w:szCs w:val="32"/>
          <w:highlight w:val="none"/>
          <w:lang w:val="en-US" w:eastAsia="zh-CN" w:bidi="ar-SA"/>
        </w:rPr>
        <w:t>“</w:t>
      </w:r>
      <w:r>
        <w:rPr>
          <w:rFonts w:hint="default" w:ascii="Times New Roman" w:hAnsi="Times New Roman" w:eastAsia="仿宋_GB2312" w:cs="Times New Roman"/>
          <w:bCs w:val="0"/>
          <w:color w:val="000000"/>
          <w:kern w:val="2"/>
          <w:sz w:val="32"/>
          <w:szCs w:val="32"/>
          <w:highlight w:val="none"/>
          <w:lang w:val="en-US" w:eastAsia="zh-CN" w:bidi="ar-SA"/>
        </w:rPr>
        <w:t>新基建</w:t>
      </w:r>
      <w:r>
        <w:rPr>
          <w:rFonts w:hint="eastAsia" w:ascii="Times New Roman" w:hAnsi="Times New Roman" w:eastAsia="仿宋_GB2312" w:cs="Times New Roman"/>
          <w:bCs w:val="0"/>
          <w:color w:val="000000"/>
          <w:kern w:val="2"/>
          <w:sz w:val="32"/>
          <w:szCs w:val="32"/>
          <w:highlight w:val="none"/>
          <w:lang w:val="en-US" w:eastAsia="zh-CN" w:bidi="ar-SA"/>
        </w:rPr>
        <w:t>”</w:t>
      </w:r>
      <w:r>
        <w:rPr>
          <w:rFonts w:hint="default" w:ascii="Times New Roman" w:hAnsi="Times New Roman" w:eastAsia="仿宋_GB2312" w:cs="Times New Roman"/>
          <w:bCs w:val="0"/>
          <w:color w:val="000000"/>
          <w:kern w:val="2"/>
          <w:sz w:val="32"/>
          <w:szCs w:val="32"/>
          <w:highlight w:val="none"/>
          <w:lang w:val="en-US" w:eastAsia="zh-CN" w:bidi="ar-SA"/>
        </w:rPr>
        <w:t>等方面。引进香港科技大学（广州）等高等院校，深化数字经济学科建设和产教融合，先后4家产教融合实训示范基地获评广州市首批产教融合实训示范基地。开展专利导航计划，支持数字经济相关产业企业立项建设高价值知识产权培育中心，引导企业培育高价值专利。吸引广州产投母基金等优质国资产投基金落户，</w:t>
      </w:r>
      <w:r>
        <w:rPr>
          <w:rFonts w:hint="default" w:ascii="Times New Roman" w:hAnsi="Times New Roman" w:eastAsia="仿宋_GB2312" w:cs="Times New Roman"/>
          <w:b w:val="0"/>
          <w:bCs w:val="0"/>
          <w:kern w:val="2"/>
          <w:sz w:val="32"/>
          <w:szCs w:val="32"/>
          <w:highlight w:val="none"/>
          <w:lang w:val="en-US" w:eastAsia="zh-CN" w:bidi="ar-SA"/>
        </w:rPr>
        <w:t>打造资本市场服务基地，先后推动</w:t>
      </w:r>
      <w:r>
        <w:rPr>
          <w:rFonts w:hint="default" w:ascii="Times New Roman" w:hAnsi="Times New Roman" w:eastAsia="仿宋_GB2312" w:cs="Times New Roman"/>
          <w:color w:val="000000"/>
          <w:kern w:val="2"/>
          <w:sz w:val="32"/>
          <w:szCs w:val="32"/>
          <w:highlight w:val="none"/>
          <w:lang w:val="en-US" w:eastAsia="zh-CN" w:bidi="ar-SA"/>
        </w:rPr>
        <w:t>5家数字经济核心产业企业在海内外上市</w:t>
      </w:r>
      <w:r>
        <w:rPr>
          <w:rFonts w:hint="default" w:ascii="Times New Roman" w:hAnsi="Times New Roman" w:eastAsia="仿宋_GB2312" w:cs="Times New Roman"/>
          <w:b w:val="0"/>
          <w:bCs w:val="0"/>
          <w:color w:val="000000"/>
          <w:kern w:val="2"/>
          <w:sz w:val="32"/>
          <w:szCs w:val="32"/>
          <w:highlight w:val="none"/>
          <w:lang w:val="en-US" w:eastAsia="zh-CN" w:bidi="ar-SA"/>
        </w:rPr>
        <w:t>。</w:t>
      </w:r>
    </w:p>
    <w:p w14:paraId="15DBD58D">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84" w:name="_Toc27481"/>
      <w:bookmarkStart w:id="85" w:name="_Toc17182"/>
      <w:bookmarkStart w:id="86" w:name="_Toc5982"/>
      <w:r>
        <w:rPr>
          <w:rFonts w:hint="default" w:ascii="楷体_GB2312" w:hAnsi="楷体_GB2312" w:eastAsia="楷体_GB2312" w:cs="楷体_GB2312"/>
          <w:sz w:val="32"/>
          <w:highlight w:val="none"/>
          <w:lang w:val="en-US" w:eastAsia="zh-CN"/>
        </w:rPr>
        <w:t>（二）存在问题</w:t>
      </w:r>
      <w:bookmarkEnd w:id="84"/>
      <w:bookmarkEnd w:id="85"/>
      <w:bookmarkEnd w:id="86"/>
    </w:p>
    <w:p w14:paraId="6F4DF83D">
      <w:pPr>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与此同时，南沙区在数字经济</w:t>
      </w:r>
      <w:r>
        <w:rPr>
          <w:rFonts w:hint="default" w:ascii="Times New Roman" w:hAnsi="Times New Roman" w:eastAsia="仿宋_GB2312" w:cs="Times New Roman"/>
          <w:color w:val="auto"/>
          <w:sz w:val="32"/>
          <w:highlight w:val="none"/>
          <w:lang w:val="en-US" w:eastAsia="zh-CN"/>
        </w:rPr>
        <w:t>产业规模、发展生态、制度创新能力、综合配套等方面仍存在一些问题，亟待多措并举、形成合力、共同解决。</w:t>
      </w:r>
    </w:p>
    <w:p w14:paraId="1C3CB377">
      <w:pPr>
        <w:widowControl w:val="0"/>
        <w:autoSpaceDE/>
        <w:autoSpaceDN/>
        <w:spacing w:line="56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bookmarkStart w:id="87" w:name="_Toc21148"/>
      <w:bookmarkStart w:id="88" w:name="_Toc5170"/>
      <w:bookmarkStart w:id="89" w:name="_Toc991"/>
      <w:bookmarkStart w:id="90" w:name="_Toc21699"/>
      <w:bookmarkStart w:id="91" w:name="_Toc4929"/>
      <w:bookmarkStart w:id="92" w:name="_Toc141"/>
      <w:bookmarkStart w:id="93" w:name="_Toc19986"/>
      <w:bookmarkStart w:id="94" w:name="_Toc31947"/>
      <w:bookmarkStart w:id="95" w:name="_Toc8825"/>
      <w:r>
        <w:rPr>
          <w:rFonts w:hint="eastAsia" w:ascii="Calibri" w:hAnsi="Calibri" w:eastAsia="仿宋_GB2312" w:cs="Times New Roman"/>
          <w:b/>
          <w:bCs/>
          <w:color w:val="auto"/>
          <w:kern w:val="2"/>
          <w:sz w:val="32"/>
          <w:szCs w:val="32"/>
          <w:highlight w:val="none"/>
          <w:lang w:val="en-US" w:eastAsia="zh-CN" w:bidi="ar-SA"/>
        </w:rPr>
        <w:t>一是</w:t>
      </w:r>
      <w:r>
        <w:rPr>
          <w:rFonts w:hint="default" w:ascii="Times New Roman" w:hAnsi="Times New Roman" w:eastAsia="仿宋_GB2312" w:cs="Times New Roman"/>
          <w:b/>
          <w:bCs/>
          <w:color w:val="auto"/>
          <w:kern w:val="2"/>
          <w:sz w:val="32"/>
          <w:szCs w:val="32"/>
          <w:highlight w:val="none"/>
          <w:lang w:val="en-US" w:eastAsia="zh-CN" w:bidi="ar-SA"/>
        </w:rPr>
        <w:t>核心产业规模小带动能力不足</w:t>
      </w:r>
      <w:bookmarkEnd w:id="87"/>
      <w:bookmarkEnd w:id="88"/>
      <w:bookmarkEnd w:id="89"/>
      <w:bookmarkEnd w:id="90"/>
      <w:bookmarkEnd w:id="91"/>
      <w:bookmarkEnd w:id="92"/>
      <w:bookmarkEnd w:id="93"/>
      <w:bookmarkEnd w:id="94"/>
      <w:bookmarkEnd w:id="95"/>
      <w:r>
        <w:rPr>
          <w:rFonts w:hint="eastAsia" w:ascii="Calibri" w:hAnsi="Calibri"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南沙区数字经济发展产值规模在全市所占份额较小，对全区GDP拉动作用弱。南沙区数字产业企业规模普遍偏小，集聚了一批重点核心产业项目但发展起步整体较晚，主要集中在产业链前端，缺乏有影响力、带动性强的中后端</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链主型</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大企业。</w:t>
      </w:r>
    </w:p>
    <w:p w14:paraId="78E2520D">
      <w:pPr>
        <w:keepNext w:val="0"/>
        <w:keepLines w:val="0"/>
        <w:pageBreakBefore w:val="0"/>
        <w:widowControl w:val="0"/>
        <w:kinsoku/>
        <w:wordWrap/>
        <w:overflowPunct/>
        <w:topLinePunct w:val="0"/>
        <w:autoSpaceDE/>
        <w:autoSpaceDN/>
        <w:bidi w:val="0"/>
        <w:snapToGrid/>
        <w:spacing w:after="0" w:line="560" w:lineRule="exact"/>
        <w:ind w:firstLine="643" w:firstLineChars="200"/>
        <w:jc w:val="both"/>
        <w:textAlignment w:val="auto"/>
        <w:outlineLvl w:val="9"/>
        <w:rPr>
          <w:rFonts w:hint="default" w:ascii="Times New Roman" w:hAnsi="Times New Roman" w:eastAsia="仿宋_GB2312" w:cs="Times New Roman"/>
          <w:b w:val="0"/>
          <w:bCs w:val="0"/>
          <w:color w:val="000000"/>
          <w:kern w:val="2"/>
          <w:sz w:val="32"/>
          <w:szCs w:val="22"/>
          <w:highlight w:val="none"/>
          <w:lang w:val="en-US" w:eastAsia="zh-CN" w:bidi="ar-SA"/>
        </w:rPr>
      </w:pPr>
      <w:bookmarkStart w:id="96" w:name="_Toc20144"/>
      <w:bookmarkStart w:id="97" w:name="_Toc32225"/>
      <w:bookmarkStart w:id="98" w:name="_Toc25396"/>
      <w:bookmarkStart w:id="99" w:name="_Toc3910"/>
      <w:bookmarkStart w:id="100" w:name="_Toc12785"/>
      <w:bookmarkStart w:id="101" w:name="_Toc2205"/>
      <w:bookmarkStart w:id="102" w:name="_Toc15825"/>
      <w:r>
        <w:rPr>
          <w:rFonts w:hint="eastAsia" w:ascii="Calibri" w:hAnsi="Calibri" w:eastAsia="仿宋_GB2312" w:cs="Times New Roman"/>
          <w:b/>
          <w:bCs/>
          <w:color w:val="auto"/>
          <w:kern w:val="2"/>
          <w:sz w:val="32"/>
          <w:szCs w:val="32"/>
          <w:highlight w:val="none"/>
          <w:lang w:val="en-US" w:eastAsia="zh-CN" w:bidi="ar-SA"/>
        </w:rPr>
        <w:t>二是</w:t>
      </w:r>
      <w:r>
        <w:rPr>
          <w:rFonts w:hint="default" w:ascii="Times New Roman" w:hAnsi="Times New Roman" w:eastAsia="仿宋_GB2312" w:cs="Times New Roman"/>
          <w:b/>
          <w:bCs/>
          <w:color w:val="auto"/>
          <w:kern w:val="2"/>
          <w:sz w:val="32"/>
          <w:szCs w:val="32"/>
          <w:highlight w:val="none"/>
          <w:lang w:val="en-US" w:eastAsia="zh-CN" w:bidi="ar-SA"/>
        </w:rPr>
        <w:t>数字生态根植性弱结构不均衡</w:t>
      </w:r>
      <w:bookmarkEnd w:id="96"/>
      <w:bookmarkEnd w:id="97"/>
      <w:bookmarkEnd w:id="98"/>
      <w:bookmarkEnd w:id="99"/>
      <w:bookmarkEnd w:id="100"/>
      <w:bookmarkEnd w:id="101"/>
      <w:bookmarkEnd w:id="102"/>
      <w:r>
        <w:rPr>
          <w:rFonts w:hint="eastAsia" w:ascii="Calibri" w:hAnsi="Calibri" w:eastAsia="仿宋_GB2312" w:cs="Times New Roman"/>
          <w:b w:val="0"/>
          <w:bCs w:val="0"/>
          <w:color w:val="auto"/>
          <w:kern w:val="2"/>
          <w:sz w:val="32"/>
          <w:szCs w:val="32"/>
          <w:highlight w:val="none"/>
          <w:lang w:val="en-US" w:eastAsia="zh-CN" w:bidi="ar-SA"/>
        </w:rPr>
        <w:t>。</w:t>
      </w:r>
      <w:r>
        <w:rPr>
          <w:rFonts w:hint="eastAsia" w:ascii="Calibri" w:hAnsi="Calibri" w:eastAsia="仿宋_GB2312" w:cs="Times New Roman"/>
          <w:kern w:val="2"/>
          <w:sz w:val="32"/>
          <w:szCs w:val="32"/>
          <w:highlight w:val="none"/>
          <w:lang w:val="en-US" w:eastAsia="zh-CN" w:bidi="ar-SA"/>
        </w:rPr>
        <w:t>仍有较多注册在区内的</w:t>
      </w:r>
      <w:r>
        <w:rPr>
          <w:rFonts w:hint="default" w:ascii="Times New Roman" w:hAnsi="Times New Roman" w:eastAsia="仿宋_GB2312" w:cs="Times New Roman"/>
          <w:kern w:val="2"/>
          <w:sz w:val="32"/>
          <w:szCs w:val="32"/>
          <w:highlight w:val="none"/>
          <w:lang w:val="en-US" w:eastAsia="zh-CN" w:bidi="ar-SA"/>
        </w:rPr>
        <w:t>软件与信息服务业企业主要业务和办公在天河、海珠等区，对</w:t>
      </w:r>
      <w:r>
        <w:rPr>
          <w:rFonts w:hint="eastAsia" w:ascii="Calibri" w:hAnsi="Calibri" w:eastAsia="仿宋_GB2312" w:cs="Times New Roman"/>
          <w:kern w:val="2"/>
          <w:sz w:val="32"/>
          <w:szCs w:val="32"/>
          <w:highlight w:val="none"/>
          <w:lang w:val="en-US" w:eastAsia="zh-CN" w:bidi="ar-SA"/>
        </w:rPr>
        <w:t>全区</w:t>
      </w:r>
      <w:r>
        <w:rPr>
          <w:rFonts w:hint="default" w:ascii="Times New Roman" w:hAnsi="Times New Roman" w:eastAsia="仿宋_GB2312" w:cs="Times New Roman"/>
          <w:kern w:val="2"/>
          <w:sz w:val="32"/>
          <w:szCs w:val="32"/>
          <w:highlight w:val="none"/>
          <w:lang w:val="en-US" w:eastAsia="zh-CN" w:bidi="ar-SA"/>
        </w:rPr>
        <w:t>数字经济产业发展带动作用不明显。</w:t>
      </w:r>
      <w:r>
        <w:rPr>
          <w:rFonts w:hint="eastAsia" w:ascii="Calibri" w:hAnsi="Calibri" w:eastAsia="仿宋_GB2312" w:cs="Times New Roman"/>
          <w:color w:val="000000"/>
          <w:kern w:val="2"/>
          <w:sz w:val="32"/>
          <w:szCs w:val="32"/>
          <w:highlight w:val="none"/>
          <w:lang w:val="en-US" w:eastAsia="zh-CN" w:bidi="ar-SA"/>
        </w:rPr>
        <w:t>部分</w:t>
      </w:r>
      <w:r>
        <w:rPr>
          <w:rFonts w:hint="default" w:ascii="Times New Roman" w:hAnsi="Times New Roman" w:eastAsia="仿宋_GB2312" w:cs="Times New Roman"/>
          <w:color w:val="000000"/>
          <w:kern w:val="2"/>
          <w:sz w:val="32"/>
          <w:szCs w:val="32"/>
          <w:highlight w:val="none"/>
          <w:lang w:val="en-US" w:eastAsia="zh-CN" w:bidi="ar-SA"/>
        </w:rPr>
        <w:t>数字经济领域的重点企业空间布局相对分散，没有形成上下游协同发展生态圈，难以支撑产业链构建产业集群。</w:t>
      </w:r>
    </w:p>
    <w:p w14:paraId="73BA5AB4">
      <w:pPr>
        <w:autoSpaceDE w:val="0"/>
        <w:autoSpaceDN w:val="0"/>
        <w:snapToGrid/>
        <w:spacing w:line="560" w:lineRule="exact"/>
        <w:ind w:firstLine="643" w:firstLineChars="200"/>
        <w:jc w:val="both"/>
        <w:textAlignment w:val="bottom"/>
        <w:outlineLvl w:val="9"/>
        <w:rPr>
          <w:rFonts w:hint="default" w:ascii="Times New Roman" w:hAnsi="Times New Roman" w:eastAsia="仿宋_GB2312" w:cs="Times New Roman"/>
          <w:color w:val="000000"/>
          <w:sz w:val="32"/>
          <w:highlight w:val="none"/>
          <w:lang w:val="en-US" w:eastAsia="zh-CN"/>
        </w:rPr>
      </w:pPr>
      <w:bookmarkStart w:id="103" w:name="_Toc10200"/>
      <w:bookmarkStart w:id="104" w:name="_Toc749"/>
      <w:bookmarkStart w:id="105" w:name="_Toc2782"/>
      <w:bookmarkStart w:id="106" w:name="_Toc31680"/>
      <w:bookmarkStart w:id="107" w:name="_Toc2243"/>
      <w:bookmarkStart w:id="108" w:name="_Toc30993"/>
      <w:bookmarkStart w:id="109" w:name="_Toc14247"/>
      <w:bookmarkStart w:id="110" w:name="_Toc13016"/>
      <w:r>
        <w:rPr>
          <w:rFonts w:hint="eastAsia" w:ascii="Times New Roman" w:hAnsi="Times New Roman" w:eastAsia="仿宋_GB2312" w:cs="Times New Roman"/>
          <w:b/>
          <w:bCs/>
          <w:color w:val="auto"/>
          <w:sz w:val="32"/>
          <w:highlight w:val="none"/>
          <w:lang w:val="en-US" w:eastAsia="zh-CN"/>
        </w:rPr>
        <w:t>三是</w:t>
      </w:r>
      <w:r>
        <w:rPr>
          <w:rFonts w:hint="default" w:ascii="Times New Roman" w:hAnsi="Times New Roman" w:eastAsia="仿宋_GB2312" w:cs="Times New Roman"/>
          <w:b/>
          <w:bCs/>
          <w:color w:val="auto"/>
          <w:sz w:val="32"/>
          <w:highlight w:val="none"/>
          <w:lang w:val="en-US" w:eastAsia="zh-CN"/>
        </w:rPr>
        <w:t>数字化转型支撑弱联动合作少</w:t>
      </w:r>
      <w:bookmarkEnd w:id="103"/>
      <w:bookmarkEnd w:id="104"/>
      <w:bookmarkEnd w:id="105"/>
      <w:bookmarkEnd w:id="106"/>
      <w:bookmarkEnd w:id="107"/>
      <w:r>
        <w:rPr>
          <w:rFonts w:hint="eastAsia" w:ascii="Times New Roman" w:hAnsi="Times New Roman" w:eastAsia="仿宋_GB2312" w:cs="Times New Roman"/>
          <w:b w:val="0"/>
          <w:bCs w:val="0"/>
          <w:color w:val="auto"/>
          <w:sz w:val="32"/>
          <w:highlight w:val="none"/>
          <w:lang w:val="en-US" w:eastAsia="zh-CN"/>
        </w:rPr>
        <w:t>。</w:t>
      </w:r>
      <w:r>
        <w:rPr>
          <w:rFonts w:hint="default" w:ascii="Times New Roman" w:hAnsi="Times New Roman" w:eastAsia="仿宋_GB2312" w:cs="Times New Roman"/>
          <w:b w:val="0"/>
          <w:bCs w:val="0"/>
          <w:color w:val="000000"/>
          <w:sz w:val="32"/>
          <w:highlight w:val="none"/>
          <w:lang w:val="en-US" w:eastAsia="zh-CN"/>
        </w:rPr>
        <w:t>全区制造业数字化转型服务支撑能力</w:t>
      </w:r>
      <w:r>
        <w:rPr>
          <w:rFonts w:hint="eastAsia" w:ascii="Times New Roman" w:hAnsi="Times New Roman" w:eastAsia="仿宋_GB2312" w:cs="Times New Roman"/>
          <w:b w:val="0"/>
          <w:bCs w:val="0"/>
          <w:color w:val="000000"/>
          <w:sz w:val="32"/>
          <w:highlight w:val="none"/>
          <w:lang w:val="en-US" w:eastAsia="zh-CN"/>
        </w:rPr>
        <w:t>相较天河、黄埔等区仍需加强</w:t>
      </w:r>
      <w:r>
        <w:rPr>
          <w:rFonts w:hint="default" w:ascii="Times New Roman" w:hAnsi="Times New Roman" w:eastAsia="仿宋_GB2312" w:cs="Times New Roman"/>
          <w:b w:val="0"/>
          <w:bCs w:val="0"/>
          <w:color w:val="000000"/>
          <w:sz w:val="32"/>
          <w:highlight w:val="none"/>
          <w:lang w:val="en-US" w:eastAsia="zh-CN"/>
        </w:rPr>
        <w:t>，</w:t>
      </w:r>
      <w:r>
        <w:rPr>
          <w:rFonts w:hint="eastAsia" w:ascii="Times New Roman" w:hAnsi="Times New Roman" w:eastAsia="仿宋_GB2312" w:cs="Times New Roman"/>
          <w:sz w:val="32"/>
          <w:highlight w:val="none"/>
          <w:lang w:val="en-US" w:eastAsia="zh-CN"/>
        </w:rPr>
        <w:t>大中小</w:t>
      </w:r>
      <w:r>
        <w:rPr>
          <w:rFonts w:hint="default" w:ascii="Times New Roman" w:hAnsi="Times New Roman" w:eastAsia="仿宋_GB2312" w:cs="Times New Roman"/>
          <w:sz w:val="32"/>
          <w:highlight w:val="none"/>
        </w:rPr>
        <w:t>企业数字化转型程度不一致，</w:t>
      </w:r>
      <w:r>
        <w:rPr>
          <w:rFonts w:hint="eastAsia" w:ascii="Times New Roman" w:hAnsi="Times New Roman" w:eastAsia="仿宋_GB2312" w:cs="Times New Roman"/>
          <w:b w:val="0"/>
          <w:bCs w:val="0"/>
          <w:color w:val="000000"/>
          <w:sz w:val="32"/>
          <w:highlight w:val="none"/>
          <w:lang w:val="en-US" w:eastAsia="zh-CN"/>
        </w:rPr>
        <w:t>服务商与制造业企业的</w:t>
      </w:r>
      <w:r>
        <w:rPr>
          <w:rFonts w:hint="default" w:ascii="Times New Roman" w:hAnsi="Times New Roman" w:eastAsia="仿宋_GB2312" w:cs="Times New Roman"/>
          <w:sz w:val="32"/>
          <w:highlight w:val="none"/>
          <w:lang w:val="en-US" w:eastAsia="zh-CN"/>
        </w:rPr>
        <w:t>合作深度有待进一步提升。</w:t>
      </w:r>
    </w:p>
    <w:bookmarkEnd w:id="108"/>
    <w:bookmarkEnd w:id="109"/>
    <w:bookmarkEnd w:id="110"/>
    <w:p w14:paraId="62980B09">
      <w:pPr>
        <w:keepNext w:val="0"/>
        <w:keepLines w:val="0"/>
        <w:pageBreakBefore w:val="0"/>
        <w:widowControl w:val="0"/>
        <w:kinsoku/>
        <w:wordWrap/>
        <w:overflowPunct/>
        <w:topLinePunct w:val="0"/>
        <w:autoSpaceDE/>
        <w:autoSpaceDN/>
        <w:bidi w:val="0"/>
        <w:snapToGrid/>
        <w:spacing w:line="560" w:lineRule="exact"/>
        <w:ind w:firstLine="643" w:firstLineChars="200"/>
        <w:jc w:val="both"/>
        <w:textAlignment w:val="auto"/>
        <w:outlineLvl w:val="9"/>
        <w:rPr>
          <w:rFonts w:hint="default" w:ascii="Times New Roman" w:hAnsi="Times New Roman" w:eastAsia="仿宋_GB2312" w:cs="Times New Roman"/>
          <w:color w:val="000000"/>
          <w:kern w:val="2"/>
          <w:sz w:val="32"/>
          <w:szCs w:val="32"/>
          <w:highlight w:val="none"/>
          <w:lang w:val="en-US" w:eastAsia="zh-CN" w:bidi="ar-SA"/>
        </w:rPr>
      </w:pPr>
      <w:bookmarkStart w:id="111" w:name="_Toc13013"/>
      <w:bookmarkStart w:id="112" w:name="_Toc3394"/>
      <w:r>
        <w:rPr>
          <w:rFonts w:hint="eastAsia" w:ascii="Calibri" w:hAnsi="Calibri" w:eastAsia="仿宋_GB2312" w:cs="Times New Roman"/>
          <w:b/>
          <w:bCs/>
          <w:color w:val="auto"/>
          <w:kern w:val="2"/>
          <w:sz w:val="32"/>
          <w:szCs w:val="32"/>
          <w:highlight w:val="none"/>
          <w:lang w:val="en-US" w:eastAsia="zh-CN" w:bidi="ar-SA"/>
        </w:rPr>
        <w:t>四是</w:t>
      </w:r>
      <w:r>
        <w:rPr>
          <w:rFonts w:hint="default" w:ascii="Times New Roman" w:hAnsi="Times New Roman" w:eastAsia="仿宋_GB2312" w:cs="Times New Roman"/>
          <w:b/>
          <w:bCs/>
          <w:color w:val="auto"/>
          <w:kern w:val="2"/>
          <w:sz w:val="32"/>
          <w:szCs w:val="32"/>
          <w:highlight w:val="none"/>
          <w:lang w:val="en-US" w:eastAsia="zh-CN" w:bidi="ar-SA"/>
        </w:rPr>
        <w:t>数据制度不成熟创新力待提升</w:t>
      </w:r>
      <w:bookmarkEnd w:id="111"/>
      <w:bookmarkEnd w:id="112"/>
      <w:r>
        <w:rPr>
          <w:rFonts w:hint="eastAsia" w:ascii="Calibri" w:hAnsi="Calibri"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相比北京</w:t>
      </w:r>
      <w:r>
        <w:rPr>
          <w:rFonts w:hint="eastAsia" w:ascii="Calibri" w:hAnsi="Calibri"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上海</w:t>
      </w:r>
      <w:r>
        <w:rPr>
          <w:rFonts w:hint="eastAsia" w:ascii="Calibri" w:hAnsi="Calibri"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南沙区公共数据社会化运营模式探索实践处于起步阶段</w:t>
      </w:r>
      <w:r>
        <w:rPr>
          <w:rFonts w:hint="eastAsia" w:ascii="Calibri" w:hAnsi="Calibri"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val="0"/>
          <w:bCs w:val="0"/>
          <w:color w:val="000000"/>
          <w:kern w:val="2"/>
          <w:sz w:val="32"/>
          <w:szCs w:val="32"/>
          <w:highlight w:val="none"/>
          <w:lang w:val="en-US" w:eastAsia="zh-CN" w:bidi="ar-SA"/>
        </w:rPr>
        <w:t>在数字经济领域规则制定方面</w:t>
      </w:r>
      <w:r>
        <w:rPr>
          <w:rFonts w:hint="default" w:ascii="Times New Roman" w:hAnsi="Times New Roman" w:eastAsia="仿宋_GB2312" w:cs="Times New Roman"/>
          <w:color w:val="000000"/>
          <w:kern w:val="2"/>
          <w:sz w:val="32"/>
          <w:szCs w:val="32"/>
          <w:highlight w:val="none"/>
          <w:lang w:val="en-US" w:eastAsia="zh-CN" w:bidi="ar-SA"/>
        </w:rPr>
        <w:t>，对标CPTPP、RCEP、DEPA等规则，南沙</w:t>
      </w:r>
      <w:r>
        <w:rPr>
          <w:rFonts w:hint="eastAsia" w:ascii="Calibri" w:hAnsi="Calibri" w:eastAsia="仿宋_GB2312" w:cs="Times New Roman"/>
          <w:color w:val="000000"/>
          <w:kern w:val="2"/>
          <w:sz w:val="32"/>
          <w:szCs w:val="32"/>
          <w:highlight w:val="none"/>
          <w:lang w:val="en-US" w:eastAsia="zh-CN" w:bidi="ar-SA"/>
        </w:rPr>
        <w:t>区</w:t>
      </w:r>
      <w:r>
        <w:rPr>
          <w:rFonts w:hint="default" w:ascii="Times New Roman" w:hAnsi="Times New Roman" w:eastAsia="仿宋_GB2312" w:cs="Times New Roman"/>
          <w:color w:val="000000"/>
          <w:kern w:val="2"/>
          <w:sz w:val="32"/>
          <w:szCs w:val="32"/>
          <w:highlight w:val="none"/>
          <w:lang w:val="en-US" w:eastAsia="zh-CN" w:bidi="ar-SA"/>
        </w:rPr>
        <w:t>在数据跨境流动、数字贸易便利化、数字跨境监管和安全保护等领域先行先试力度还需加强。</w:t>
      </w:r>
    </w:p>
    <w:p w14:paraId="55EE1F57">
      <w:pPr>
        <w:keepNext w:val="0"/>
        <w:keepLines w:val="0"/>
        <w:pageBreakBefore w:val="0"/>
        <w:widowControl w:val="0"/>
        <w:kinsoku/>
        <w:wordWrap/>
        <w:overflowPunct/>
        <w:topLinePunct w:val="0"/>
        <w:autoSpaceDE/>
        <w:autoSpaceDN/>
        <w:bidi w:val="0"/>
        <w:snapToGrid/>
        <w:spacing w:line="560" w:lineRule="exact"/>
        <w:ind w:firstLine="643" w:firstLineChars="200"/>
        <w:jc w:val="both"/>
        <w:textAlignment w:val="auto"/>
        <w:outlineLvl w:val="9"/>
        <w:rPr>
          <w:rFonts w:hint="default" w:ascii="Times New Roman" w:hAnsi="Times New Roman" w:eastAsia="仿宋_GB2312" w:cs="Times New Roman"/>
          <w:color w:val="000000"/>
          <w:kern w:val="2"/>
          <w:sz w:val="32"/>
          <w:szCs w:val="32"/>
          <w:highlight w:val="none"/>
          <w:lang w:val="en-US" w:eastAsia="zh-CN" w:bidi="ar-SA"/>
        </w:rPr>
      </w:pPr>
      <w:bookmarkStart w:id="113" w:name="_Toc17590"/>
      <w:bookmarkStart w:id="114" w:name="_Toc25926"/>
      <w:r>
        <w:rPr>
          <w:rFonts w:hint="eastAsia" w:ascii="Calibri" w:hAnsi="Calibri" w:eastAsia="仿宋_GB2312" w:cs="Times New Roman"/>
          <w:b/>
          <w:bCs/>
          <w:color w:val="auto"/>
          <w:kern w:val="2"/>
          <w:sz w:val="32"/>
          <w:szCs w:val="32"/>
          <w:highlight w:val="none"/>
          <w:lang w:val="en-US" w:eastAsia="zh-CN" w:bidi="ar-SA"/>
        </w:rPr>
        <w:t>五是</w:t>
      </w:r>
      <w:r>
        <w:rPr>
          <w:rFonts w:hint="default" w:ascii="Times New Roman" w:hAnsi="Times New Roman" w:eastAsia="仿宋_GB2312" w:cs="Times New Roman"/>
          <w:b/>
          <w:bCs/>
          <w:color w:val="auto"/>
          <w:kern w:val="2"/>
          <w:sz w:val="32"/>
          <w:szCs w:val="32"/>
          <w:highlight w:val="none"/>
          <w:lang w:val="en-US" w:eastAsia="zh-CN" w:bidi="ar-SA"/>
        </w:rPr>
        <w:t>资源配套不足发展环境待优化</w:t>
      </w:r>
      <w:bookmarkEnd w:id="113"/>
      <w:bookmarkEnd w:id="114"/>
      <w:r>
        <w:rPr>
          <w:rFonts w:hint="eastAsia" w:ascii="Calibri" w:hAnsi="Calibri" w:eastAsia="仿宋_GB2312" w:cs="Times New Roman"/>
          <w:b w:val="0"/>
          <w:bCs w:val="0"/>
          <w:color w:val="auto"/>
          <w:kern w:val="2"/>
          <w:sz w:val="32"/>
          <w:szCs w:val="32"/>
          <w:highlight w:val="none"/>
          <w:lang w:val="en-US" w:eastAsia="zh-CN" w:bidi="ar-SA"/>
        </w:rPr>
        <w:t>。</w:t>
      </w:r>
      <w:r>
        <w:rPr>
          <w:rFonts w:hint="eastAsia" w:ascii="Calibri" w:hAnsi="Calibri" w:eastAsia="仿宋_GB2312" w:cs="Times New Roman"/>
          <w:b w:val="0"/>
          <w:bCs w:val="0"/>
          <w:color w:val="000000"/>
          <w:kern w:val="2"/>
          <w:sz w:val="32"/>
          <w:szCs w:val="32"/>
          <w:highlight w:val="none"/>
          <w:lang w:val="en-US" w:eastAsia="zh-CN" w:bidi="ar-SA"/>
        </w:rPr>
        <w:t>区内</w:t>
      </w:r>
      <w:r>
        <w:rPr>
          <w:rFonts w:hint="default" w:ascii="Times New Roman" w:hAnsi="Times New Roman" w:eastAsia="仿宋_GB2312" w:cs="Times New Roman"/>
          <w:b w:val="0"/>
          <w:bCs w:val="0"/>
          <w:color w:val="000000"/>
          <w:kern w:val="2"/>
          <w:sz w:val="32"/>
          <w:szCs w:val="32"/>
          <w:highlight w:val="none"/>
          <w:lang w:val="en-US" w:eastAsia="zh-CN" w:bidi="ar-SA"/>
        </w:rPr>
        <w:t>数字产业人才总体缺口持续放大，对技术导向、具有一线经验的复合型、高技能人才</w:t>
      </w:r>
      <w:r>
        <w:rPr>
          <w:rFonts w:hint="eastAsia" w:ascii="Calibri" w:hAnsi="Calibri" w:eastAsia="仿宋_GB2312" w:cs="Times New Roman"/>
          <w:b w:val="0"/>
          <w:bCs w:val="0"/>
          <w:color w:val="000000"/>
          <w:kern w:val="2"/>
          <w:sz w:val="32"/>
          <w:szCs w:val="32"/>
          <w:highlight w:val="none"/>
          <w:lang w:val="en-US" w:eastAsia="zh-CN" w:bidi="ar-SA"/>
        </w:rPr>
        <w:t>供给不足问题</w:t>
      </w:r>
      <w:r>
        <w:rPr>
          <w:rFonts w:hint="default" w:ascii="Times New Roman" w:hAnsi="Times New Roman" w:eastAsia="仿宋_GB2312" w:cs="Times New Roman"/>
          <w:b w:val="0"/>
          <w:bCs w:val="0"/>
          <w:color w:val="000000"/>
          <w:kern w:val="2"/>
          <w:sz w:val="32"/>
          <w:szCs w:val="32"/>
          <w:highlight w:val="none"/>
          <w:lang w:val="en-US" w:eastAsia="zh-CN" w:bidi="ar-SA"/>
        </w:rPr>
        <w:t>突出。</w:t>
      </w:r>
      <w:r>
        <w:rPr>
          <w:rFonts w:hint="default" w:ascii="Times New Roman" w:hAnsi="Times New Roman" w:eastAsia="仿宋_GB2312" w:cs="Times New Roman"/>
          <w:color w:val="000000"/>
          <w:kern w:val="2"/>
          <w:sz w:val="32"/>
          <w:szCs w:val="32"/>
          <w:highlight w:val="none"/>
          <w:lang w:val="en-US" w:eastAsia="zh-CN" w:bidi="ar-SA"/>
        </w:rPr>
        <w:t>南沙</w:t>
      </w:r>
      <w:r>
        <w:rPr>
          <w:rFonts w:hint="eastAsia" w:ascii="Calibri" w:hAnsi="Calibri" w:eastAsia="仿宋_GB2312" w:cs="Times New Roman"/>
          <w:color w:val="000000"/>
          <w:kern w:val="2"/>
          <w:sz w:val="32"/>
          <w:szCs w:val="32"/>
          <w:highlight w:val="none"/>
          <w:lang w:val="en-US" w:eastAsia="zh-CN" w:bidi="ar-SA"/>
        </w:rPr>
        <w:t>区</w:t>
      </w:r>
      <w:r>
        <w:rPr>
          <w:rFonts w:hint="default" w:ascii="Times New Roman" w:hAnsi="Times New Roman" w:eastAsia="仿宋_GB2312" w:cs="Times New Roman"/>
          <w:color w:val="000000"/>
          <w:kern w:val="2"/>
          <w:sz w:val="32"/>
          <w:szCs w:val="32"/>
          <w:highlight w:val="none"/>
          <w:lang w:val="en-US" w:eastAsia="zh-CN" w:bidi="ar-SA"/>
        </w:rPr>
        <w:t>与广州中心城区、机场、高铁站等枢纽地区交通衔接还不够顺畅高效，不利于重大项目引进和各类资源集聚。</w:t>
      </w:r>
    </w:p>
    <w:p w14:paraId="0582A3E4">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115" w:name="_Toc8565"/>
      <w:bookmarkStart w:id="116" w:name="_Toc7031"/>
      <w:bookmarkStart w:id="117" w:name="_Toc2849"/>
      <w:bookmarkStart w:id="118" w:name="_Toc12702"/>
      <w:r>
        <w:rPr>
          <w:rFonts w:hint="default" w:ascii="楷体_GB2312" w:hAnsi="楷体_GB2312" w:eastAsia="楷体_GB2312" w:cs="楷体_GB2312"/>
          <w:sz w:val="32"/>
          <w:highlight w:val="none"/>
          <w:lang w:val="en-US" w:eastAsia="zh-CN"/>
        </w:rPr>
        <w:t>（三）面临形势</w:t>
      </w:r>
      <w:bookmarkEnd w:id="115"/>
      <w:bookmarkEnd w:id="116"/>
      <w:bookmarkEnd w:id="117"/>
      <w:bookmarkEnd w:id="118"/>
    </w:p>
    <w:p w14:paraId="77E62C9A">
      <w:pPr>
        <w:widowControl w:val="0"/>
        <w:autoSpaceDE/>
        <w:autoSpaceDN/>
        <w:bidi w:val="0"/>
        <w:spacing w:line="560" w:lineRule="exact"/>
        <w:ind w:firstLine="643" w:firstLineChars="200"/>
        <w:jc w:val="both"/>
        <w:textAlignment w:val="auto"/>
        <w:outlineLvl w:val="2"/>
        <w:rPr>
          <w:rFonts w:hint="default" w:ascii="Times New Roman" w:hAnsi="Times New Roman" w:eastAsia="仿宋_GB2312" w:cs="Times New Roman"/>
          <w:b/>
          <w:bCs/>
          <w:color w:val="auto"/>
          <w:kern w:val="2"/>
          <w:sz w:val="32"/>
          <w:szCs w:val="32"/>
          <w:highlight w:val="none"/>
          <w:lang w:val="en-US" w:eastAsia="zh-CN" w:bidi="ar-SA"/>
        </w:rPr>
      </w:pPr>
      <w:bookmarkStart w:id="119" w:name="_Toc26334"/>
      <w:bookmarkStart w:id="120" w:name="_Toc3421"/>
      <w:bookmarkStart w:id="121" w:name="_Toc26802"/>
      <w:bookmarkStart w:id="122" w:name="_Toc20491"/>
      <w:bookmarkStart w:id="123" w:name="_Toc24943"/>
      <w:bookmarkStart w:id="124" w:name="_Toc29558"/>
      <w:bookmarkStart w:id="125" w:name="_Toc24595"/>
      <w:bookmarkStart w:id="126" w:name="_Toc19196"/>
      <w:bookmarkStart w:id="127" w:name="_Toc5323"/>
      <w:bookmarkStart w:id="128" w:name="_Toc9570"/>
      <w:bookmarkStart w:id="129" w:name="_Toc6727"/>
      <w:r>
        <w:rPr>
          <w:rFonts w:hint="default" w:ascii="Times New Roman" w:hAnsi="Times New Roman" w:eastAsia="仿宋_GB2312" w:cs="Times New Roman"/>
          <w:b/>
          <w:bCs/>
          <w:color w:val="auto"/>
          <w:kern w:val="2"/>
          <w:sz w:val="32"/>
          <w:szCs w:val="32"/>
          <w:highlight w:val="none"/>
          <w:lang w:val="en-US" w:eastAsia="zh-CN" w:bidi="ar-SA"/>
        </w:rPr>
        <w:t>1.放眼全球，数字技术加速突破，数字经济方兴未艾</w:t>
      </w:r>
      <w:bookmarkEnd w:id="119"/>
      <w:bookmarkEnd w:id="120"/>
      <w:bookmarkEnd w:id="121"/>
      <w:bookmarkEnd w:id="122"/>
      <w:bookmarkEnd w:id="123"/>
      <w:bookmarkEnd w:id="124"/>
      <w:bookmarkEnd w:id="125"/>
      <w:bookmarkEnd w:id="126"/>
      <w:bookmarkEnd w:id="127"/>
      <w:bookmarkEnd w:id="128"/>
      <w:bookmarkEnd w:id="129"/>
    </w:p>
    <w:p w14:paraId="51DFDCC4">
      <w:pPr>
        <w:autoSpaceDE w:val="0"/>
        <w:autoSpaceDN w:val="0"/>
        <w:bidi w:val="0"/>
        <w:spacing w:line="560" w:lineRule="exact"/>
        <w:ind w:firstLine="640" w:firstLineChars="200"/>
        <w:jc w:val="both"/>
        <w:textAlignment w:val="bottom"/>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各国和地区数字化发展战略深入推进实施，以数字技术为代表的创新多领域、群体性加速突破，数字基础设施、数字化转型、数据要素交易、数字金融等关键领域加快布局，实体经济与数字经济融合广度深度不断扩展，新模式新业态持续涌现，产业组织形态和实体经济形态不断重塑。数字经济发展大幕开启并持续快速增长，为南沙</w:t>
      </w:r>
      <w:r>
        <w:rPr>
          <w:rFonts w:hint="eastAsia" w:ascii="Times New Roman" w:hAnsi="Times New Roman" w:eastAsia="仿宋_GB2312" w:cs="Times New Roman"/>
          <w:sz w:val="32"/>
          <w:highlight w:val="none"/>
          <w:lang w:val="en-US" w:eastAsia="zh-CN"/>
        </w:rPr>
        <w:t>区</w:t>
      </w:r>
      <w:r>
        <w:rPr>
          <w:rFonts w:hint="default" w:ascii="Times New Roman" w:hAnsi="Times New Roman" w:eastAsia="仿宋_GB2312" w:cs="Times New Roman"/>
          <w:sz w:val="32"/>
          <w:highlight w:val="none"/>
          <w:lang w:val="en-US" w:eastAsia="zh-CN"/>
        </w:rPr>
        <w:t>建设世界级数字经济发展战略平台提供了广阔的市场前景和历史性机遇。</w:t>
      </w:r>
    </w:p>
    <w:p w14:paraId="69922225">
      <w:pPr>
        <w:widowControl w:val="0"/>
        <w:autoSpaceDE/>
        <w:autoSpaceDN/>
        <w:bidi w:val="0"/>
        <w:spacing w:line="560" w:lineRule="exact"/>
        <w:ind w:firstLine="643" w:firstLineChars="200"/>
        <w:jc w:val="both"/>
        <w:textAlignment w:val="auto"/>
        <w:outlineLvl w:val="2"/>
        <w:rPr>
          <w:rFonts w:hint="default" w:ascii="Times New Roman" w:hAnsi="Times New Roman" w:eastAsia="仿宋_GB2312" w:cs="Times New Roman"/>
          <w:b/>
          <w:bCs/>
          <w:color w:val="auto"/>
          <w:kern w:val="2"/>
          <w:sz w:val="32"/>
          <w:szCs w:val="32"/>
          <w:highlight w:val="none"/>
          <w:lang w:val="en-US" w:eastAsia="zh-CN" w:bidi="ar-SA"/>
        </w:rPr>
      </w:pPr>
      <w:bookmarkStart w:id="130" w:name="_Toc14242"/>
      <w:bookmarkStart w:id="131" w:name="_Toc12192"/>
      <w:bookmarkStart w:id="132" w:name="_Toc21355"/>
      <w:bookmarkStart w:id="133" w:name="_Toc26807"/>
      <w:bookmarkStart w:id="134" w:name="_Toc31125"/>
      <w:bookmarkStart w:id="135" w:name="_Toc1382"/>
      <w:bookmarkStart w:id="136" w:name="_Toc9379"/>
      <w:bookmarkStart w:id="137" w:name="_Toc8209"/>
      <w:bookmarkStart w:id="138" w:name="_Toc31073"/>
      <w:bookmarkStart w:id="139" w:name="_Toc30214"/>
      <w:bookmarkStart w:id="140" w:name="_Toc1336"/>
      <w:r>
        <w:rPr>
          <w:rFonts w:hint="default" w:ascii="Times New Roman" w:hAnsi="Times New Roman" w:eastAsia="仿宋_GB2312" w:cs="Times New Roman"/>
          <w:b/>
          <w:bCs/>
          <w:color w:val="auto"/>
          <w:kern w:val="2"/>
          <w:sz w:val="32"/>
          <w:szCs w:val="32"/>
          <w:highlight w:val="none"/>
          <w:lang w:val="en-US" w:eastAsia="zh-CN" w:bidi="ar-SA"/>
        </w:rPr>
        <w:t>2.面向国内，党和国家高度重视，政策体系持续完善</w:t>
      </w:r>
      <w:bookmarkEnd w:id="130"/>
      <w:bookmarkEnd w:id="131"/>
      <w:bookmarkEnd w:id="132"/>
      <w:bookmarkEnd w:id="133"/>
      <w:bookmarkEnd w:id="134"/>
      <w:bookmarkEnd w:id="135"/>
      <w:bookmarkEnd w:id="136"/>
      <w:bookmarkEnd w:id="137"/>
      <w:bookmarkEnd w:id="138"/>
      <w:bookmarkEnd w:id="139"/>
      <w:bookmarkEnd w:id="140"/>
    </w:p>
    <w:p w14:paraId="3A96831B">
      <w:pPr>
        <w:autoSpaceDE w:val="0"/>
        <w:autoSpaceDN w:val="0"/>
        <w:bidi w:val="0"/>
        <w:spacing w:line="560" w:lineRule="exact"/>
        <w:ind w:firstLine="640" w:firstLineChars="200"/>
        <w:jc w:val="both"/>
        <w:textAlignment w:val="bottom"/>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党的十八大以来，党和国家高度重视发展数字经济，以习近平同志为核心的党中央审时度势、运筹帷幄，为数字经济发展谋布局、把舵定向。当前，我国数字经济进入深化应用、规范发展、红利释放的新阶段，党的二十大明确提出加快发展数字经济，《</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十四五</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数字经济发展规划》《数字中国建设整体布局规划》相继出台，明确了数字经济发展顶层设计和目标任务，为南沙</w:t>
      </w:r>
      <w:r>
        <w:rPr>
          <w:rFonts w:hint="eastAsia" w:ascii="Times New Roman" w:hAnsi="Times New Roman" w:eastAsia="仿宋_GB2312" w:cs="Times New Roman"/>
          <w:sz w:val="32"/>
          <w:highlight w:val="none"/>
          <w:lang w:val="en-US" w:eastAsia="zh-CN"/>
        </w:rPr>
        <w:t>区</w:t>
      </w:r>
      <w:r>
        <w:rPr>
          <w:rFonts w:hint="default" w:ascii="Times New Roman" w:hAnsi="Times New Roman" w:eastAsia="仿宋_GB2312" w:cs="Times New Roman"/>
          <w:sz w:val="32"/>
          <w:highlight w:val="none"/>
          <w:lang w:val="en-US" w:eastAsia="zh-CN"/>
        </w:rPr>
        <w:t>开展数字经济示范试点、抢占发展高地指明了方向。</w:t>
      </w:r>
    </w:p>
    <w:p w14:paraId="590CCD02">
      <w:pPr>
        <w:widowControl w:val="0"/>
        <w:autoSpaceDE/>
        <w:autoSpaceDN/>
        <w:bidi w:val="0"/>
        <w:spacing w:line="560" w:lineRule="exact"/>
        <w:ind w:firstLine="643" w:firstLineChars="200"/>
        <w:jc w:val="both"/>
        <w:textAlignment w:val="auto"/>
        <w:outlineLvl w:val="2"/>
        <w:rPr>
          <w:rFonts w:hint="default" w:ascii="Times New Roman" w:hAnsi="Times New Roman" w:eastAsia="仿宋_GB2312" w:cs="Times New Roman"/>
          <w:b/>
          <w:bCs/>
          <w:color w:val="auto"/>
          <w:kern w:val="2"/>
          <w:sz w:val="32"/>
          <w:szCs w:val="32"/>
          <w:highlight w:val="none"/>
          <w:lang w:val="en-US" w:eastAsia="zh-CN" w:bidi="ar-SA"/>
        </w:rPr>
      </w:pPr>
      <w:bookmarkStart w:id="141" w:name="_Toc29523"/>
      <w:bookmarkStart w:id="142" w:name="_Toc23679"/>
      <w:bookmarkStart w:id="143" w:name="_Toc12908"/>
      <w:bookmarkStart w:id="144" w:name="_Toc6616"/>
      <w:bookmarkStart w:id="145" w:name="_Toc29803"/>
      <w:bookmarkStart w:id="146" w:name="_Toc27615"/>
      <w:bookmarkStart w:id="147" w:name="_Toc23906"/>
      <w:bookmarkStart w:id="148" w:name="_Toc12808"/>
      <w:bookmarkStart w:id="149" w:name="_Toc17974"/>
      <w:bookmarkStart w:id="150" w:name="_Toc14558"/>
      <w:bookmarkStart w:id="151" w:name="_Toc10116"/>
      <w:r>
        <w:rPr>
          <w:rFonts w:hint="default" w:ascii="Times New Roman" w:hAnsi="Times New Roman" w:eastAsia="仿宋_GB2312" w:cs="Times New Roman"/>
          <w:b/>
          <w:bCs/>
          <w:color w:val="auto"/>
          <w:kern w:val="2"/>
          <w:sz w:val="32"/>
          <w:szCs w:val="32"/>
          <w:highlight w:val="none"/>
          <w:lang w:val="en-US" w:eastAsia="zh-CN" w:bidi="ar-SA"/>
        </w:rPr>
        <w:t>3.立足湾区，数字化成为新引擎，战略价值加速彰显</w:t>
      </w:r>
      <w:bookmarkEnd w:id="141"/>
      <w:bookmarkEnd w:id="142"/>
      <w:bookmarkEnd w:id="143"/>
      <w:bookmarkEnd w:id="144"/>
      <w:bookmarkEnd w:id="145"/>
      <w:bookmarkEnd w:id="146"/>
      <w:bookmarkEnd w:id="147"/>
      <w:bookmarkEnd w:id="148"/>
      <w:bookmarkEnd w:id="149"/>
      <w:bookmarkEnd w:id="150"/>
      <w:bookmarkEnd w:id="151"/>
    </w:p>
    <w:p w14:paraId="627F7EEA">
      <w:pPr>
        <w:autoSpaceDE w:val="0"/>
        <w:autoSpaceDN w:val="0"/>
        <w:bidi w:val="0"/>
        <w:spacing w:line="560" w:lineRule="exact"/>
        <w:ind w:firstLine="640" w:firstLineChars="200"/>
        <w:jc w:val="both"/>
        <w:textAlignment w:val="bottom"/>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作为国家数字经济创新发展试验区，广东正以</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数字湾区</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建设为抓手，全面推进数字广东战略实施以及大湾区数字化发展。作为大湾区重要合作平台，自《南沙方案》印发以来，南沙</w:t>
      </w:r>
      <w:r>
        <w:rPr>
          <w:rFonts w:hint="default" w:ascii="Times New Roman" w:hAnsi="Times New Roman" w:eastAsia="仿宋_GB2312" w:cs="Times New Roman"/>
          <w:sz w:val="32"/>
          <w:highlight w:val="none"/>
        </w:rPr>
        <w:t>加快打造立足湾区、协同港澳、面向世界的重大战略性平台</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海关总署、最高人民法院、国家发展改革委等部门相继出台政策举措，支持南沙深化面向世界的粤港澳全面合作，为南沙</w:t>
      </w:r>
      <w:r>
        <w:rPr>
          <w:rFonts w:hint="eastAsia" w:ascii="Times New Roman" w:hAnsi="Times New Roman" w:eastAsia="仿宋_GB2312" w:cs="Times New Roman"/>
          <w:sz w:val="32"/>
          <w:highlight w:val="none"/>
          <w:lang w:val="en-US" w:eastAsia="zh-CN"/>
        </w:rPr>
        <w:t>区</w:t>
      </w:r>
      <w:r>
        <w:rPr>
          <w:rFonts w:hint="default" w:ascii="Times New Roman" w:hAnsi="Times New Roman" w:eastAsia="仿宋_GB2312" w:cs="Times New Roman"/>
          <w:sz w:val="32"/>
          <w:highlight w:val="none"/>
          <w:lang w:val="en-US" w:eastAsia="zh-CN"/>
        </w:rPr>
        <w:t>进一步提升战略定位、推动粤港澳全面合作示范区建设、实现数字经济领域创新突破提供新契机。</w:t>
      </w:r>
    </w:p>
    <w:p w14:paraId="618D933A">
      <w:pPr>
        <w:autoSpaceDE w:val="0"/>
        <w:autoSpaceDN w:val="0"/>
        <w:bidi w:val="0"/>
        <w:spacing w:line="560" w:lineRule="exact"/>
        <w:ind w:firstLine="643" w:firstLineChars="200"/>
        <w:jc w:val="both"/>
        <w:textAlignment w:val="bottom"/>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lang w:val="en-US" w:eastAsia="zh-CN"/>
        </w:rPr>
        <w:t>综合判断</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lang w:val="en-US" w:eastAsia="zh-CN"/>
        </w:rPr>
        <w:t>南沙区</w:t>
      </w:r>
      <w:r>
        <w:rPr>
          <w:rFonts w:hint="default" w:ascii="Times New Roman" w:hAnsi="Times New Roman" w:eastAsia="仿宋_GB2312" w:cs="Times New Roman"/>
          <w:sz w:val="32"/>
          <w:highlight w:val="none"/>
          <w:lang w:val="en-US" w:eastAsia="zh-CN"/>
        </w:rPr>
        <w:t>地处全国数字经济最具活力的区域之一，应积极抢抓</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两个一百年</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奋斗目标历史交汇期带来的重大机遇，</w:t>
      </w:r>
      <w:r>
        <w:rPr>
          <w:rFonts w:hint="default" w:ascii="Times New Roman" w:hAnsi="Times New Roman" w:eastAsia="仿宋_GB2312" w:cs="Times New Roman"/>
          <w:b w:val="0"/>
          <w:bCs w:val="0"/>
          <w:kern w:val="2"/>
          <w:sz w:val="32"/>
          <w:szCs w:val="22"/>
          <w:highlight w:val="none"/>
          <w:lang w:val="en-US" w:eastAsia="zh-CN" w:bidi="ar-SA"/>
        </w:rPr>
        <w:t>以海港、空港、数港、金融港、人才港这五</w:t>
      </w:r>
      <w:r>
        <w:rPr>
          <w:rFonts w:hint="eastAsia" w:ascii="Times New Roman" w:hAnsi="Times New Roman" w:eastAsia="仿宋_GB2312" w:cs="Times New Roman"/>
          <w:b w:val="0"/>
          <w:bCs w:val="0"/>
          <w:kern w:val="2"/>
          <w:sz w:val="32"/>
          <w:szCs w:val="22"/>
          <w:highlight w:val="none"/>
          <w:lang w:val="en-US" w:eastAsia="zh-CN" w:bidi="ar-SA"/>
        </w:rPr>
        <w:t>“</w:t>
      </w:r>
      <w:r>
        <w:rPr>
          <w:rFonts w:hint="default" w:ascii="Times New Roman" w:hAnsi="Times New Roman" w:eastAsia="仿宋_GB2312" w:cs="Times New Roman"/>
          <w:b w:val="0"/>
          <w:bCs w:val="0"/>
          <w:kern w:val="2"/>
          <w:sz w:val="32"/>
          <w:szCs w:val="22"/>
          <w:highlight w:val="none"/>
          <w:lang w:val="en-US" w:eastAsia="zh-CN" w:bidi="ar-SA"/>
        </w:rPr>
        <w:t>港</w:t>
      </w:r>
      <w:r>
        <w:rPr>
          <w:rFonts w:hint="eastAsia" w:ascii="Times New Roman" w:hAnsi="Times New Roman" w:eastAsia="仿宋_GB2312" w:cs="Times New Roman"/>
          <w:b w:val="0"/>
          <w:bCs w:val="0"/>
          <w:kern w:val="2"/>
          <w:sz w:val="32"/>
          <w:szCs w:val="22"/>
          <w:highlight w:val="none"/>
          <w:lang w:val="en-US" w:eastAsia="zh-CN" w:bidi="ar-SA"/>
        </w:rPr>
        <w:t>”</w:t>
      </w:r>
      <w:r>
        <w:rPr>
          <w:rFonts w:hint="default" w:ascii="Times New Roman" w:hAnsi="Times New Roman" w:eastAsia="仿宋_GB2312" w:cs="Times New Roman"/>
          <w:b w:val="0"/>
          <w:bCs w:val="0"/>
          <w:kern w:val="2"/>
          <w:sz w:val="32"/>
          <w:szCs w:val="22"/>
          <w:highlight w:val="none"/>
          <w:lang w:val="en-US" w:eastAsia="zh-CN" w:bidi="ar-SA"/>
        </w:rPr>
        <w:t>联动为牵引，</w:t>
      </w:r>
      <w:r>
        <w:rPr>
          <w:rFonts w:hint="default" w:ascii="Times New Roman" w:hAnsi="Times New Roman" w:eastAsia="仿宋_GB2312" w:cs="Times New Roman"/>
          <w:sz w:val="32"/>
          <w:highlight w:val="none"/>
          <w:lang w:val="en-US" w:eastAsia="zh-CN"/>
        </w:rPr>
        <w:t>加快发展数字经济，打造</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南沙数港</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进一步重塑数字经济的产业链架构、产品和服务形态、商业模式和治理方式，不仅是顺应时代发展脉搏、实现数字经济跨越式发展的客观选择，更是支撑广州建设出新出彩的全球数字经济活力城市、应对日益激烈的国际数字经济竞争的有为之举。</w:t>
      </w:r>
    </w:p>
    <w:p w14:paraId="0585748E">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default" w:ascii="Times New Roman" w:hAnsi="Times New Roman" w:eastAsia="黑体" w:cs="Times New Roman"/>
          <w:b w:val="0"/>
          <w:bCs/>
          <w:i w:val="0"/>
          <w:kern w:val="44"/>
          <w:sz w:val="32"/>
          <w:szCs w:val="48"/>
          <w:highlight w:val="none"/>
          <w:lang w:val="en-US" w:eastAsia="zh-CN" w:bidi="ar"/>
        </w:rPr>
      </w:pPr>
      <w:bookmarkStart w:id="152" w:name="_Toc11869"/>
      <w:bookmarkStart w:id="153" w:name="_Toc15381"/>
      <w:bookmarkStart w:id="154" w:name="_Toc16168"/>
      <w:r>
        <w:rPr>
          <w:rFonts w:hint="default" w:ascii="Times New Roman" w:hAnsi="Times New Roman" w:eastAsia="黑体" w:cs="Times New Roman"/>
          <w:b w:val="0"/>
          <w:bCs/>
          <w:i w:val="0"/>
          <w:kern w:val="44"/>
          <w:sz w:val="32"/>
          <w:szCs w:val="48"/>
          <w:highlight w:val="none"/>
          <w:lang w:val="en-US" w:eastAsia="zh-CN" w:bidi="ar"/>
        </w:rPr>
        <w:t>二、</w:t>
      </w:r>
      <w:bookmarkEnd w:id="152"/>
      <w:bookmarkEnd w:id="153"/>
      <w:bookmarkEnd w:id="154"/>
      <w:r>
        <w:rPr>
          <w:rFonts w:hint="default" w:ascii="Times New Roman" w:hAnsi="Times New Roman" w:eastAsia="黑体" w:cs="Times New Roman"/>
          <w:b w:val="0"/>
          <w:bCs/>
          <w:i w:val="0"/>
          <w:kern w:val="44"/>
          <w:sz w:val="32"/>
          <w:szCs w:val="48"/>
          <w:highlight w:val="none"/>
          <w:lang w:val="en-US" w:eastAsia="zh-CN" w:bidi="ar"/>
        </w:rPr>
        <w:t>发展要求与目标</w:t>
      </w:r>
    </w:p>
    <w:p w14:paraId="7EB71805">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155" w:name="_Toc31950"/>
      <w:bookmarkStart w:id="156" w:name="_Toc9617"/>
      <w:bookmarkStart w:id="157" w:name="_Toc3238"/>
      <w:r>
        <w:rPr>
          <w:rFonts w:hint="default" w:ascii="楷体_GB2312" w:hAnsi="楷体_GB2312" w:eastAsia="楷体_GB2312" w:cs="楷体_GB2312"/>
          <w:sz w:val="32"/>
          <w:highlight w:val="none"/>
          <w:lang w:val="en-US" w:eastAsia="zh-CN"/>
        </w:rPr>
        <w:t>（一）</w:t>
      </w:r>
      <w:bookmarkEnd w:id="155"/>
      <w:bookmarkEnd w:id="156"/>
      <w:bookmarkEnd w:id="157"/>
      <w:r>
        <w:rPr>
          <w:rFonts w:hint="eastAsia" w:ascii="楷体_GB2312" w:hAnsi="楷体_GB2312" w:eastAsia="楷体_GB2312" w:cs="楷体_GB2312"/>
          <w:sz w:val="32"/>
          <w:highlight w:val="none"/>
          <w:lang w:val="en-US" w:eastAsia="zh-CN"/>
        </w:rPr>
        <w:t>总体要求</w:t>
      </w:r>
    </w:p>
    <w:p w14:paraId="794037CA">
      <w:pPr>
        <w:widowControl w:val="0"/>
        <w:autoSpaceDE w:val="0"/>
        <w:autoSpaceDN w:val="0"/>
        <w:spacing w:afterAutospacing="0" w:line="560" w:lineRule="exact"/>
        <w:ind w:firstLine="640" w:firstLineChars="200"/>
        <w:jc w:val="both"/>
        <w:textAlignment w:val="bottom"/>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以习近平新时代中国特色社会主义思想为指导，全面贯彻党的二十大和二十届一中、二中、三中全会精神，认真落实习近平总书记关于发展数字经济以及对广东重要讲话和重要指示批示精神，按照广东省委</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1310</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具体部署和广州市委</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1312</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思路举措，抓住南沙深化面向世界的粤港澳全面合作的有利机遇</w:t>
      </w:r>
      <w:r>
        <w:rPr>
          <w:rFonts w:hint="default" w:ascii="Times New Roman" w:hAnsi="Times New Roman" w:eastAsia="仿宋_GB2312" w:cs="Times New Roman"/>
          <w:b w:val="0"/>
          <w:bCs w:val="0"/>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推动南沙区数字经济实现跨越式发展，为广州建设</w:t>
      </w:r>
      <w:r>
        <w:rPr>
          <w:rFonts w:hint="default" w:ascii="Times New Roman" w:hAnsi="Times New Roman" w:eastAsia="仿宋_GB2312" w:cs="Times New Roman"/>
          <w:sz w:val="32"/>
          <w:highlight w:val="none"/>
        </w:rPr>
        <w:t>世界领先的数字经济引领型城市和数产融合的全球标杆城市</w:t>
      </w:r>
      <w:r>
        <w:rPr>
          <w:rFonts w:hint="default" w:ascii="Times New Roman" w:hAnsi="Times New Roman" w:eastAsia="仿宋_GB2312" w:cs="Times New Roman"/>
          <w:kern w:val="2"/>
          <w:sz w:val="32"/>
          <w:szCs w:val="22"/>
          <w:highlight w:val="none"/>
          <w:lang w:val="en-US" w:eastAsia="zh-CN" w:bidi="ar-SA"/>
        </w:rPr>
        <w:t>、广东打造国家数字经济创新发展试验区、推动</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数字湾区</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高质量建设贡献南沙力量。</w:t>
      </w:r>
    </w:p>
    <w:p w14:paraId="035583FB">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158" w:name="_Toc9712"/>
      <w:bookmarkStart w:id="159" w:name="_Toc12026"/>
      <w:bookmarkStart w:id="160" w:name="_Toc19406"/>
      <w:r>
        <w:rPr>
          <w:rFonts w:hint="default" w:ascii="楷体_GB2312" w:hAnsi="楷体_GB2312" w:eastAsia="楷体_GB2312" w:cs="楷体_GB2312"/>
          <w:sz w:val="32"/>
          <w:highlight w:val="none"/>
          <w:lang w:val="en-US" w:eastAsia="zh-CN"/>
        </w:rPr>
        <w:t>（二）基本原则</w:t>
      </w:r>
      <w:bookmarkEnd w:id="158"/>
      <w:bookmarkEnd w:id="159"/>
      <w:bookmarkEnd w:id="160"/>
    </w:p>
    <w:p w14:paraId="438A967A">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highlight w:val="none"/>
          <w:lang w:val="en-US" w:eastAsia="zh-CN"/>
        </w:rPr>
      </w:pPr>
      <w:r>
        <w:rPr>
          <w:rFonts w:hint="default" w:ascii="Times New Roman" w:hAnsi="Times New Roman" w:eastAsia="仿宋_GB2312" w:cs="Times New Roman"/>
          <w:b/>
          <w:bCs/>
          <w:sz w:val="32"/>
          <w:highlight w:val="none"/>
          <w:lang w:val="en-US" w:eastAsia="zh-CN"/>
        </w:rPr>
        <w:t>创新引领，先行先试。</w:t>
      </w:r>
      <w:r>
        <w:rPr>
          <w:rFonts w:hint="default" w:ascii="Times New Roman" w:hAnsi="Times New Roman" w:eastAsia="仿宋_GB2312" w:cs="Times New Roman"/>
          <w:b w:val="0"/>
          <w:bCs w:val="0"/>
          <w:sz w:val="32"/>
          <w:highlight w:val="none"/>
          <w:lang w:val="en-US" w:eastAsia="zh-CN"/>
        </w:rPr>
        <w:t>坚持把创新作为引领发展的第一动力，突出改革意识，加快推动数字技术、产业业态、商业模式和政策制度协同创新，在数据要素市场培育、核心产业集群打造、创新资源国际化配置等方面先行先试，在全国率先形成引领示范。</w:t>
      </w:r>
    </w:p>
    <w:p w14:paraId="18F987E6">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lang w:val="en-US" w:eastAsia="zh-CN"/>
        </w:rPr>
        <w:t>数据驱动，应用牵引。</w:t>
      </w:r>
      <w:r>
        <w:rPr>
          <w:rFonts w:hint="default" w:ascii="Times New Roman" w:hAnsi="Times New Roman" w:eastAsia="仿宋_GB2312" w:cs="Times New Roman"/>
          <w:b w:val="0"/>
          <w:bCs w:val="0"/>
          <w:sz w:val="32"/>
          <w:highlight w:val="none"/>
          <w:lang w:val="en-US" w:eastAsia="zh-CN"/>
        </w:rPr>
        <w:t>抓住数据这一关键要素，充分发挥数据要素的放大、叠加、倍增</w:t>
      </w:r>
      <w:r>
        <w:rPr>
          <w:rFonts w:hint="default" w:ascii="Times New Roman" w:hAnsi="Times New Roman" w:eastAsia="仿宋_GB2312" w:cs="Times New Roman"/>
          <w:sz w:val="32"/>
          <w:highlight w:val="none"/>
          <w:lang w:val="en-US" w:eastAsia="zh-CN"/>
        </w:rPr>
        <w:t>作用，以丰富应用场景为牵引，推动数据在不同场景中发挥千姿百态的乘数效应，着力推动数据链与产业链融合发展，促进数据基础资源优势转化为经济发展新优势。</w:t>
      </w:r>
    </w:p>
    <w:p w14:paraId="5CDEE4FE">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lang w:val="en-US" w:eastAsia="zh-CN"/>
        </w:rPr>
        <w:t>市场主导，突出特色。</w:t>
      </w:r>
      <w:r>
        <w:rPr>
          <w:rFonts w:hint="default" w:ascii="Times New Roman" w:hAnsi="Times New Roman" w:eastAsia="仿宋_GB2312" w:cs="Times New Roman"/>
          <w:sz w:val="32"/>
          <w:highlight w:val="none"/>
          <w:lang w:val="en-US" w:eastAsia="zh-CN"/>
        </w:rPr>
        <w:t xml:space="preserve">充分发挥市场对资源配置的决定性作用和企业的市场主体地位，加强政府引导和产学研用协同，激发全社会市场主体创新活力，立足产业基础和资源禀赋，聚焦数字经济新兴产业和未来产业，加快培育壮大具有南沙特色的数字产业集群。 </w:t>
      </w:r>
    </w:p>
    <w:p w14:paraId="7F99BA14">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lang w:val="en-US" w:eastAsia="zh-CN"/>
        </w:rPr>
        <w:t>安全有序，开放共赢。</w:t>
      </w:r>
      <w:r>
        <w:rPr>
          <w:rFonts w:hint="default" w:ascii="Times New Roman" w:hAnsi="Times New Roman" w:eastAsia="仿宋_GB2312" w:cs="Times New Roman"/>
          <w:sz w:val="32"/>
          <w:highlight w:val="none"/>
          <w:lang w:val="en-US" w:eastAsia="zh-CN"/>
        </w:rPr>
        <w:t>坚持发展与安全并重，建立包容，审慎的监管制度，保障数据和网络信息安全可控，确保</w:t>
      </w:r>
      <w:r>
        <w:rPr>
          <w:rFonts w:hint="default" w:ascii="Times New Roman" w:hAnsi="Times New Roman" w:eastAsia="仿宋_GB2312" w:cs="Times New Roman"/>
          <w:sz w:val="32"/>
          <w:highlight w:val="none"/>
        </w:rPr>
        <w:t>数字</w:t>
      </w:r>
      <w:r>
        <w:rPr>
          <w:rFonts w:hint="eastAsia" w:ascii="Times New Roman" w:hAnsi="Times New Roman" w:eastAsia="仿宋_GB2312" w:cs="Times New Roman"/>
          <w:sz w:val="32"/>
          <w:highlight w:val="none"/>
          <w:lang w:eastAsia="zh-CN"/>
        </w:rPr>
        <w:t>经济</w:t>
      </w:r>
      <w:r>
        <w:rPr>
          <w:rFonts w:hint="default" w:ascii="Times New Roman" w:hAnsi="Times New Roman" w:eastAsia="仿宋_GB2312" w:cs="Times New Roman"/>
          <w:sz w:val="32"/>
          <w:highlight w:val="none"/>
        </w:rPr>
        <w:t>治理</w:t>
      </w:r>
      <w:r>
        <w:rPr>
          <w:rFonts w:hint="default" w:ascii="Times New Roman" w:hAnsi="Times New Roman" w:eastAsia="仿宋_GB2312" w:cs="Times New Roman"/>
          <w:sz w:val="32"/>
          <w:highlight w:val="none"/>
          <w:lang w:val="en-US" w:eastAsia="zh-CN"/>
        </w:rPr>
        <w:t>规范有序。把握全球数字经济发展大趋势，加强与</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一带一路</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沿线国家开展数字经济交流合作，积极融入粤港澳大湾区建设，加快培育发展开放型数字经济。</w:t>
      </w:r>
    </w:p>
    <w:p w14:paraId="5EE9FEDD">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161" w:name="_Toc32100"/>
      <w:bookmarkStart w:id="162" w:name="_Toc25955"/>
      <w:bookmarkStart w:id="163" w:name="_Toc4310"/>
      <w:r>
        <w:rPr>
          <w:rFonts w:hint="default" w:ascii="楷体_GB2312" w:hAnsi="楷体_GB2312" w:eastAsia="楷体_GB2312" w:cs="楷体_GB2312"/>
          <w:sz w:val="32"/>
          <w:highlight w:val="none"/>
          <w:lang w:val="en-US" w:eastAsia="zh-CN"/>
        </w:rPr>
        <w:t>（三）</w:t>
      </w:r>
      <w:bookmarkEnd w:id="161"/>
      <w:r>
        <w:rPr>
          <w:rFonts w:hint="eastAsia" w:ascii="楷体_GB2312" w:hAnsi="楷体_GB2312" w:eastAsia="楷体_GB2312" w:cs="楷体_GB2312"/>
          <w:sz w:val="32"/>
          <w:highlight w:val="none"/>
          <w:lang w:val="en-US" w:eastAsia="zh-CN"/>
        </w:rPr>
        <w:t>发展思路</w:t>
      </w:r>
    </w:p>
    <w:p w14:paraId="55E672C5">
      <w:pPr>
        <w:autoSpaceDE w:val="0"/>
        <w:autoSpaceDN w:val="0"/>
        <w:spacing w:line="560" w:lineRule="exact"/>
        <w:ind w:firstLine="640" w:firstLineChars="200"/>
        <w:jc w:val="left"/>
        <w:textAlignment w:val="bottom"/>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按照“1+2+2+2”的发展思路推进南沙区数字经济发展，即坚持以激活数据要素潜能这</w:t>
      </w:r>
      <w:r>
        <w:rPr>
          <w:rFonts w:hint="eastAsia" w:ascii="Times New Roman" w:hAnsi="Times New Roman" w:eastAsia="仿宋_GB2312" w:cs="Times New Roman"/>
          <w:b/>
          <w:bCs/>
          <w:sz w:val="32"/>
          <w:lang w:val="en-US" w:eastAsia="zh-CN"/>
        </w:rPr>
        <w:t>1条主线</w:t>
      </w:r>
      <w:r>
        <w:rPr>
          <w:rFonts w:hint="eastAsia" w:ascii="Times New Roman" w:hAnsi="Times New Roman" w:eastAsia="仿宋_GB2312" w:cs="Times New Roman"/>
          <w:sz w:val="32"/>
          <w:lang w:val="en-US" w:eastAsia="zh-CN"/>
        </w:rPr>
        <w:t>，探索打造粤港澳大湾区数据服务核心枢纽；持续做强产业数字化和数字产业化</w:t>
      </w:r>
      <w:r>
        <w:rPr>
          <w:rFonts w:hint="eastAsia" w:ascii="Times New Roman" w:hAnsi="Times New Roman" w:eastAsia="仿宋_GB2312" w:cs="Times New Roman"/>
          <w:b/>
          <w:bCs/>
          <w:sz w:val="32"/>
          <w:lang w:val="en-US" w:eastAsia="zh-CN"/>
        </w:rPr>
        <w:t>2大主阵地</w:t>
      </w:r>
      <w:r>
        <w:rPr>
          <w:rFonts w:hint="eastAsia" w:ascii="Times New Roman" w:hAnsi="Times New Roman" w:eastAsia="仿宋_GB2312" w:cs="Times New Roman"/>
          <w:sz w:val="32"/>
          <w:lang w:val="en-US" w:eastAsia="zh-CN"/>
        </w:rPr>
        <w:t>实现“双轮驱动”，做大新一代电子信息、软件与信息服务业两大数字经济核心产业和做优“人工智能+”、元宇宙与数字创意、“陆海空天”无人体系三条新赛道，构建“新技术、新产业、新业态、新应用”为引领的数字产业集群，培育发展新质生产力，加快推动数字经济与工业、服务业、建筑业、农业等实体经济深度融合；持续完善数字化治理环境和数字“新基建”</w:t>
      </w:r>
      <w:r>
        <w:rPr>
          <w:rFonts w:hint="eastAsia" w:ascii="Times New Roman" w:hAnsi="Times New Roman" w:eastAsia="仿宋_GB2312" w:cs="Times New Roman"/>
          <w:b/>
          <w:bCs/>
          <w:sz w:val="32"/>
          <w:lang w:val="en-US" w:eastAsia="zh-CN"/>
        </w:rPr>
        <w:t>2大支撑体系</w:t>
      </w:r>
      <w:r>
        <w:rPr>
          <w:rFonts w:hint="eastAsia" w:ascii="Times New Roman" w:hAnsi="Times New Roman" w:eastAsia="仿宋_GB2312" w:cs="Times New Roman"/>
          <w:sz w:val="32"/>
          <w:lang w:val="en-US" w:eastAsia="zh-CN"/>
        </w:rPr>
        <w:t>；围绕粤港澳大湾区与国际数字交流合作，构建良好的内部与外部</w:t>
      </w:r>
      <w:r>
        <w:rPr>
          <w:rFonts w:hint="eastAsia" w:ascii="Times New Roman" w:hAnsi="Times New Roman" w:eastAsia="仿宋_GB2312" w:cs="Times New Roman"/>
          <w:b/>
          <w:bCs/>
          <w:sz w:val="32"/>
          <w:lang w:val="en-US" w:eastAsia="zh-CN"/>
        </w:rPr>
        <w:t>2大发展环境</w:t>
      </w:r>
      <w:r>
        <w:rPr>
          <w:rFonts w:hint="eastAsia" w:ascii="Times New Roman" w:hAnsi="Times New Roman" w:eastAsia="仿宋_GB2312" w:cs="Times New Roman"/>
          <w:sz w:val="32"/>
          <w:lang w:val="en-US" w:eastAsia="zh-CN"/>
        </w:rPr>
        <w:t>，为南沙区实现高质量发展注入新动能、新活力。</w:t>
      </w:r>
    </w:p>
    <w:p w14:paraId="36E3005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Calibri" w:hAnsi="Calibri" w:eastAsia="仿宋_GB2312" w:cs="Calibri"/>
          <w:kern w:val="2"/>
          <w:sz w:val="32"/>
          <w:szCs w:val="32"/>
          <w:lang w:val="en-US" w:eastAsia="zh-CN" w:bidi="ar-SA"/>
        </w:rPr>
      </w:pPr>
      <w:r>
        <w:rPr>
          <w:rFonts w:ascii="Calibri" w:hAnsi="Calibri" w:eastAsia="仿宋_GB2312" w:cs="Calibri"/>
          <w:kern w:val="2"/>
          <w:sz w:val="32"/>
          <w:szCs w:val="32"/>
          <w:lang w:val="en-US" w:eastAsia="zh-CN" w:bidi="ar-SA"/>
        </w:rPr>
        <w:drawing>
          <wp:inline distT="0" distB="0" distL="114300" distR="114300">
            <wp:extent cx="5273675" cy="4757420"/>
            <wp:effectExtent l="0" t="0" r="9525" b="5080"/>
            <wp:docPr id="1"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3"/>
                    <pic:cNvPicPr>
                      <a:picLocks noChangeAspect="1"/>
                    </pic:cNvPicPr>
                  </pic:nvPicPr>
                  <pic:blipFill>
                    <a:blip r:embed="rId7"/>
                    <a:stretch>
                      <a:fillRect/>
                    </a:stretch>
                  </pic:blipFill>
                  <pic:spPr>
                    <a:xfrm>
                      <a:off x="0" y="0"/>
                      <a:ext cx="5273675" cy="4757420"/>
                    </a:xfrm>
                    <a:prstGeom prst="rect">
                      <a:avLst/>
                    </a:prstGeom>
                    <a:noFill/>
                    <a:ln>
                      <a:noFill/>
                    </a:ln>
                  </pic:spPr>
                </pic:pic>
              </a:graphicData>
            </a:graphic>
          </wp:inline>
        </w:drawing>
      </w:r>
    </w:p>
    <w:p w14:paraId="7E45756A">
      <w:pPr>
        <w:autoSpaceDE w:val="0"/>
        <w:autoSpaceDN w:val="0"/>
        <w:spacing w:line="560" w:lineRule="exact"/>
        <w:ind w:left="0" w:leftChars="0" w:firstLine="0" w:firstLineChars="0"/>
        <w:jc w:val="center"/>
        <w:textAlignment w:val="bottom"/>
        <w:rPr>
          <w:rFonts w:hint="eastAsia" w:ascii="黑体" w:hAnsi="黑体" w:eastAsia="黑体" w:cs="黑体"/>
          <w:b w:val="0"/>
          <w:i w:val="0"/>
          <w:sz w:val="28"/>
          <w:szCs w:val="21"/>
          <w:lang w:val="en-US" w:eastAsia="zh-CN"/>
        </w:rPr>
      </w:pPr>
      <w:r>
        <w:rPr>
          <w:rFonts w:hint="eastAsia" w:ascii="黑体" w:hAnsi="黑体" w:eastAsia="黑体" w:cs="黑体"/>
          <w:b w:val="0"/>
          <w:i w:val="0"/>
          <w:sz w:val="28"/>
          <w:szCs w:val="21"/>
          <w:lang w:val="en-US" w:eastAsia="zh-CN"/>
        </w:rPr>
        <w:t>图</w:t>
      </w:r>
      <w:r>
        <w:rPr>
          <w:rFonts w:hint="eastAsia" w:ascii="Times New Roman" w:hAnsi="Times New Roman" w:eastAsia="黑体" w:cs="黑体"/>
          <w:b w:val="0"/>
          <w:i w:val="0"/>
          <w:sz w:val="28"/>
          <w:szCs w:val="21"/>
          <w:lang w:val="en-US" w:eastAsia="zh-CN"/>
        </w:rPr>
        <w:t>1</w:t>
      </w:r>
      <w:r>
        <w:rPr>
          <w:rFonts w:hint="eastAsia" w:ascii="黑体" w:hAnsi="黑体" w:eastAsia="黑体" w:cs="黑体"/>
          <w:b w:val="0"/>
          <w:i w:val="0"/>
          <w:sz w:val="28"/>
          <w:szCs w:val="21"/>
          <w:lang w:val="en-US" w:eastAsia="zh-CN"/>
        </w:rPr>
        <w:t xml:space="preserve"> 广州市南沙区数字经济发展思路总体框架</w:t>
      </w:r>
    </w:p>
    <w:p w14:paraId="7E6B9B55">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164" w:name="_Toc10664"/>
      <w:r>
        <w:rPr>
          <w:rFonts w:hint="eastAsia" w:ascii="楷体_GB2312" w:hAnsi="楷体_GB2312" w:eastAsia="楷体_GB2312" w:cs="楷体_GB2312"/>
          <w:sz w:val="32"/>
          <w:highlight w:val="none"/>
          <w:lang w:val="en-US" w:eastAsia="zh-CN"/>
        </w:rPr>
        <w:t>（四）</w:t>
      </w:r>
      <w:r>
        <w:rPr>
          <w:rFonts w:hint="default" w:ascii="楷体_GB2312" w:hAnsi="楷体_GB2312" w:eastAsia="楷体_GB2312" w:cs="楷体_GB2312"/>
          <w:sz w:val="32"/>
          <w:highlight w:val="none"/>
          <w:lang w:val="en-US" w:eastAsia="zh-CN"/>
        </w:rPr>
        <w:t>发展目标</w:t>
      </w:r>
      <w:bookmarkEnd w:id="162"/>
      <w:bookmarkEnd w:id="163"/>
      <w:bookmarkEnd w:id="164"/>
    </w:p>
    <w:p w14:paraId="28F3BB7B">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紧抓南沙建设粤港澳全面合作示范区机遇，大力</w:t>
      </w:r>
      <w:r>
        <w:rPr>
          <w:rFonts w:hint="default" w:ascii="Times New Roman" w:hAnsi="Times New Roman" w:eastAsia="仿宋_GB2312" w:cs="Times New Roman"/>
          <w:b w:val="0"/>
          <w:bCs w:val="0"/>
          <w:sz w:val="32"/>
          <w:highlight w:val="none"/>
          <w:lang w:val="en-US" w:eastAsia="zh-CN"/>
        </w:rPr>
        <w:t>推动数字产业创新发展，持续强化数实深度融合，大力促进数据要素高效流通，打造未来城市示范样板</w:t>
      </w:r>
      <w:r>
        <w:rPr>
          <w:rFonts w:hint="default" w:ascii="Times New Roman" w:hAnsi="Times New Roman" w:eastAsia="仿宋_GB2312" w:cs="Times New Roman"/>
          <w:sz w:val="32"/>
          <w:highlight w:val="none"/>
          <w:lang w:val="en-US" w:eastAsia="zh-CN"/>
        </w:rPr>
        <w:t>。到202</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lang w:val="en-US" w:eastAsia="zh-CN"/>
        </w:rPr>
        <w:t>年底，全区数字经济进入跨越式发展新阶段，数字经济核心产业增加值占地区生产总值比重</w:t>
      </w:r>
      <w:r>
        <w:rPr>
          <w:rFonts w:hint="eastAsia" w:ascii="Times New Roman" w:hAnsi="Times New Roman" w:eastAsia="仿宋_GB2312" w:cs="Times New Roman"/>
          <w:sz w:val="32"/>
          <w:highlight w:val="none"/>
          <w:lang w:val="en-US" w:eastAsia="zh-CN"/>
        </w:rPr>
        <w:t>10</w:t>
      </w:r>
      <w:r>
        <w:rPr>
          <w:rFonts w:hint="default" w:ascii="Times New Roman" w:hAnsi="Times New Roman" w:eastAsia="仿宋_GB2312" w:cs="Times New Roman"/>
          <w:sz w:val="32"/>
          <w:highlight w:val="none"/>
          <w:lang w:val="en-US" w:eastAsia="zh-CN"/>
        </w:rPr>
        <w:t>%左右，数字经济核心产业规模以上企业数</w:t>
      </w:r>
      <w:r>
        <w:rPr>
          <w:rFonts w:hint="eastAsia" w:ascii="Times New Roman" w:hAnsi="Times New Roman" w:eastAsia="仿宋_GB2312" w:cs="Times New Roman"/>
          <w:sz w:val="32"/>
          <w:highlight w:val="none"/>
          <w:lang w:val="en-US" w:eastAsia="zh-CN"/>
        </w:rPr>
        <w:t>达320家，</w:t>
      </w:r>
      <w:r>
        <w:rPr>
          <w:rFonts w:hint="default" w:ascii="Times New Roman" w:hAnsi="Times New Roman" w:eastAsia="仿宋_GB2312" w:cs="Times New Roman"/>
          <w:sz w:val="32"/>
          <w:highlight w:val="none"/>
          <w:lang w:val="en-US" w:eastAsia="zh-CN"/>
        </w:rPr>
        <w:t>数字经济成为南沙高质量发展的重要支撑。</w:t>
      </w:r>
    </w:p>
    <w:p w14:paraId="4B15839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pacing w:val="0"/>
          <w:kern w:val="2"/>
          <w:sz w:val="32"/>
          <w:szCs w:val="22"/>
          <w:highlight w:val="none"/>
          <w:lang w:val="en-US" w:eastAsia="zh-CN" w:bidi="ar-SA"/>
        </w:rPr>
      </w:pPr>
      <w:r>
        <w:rPr>
          <w:rFonts w:hint="default" w:ascii="Times New Roman" w:hAnsi="Times New Roman" w:eastAsia="仿宋_GB2312" w:cs="Times New Roman"/>
          <w:b/>
          <w:bCs/>
          <w:spacing w:val="0"/>
          <w:kern w:val="2"/>
          <w:sz w:val="32"/>
          <w:szCs w:val="22"/>
          <w:highlight w:val="none"/>
          <w:lang w:val="en-US" w:eastAsia="zh-CN" w:bidi="ar-SA"/>
        </w:rPr>
        <w:t>数字产业化能级显著提升。不断壮大数字生产力和智能生产力，</w:t>
      </w:r>
      <w:r>
        <w:rPr>
          <w:rFonts w:hint="default" w:ascii="Times New Roman" w:hAnsi="Times New Roman" w:eastAsia="仿宋_GB2312" w:cs="Times New Roman"/>
          <w:b w:val="0"/>
          <w:bCs w:val="0"/>
          <w:spacing w:val="0"/>
          <w:kern w:val="2"/>
          <w:sz w:val="32"/>
          <w:szCs w:val="22"/>
          <w:highlight w:val="none"/>
          <w:lang w:val="en-US" w:eastAsia="zh-CN" w:bidi="ar-SA"/>
        </w:rPr>
        <w:t>半导体</w:t>
      </w:r>
      <w:r>
        <w:rPr>
          <w:rFonts w:hint="eastAsia" w:ascii="Times New Roman" w:hAnsi="Times New Roman" w:eastAsia="仿宋_GB2312" w:cs="Times New Roman"/>
          <w:b w:val="0"/>
          <w:bCs w:val="0"/>
          <w:spacing w:val="0"/>
          <w:kern w:val="2"/>
          <w:sz w:val="32"/>
          <w:szCs w:val="22"/>
          <w:highlight w:val="none"/>
          <w:lang w:val="en-US" w:eastAsia="zh-CN" w:bidi="ar-SA"/>
        </w:rPr>
        <w:t>与</w:t>
      </w:r>
      <w:r>
        <w:rPr>
          <w:rFonts w:hint="default" w:ascii="Times New Roman" w:hAnsi="Times New Roman" w:eastAsia="仿宋_GB2312" w:cs="Times New Roman"/>
          <w:b w:val="0"/>
          <w:bCs w:val="0"/>
          <w:spacing w:val="0"/>
          <w:kern w:val="2"/>
          <w:sz w:val="32"/>
          <w:szCs w:val="22"/>
          <w:highlight w:val="none"/>
          <w:lang w:val="en-US" w:eastAsia="zh-CN" w:bidi="ar-SA"/>
        </w:rPr>
        <w:t>集成电路、智能网联汽车、人工智能、元宇宙等领域形成具有全国竞争力的标志性产业链和数字产业集群，引进和培育一批数字经济未来产业领军企业，新产品新业态蓬勃发展。到202</w:t>
      </w:r>
      <w:r>
        <w:rPr>
          <w:rFonts w:hint="eastAsia" w:ascii="Times New Roman" w:hAnsi="Times New Roman" w:eastAsia="仿宋_GB2312" w:cs="Times New Roman"/>
          <w:b w:val="0"/>
          <w:bCs w:val="0"/>
          <w:spacing w:val="0"/>
          <w:kern w:val="2"/>
          <w:sz w:val="32"/>
          <w:szCs w:val="22"/>
          <w:highlight w:val="none"/>
          <w:lang w:val="en-US" w:eastAsia="zh-CN" w:bidi="ar-SA"/>
        </w:rPr>
        <w:t>6</w:t>
      </w:r>
      <w:r>
        <w:rPr>
          <w:rFonts w:hint="default" w:ascii="Times New Roman" w:hAnsi="Times New Roman" w:eastAsia="仿宋_GB2312" w:cs="Times New Roman"/>
          <w:b w:val="0"/>
          <w:bCs w:val="0"/>
          <w:spacing w:val="0"/>
          <w:kern w:val="2"/>
          <w:sz w:val="32"/>
          <w:szCs w:val="22"/>
          <w:highlight w:val="none"/>
          <w:lang w:val="en-US" w:eastAsia="zh-CN" w:bidi="ar-SA"/>
        </w:rPr>
        <w:t>年底，全区半导体</w:t>
      </w:r>
      <w:r>
        <w:rPr>
          <w:rFonts w:hint="eastAsia" w:ascii="Times New Roman" w:hAnsi="Times New Roman" w:eastAsia="仿宋_GB2312" w:cs="Times New Roman"/>
          <w:b w:val="0"/>
          <w:bCs w:val="0"/>
          <w:spacing w:val="0"/>
          <w:kern w:val="2"/>
          <w:sz w:val="32"/>
          <w:szCs w:val="22"/>
          <w:highlight w:val="none"/>
          <w:lang w:val="en-US" w:eastAsia="zh-CN" w:bidi="ar-SA"/>
        </w:rPr>
        <w:t>与</w:t>
      </w:r>
      <w:r>
        <w:rPr>
          <w:rFonts w:hint="default" w:ascii="Times New Roman" w:hAnsi="Times New Roman" w:eastAsia="仿宋_GB2312" w:cs="Times New Roman"/>
          <w:b w:val="0"/>
          <w:bCs w:val="0"/>
          <w:spacing w:val="0"/>
          <w:kern w:val="2"/>
          <w:sz w:val="32"/>
          <w:szCs w:val="22"/>
          <w:highlight w:val="none"/>
          <w:lang w:val="en-US" w:eastAsia="zh-CN" w:bidi="ar-SA"/>
        </w:rPr>
        <w:t>集成电路产业总产值达到</w:t>
      </w:r>
      <w:r>
        <w:rPr>
          <w:rFonts w:hint="eastAsia" w:ascii="Times New Roman" w:hAnsi="Times New Roman" w:eastAsia="仿宋_GB2312" w:cs="Times New Roman"/>
          <w:b w:val="0"/>
          <w:bCs w:val="0"/>
          <w:spacing w:val="0"/>
          <w:kern w:val="2"/>
          <w:sz w:val="32"/>
          <w:szCs w:val="22"/>
          <w:highlight w:val="none"/>
          <w:lang w:val="en-US" w:eastAsia="zh-CN" w:bidi="ar-SA"/>
        </w:rPr>
        <w:t>70</w:t>
      </w:r>
      <w:r>
        <w:rPr>
          <w:rFonts w:hint="default" w:ascii="Times New Roman" w:hAnsi="Times New Roman" w:eastAsia="仿宋_GB2312" w:cs="Times New Roman"/>
          <w:b w:val="0"/>
          <w:bCs w:val="0"/>
          <w:spacing w:val="0"/>
          <w:kern w:val="2"/>
          <w:sz w:val="32"/>
          <w:szCs w:val="22"/>
          <w:highlight w:val="none"/>
          <w:lang w:val="en-US" w:eastAsia="zh-CN" w:bidi="ar-SA"/>
        </w:rPr>
        <w:t>亿元，</w:t>
      </w:r>
      <w:r>
        <w:rPr>
          <w:rFonts w:hint="eastAsia" w:ascii="Times New Roman" w:hAnsi="Times New Roman" w:eastAsia="仿宋_GB2312" w:cs="Times New Roman"/>
          <w:b w:val="0"/>
          <w:bCs w:val="0"/>
          <w:spacing w:val="0"/>
          <w:kern w:val="2"/>
          <w:sz w:val="32"/>
          <w:szCs w:val="22"/>
          <w:highlight w:val="none"/>
          <w:lang w:val="en-US" w:eastAsia="zh-CN" w:bidi="ar-SA"/>
        </w:rPr>
        <w:t>信息传输、</w:t>
      </w:r>
      <w:r>
        <w:rPr>
          <w:rFonts w:hint="default" w:ascii="Times New Roman" w:hAnsi="Times New Roman" w:eastAsia="仿宋_GB2312" w:cs="Times New Roman"/>
          <w:b w:val="0"/>
          <w:bCs w:val="0"/>
          <w:spacing w:val="0"/>
          <w:kern w:val="2"/>
          <w:sz w:val="32"/>
          <w:szCs w:val="22"/>
          <w:highlight w:val="none"/>
          <w:lang w:val="en-US" w:eastAsia="zh-CN" w:bidi="ar-SA"/>
        </w:rPr>
        <w:t>软件与信息</w:t>
      </w:r>
      <w:r>
        <w:rPr>
          <w:rFonts w:hint="eastAsia" w:ascii="Times New Roman" w:hAnsi="Times New Roman" w:eastAsia="仿宋_GB2312" w:cs="Times New Roman"/>
          <w:b w:val="0"/>
          <w:bCs w:val="0"/>
          <w:spacing w:val="0"/>
          <w:kern w:val="2"/>
          <w:sz w:val="32"/>
          <w:szCs w:val="22"/>
          <w:highlight w:val="none"/>
          <w:lang w:val="en-US" w:eastAsia="zh-CN" w:bidi="ar-SA"/>
        </w:rPr>
        <w:t>技术</w:t>
      </w:r>
      <w:r>
        <w:rPr>
          <w:rFonts w:hint="default" w:ascii="Times New Roman" w:hAnsi="Times New Roman" w:eastAsia="仿宋_GB2312" w:cs="Times New Roman"/>
          <w:b w:val="0"/>
          <w:bCs w:val="0"/>
          <w:spacing w:val="0"/>
          <w:kern w:val="2"/>
          <w:sz w:val="32"/>
          <w:szCs w:val="22"/>
          <w:highlight w:val="none"/>
          <w:lang w:val="en-US" w:eastAsia="zh-CN" w:bidi="ar-SA"/>
        </w:rPr>
        <w:t>服务业营业收入总额达到</w:t>
      </w:r>
      <w:r>
        <w:rPr>
          <w:rFonts w:hint="eastAsia" w:ascii="Times New Roman" w:hAnsi="Times New Roman" w:eastAsia="仿宋_GB2312" w:cs="Times New Roman"/>
          <w:b w:val="0"/>
          <w:bCs w:val="0"/>
          <w:spacing w:val="0"/>
          <w:kern w:val="2"/>
          <w:sz w:val="32"/>
          <w:szCs w:val="22"/>
          <w:highlight w:val="none"/>
          <w:lang w:val="en-US" w:eastAsia="zh-CN" w:bidi="ar-SA"/>
        </w:rPr>
        <w:t>180</w:t>
      </w:r>
      <w:r>
        <w:rPr>
          <w:rFonts w:hint="default" w:ascii="Times New Roman" w:hAnsi="Times New Roman" w:eastAsia="仿宋_GB2312" w:cs="Times New Roman"/>
          <w:b w:val="0"/>
          <w:bCs w:val="0"/>
          <w:spacing w:val="0"/>
          <w:kern w:val="2"/>
          <w:sz w:val="32"/>
          <w:szCs w:val="22"/>
          <w:highlight w:val="none"/>
          <w:lang w:val="en-US" w:eastAsia="zh-CN" w:bidi="ar-SA"/>
        </w:rPr>
        <w:t>亿元。</w:t>
      </w:r>
    </w:p>
    <w:p w14:paraId="18A2C6B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kern w:val="2"/>
          <w:sz w:val="32"/>
          <w:szCs w:val="22"/>
          <w:highlight w:val="none"/>
          <w:lang w:val="en-US" w:eastAsia="zh-CN" w:bidi="ar-SA"/>
        </w:rPr>
      </w:pPr>
      <w:r>
        <w:rPr>
          <w:rFonts w:hint="default" w:ascii="Times New Roman" w:hAnsi="Times New Roman" w:eastAsia="仿宋_GB2312" w:cs="Times New Roman"/>
          <w:b/>
          <w:bCs/>
          <w:kern w:val="2"/>
          <w:sz w:val="32"/>
          <w:szCs w:val="22"/>
          <w:highlight w:val="none"/>
          <w:lang w:val="en-US" w:eastAsia="zh-CN" w:bidi="ar-SA"/>
        </w:rPr>
        <w:t>数字化转型步伐不断加快。</w:t>
      </w:r>
      <w:r>
        <w:rPr>
          <w:rFonts w:hint="default" w:ascii="Times New Roman" w:hAnsi="Times New Roman" w:eastAsia="仿宋_GB2312" w:cs="Times New Roman"/>
          <w:b w:val="0"/>
          <w:bCs w:val="0"/>
          <w:kern w:val="2"/>
          <w:sz w:val="32"/>
          <w:szCs w:val="22"/>
          <w:highlight w:val="none"/>
          <w:lang w:val="en-US" w:eastAsia="zh-CN" w:bidi="ar-SA"/>
        </w:rPr>
        <w:t>数字技术在三次产业中实现深度融合应用，汽车制造、高端装备等传统优势制造业产业集群数智化发展能力显著提升，金融、港航、商贸等服务业智能化蓬勃发展，农业生产经营数字化取得明显成效。</w:t>
      </w:r>
      <w:r>
        <w:rPr>
          <w:rFonts w:hint="default" w:ascii="Times New Roman" w:hAnsi="Times New Roman" w:eastAsia="仿宋_GB2312" w:cs="Times New Roman"/>
          <w:sz w:val="32"/>
          <w:highlight w:val="none"/>
          <w:lang w:val="en-US" w:eastAsia="zh-CN"/>
        </w:rPr>
        <w:t>到202</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lang w:val="en-US" w:eastAsia="zh-CN"/>
        </w:rPr>
        <w:t>年底，</w:t>
      </w:r>
      <w:r>
        <w:rPr>
          <w:rFonts w:hint="default" w:ascii="Times New Roman" w:hAnsi="Times New Roman" w:eastAsia="仿宋_GB2312" w:cs="Times New Roman"/>
          <w:b w:val="0"/>
          <w:bCs w:val="0"/>
          <w:kern w:val="2"/>
          <w:sz w:val="32"/>
          <w:szCs w:val="22"/>
          <w:highlight w:val="none"/>
          <w:lang w:val="en-US" w:eastAsia="zh-CN" w:bidi="ar-SA"/>
        </w:rPr>
        <w:t>全区规模以上工业企业数字化转型</w:t>
      </w:r>
      <w:r>
        <w:rPr>
          <w:rFonts w:hint="eastAsia" w:ascii="Times New Roman" w:hAnsi="Times New Roman" w:eastAsia="仿宋_GB2312" w:cs="Times New Roman"/>
          <w:b w:val="0"/>
          <w:bCs w:val="0"/>
          <w:kern w:val="2"/>
          <w:sz w:val="32"/>
          <w:szCs w:val="22"/>
          <w:highlight w:val="none"/>
          <w:lang w:val="en-US" w:eastAsia="zh-CN" w:bidi="ar-SA"/>
        </w:rPr>
        <w:t>累计</w:t>
      </w:r>
      <w:r>
        <w:rPr>
          <w:rFonts w:hint="default" w:ascii="Times New Roman" w:hAnsi="Times New Roman" w:eastAsia="仿宋_GB2312" w:cs="Times New Roman"/>
          <w:b w:val="0"/>
          <w:bCs w:val="0"/>
          <w:kern w:val="2"/>
          <w:sz w:val="32"/>
          <w:szCs w:val="22"/>
          <w:highlight w:val="none"/>
          <w:lang w:val="en-US" w:eastAsia="zh-CN" w:bidi="ar-SA"/>
        </w:rPr>
        <w:t>数量达</w:t>
      </w:r>
      <w:r>
        <w:rPr>
          <w:rFonts w:hint="eastAsia" w:ascii="Times New Roman" w:hAnsi="Times New Roman" w:eastAsia="仿宋_GB2312" w:cs="Times New Roman"/>
          <w:b w:val="0"/>
          <w:bCs w:val="0"/>
          <w:kern w:val="2"/>
          <w:sz w:val="32"/>
          <w:szCs w:val="22"/>
          <w:highlight w:val="none"/>
          <w:lang w:val="en-US" w:eastAsia="zh-CN" w:bidi="ar-SA"/>
        </w:rPr>
        <w:t>13</w:t>
      </w:r>
      <w:r>
        <w:rPr>
          <w:rFonts w:hint="default" w:ascii="Times New Roman" w:hAnsi="Times New Roman" w:eastAsia="仿宋_GB2312" w:cs="Times New Roman"/>
          <w:b w:val="0"/>
          <w:bCs w:val="0"/>
          <w:kern w:val="2"/>
          <w:sz w:val="32"/>
          <w:szCs w:val="22"/>
          <w:highlight w:val="none"/>
          <w:lang w:val="en-US" w:eastAsia="zh-CN" w:bidi="ar-SA"/>
        </w:rPr>
        <w:t>0家，全区跨境电商持续稳定发展，智慧课堂实现本土高中全覆盖，</w:t>
      </w:r>
      <w:r>
        <w:rPr>
          <w:rFonts w:hint="default" w:ascii="Times New Roman" w:hAnsi="Times New Roman" w:eastAsia="仿宋_GB2312" w:cs="Times New Roman"/>
          <w:kern w:val="2"/>
          <w:sz w:val="32"/>
          <w:szCs w:val="22"/>
          <w:highlight w:val="none"/>
          <w:lang w:val="en-US" w:eastAsia="zh-CN" w:bidi="ar-SA"/>
        </w:rPr>
        <w:t>基本建成世界一流智慧化港口和物流枢纽中心</w:t>
      </w:r>
      <w:r>
        <w:rPr>
          <w:rFonts w:hint="default" w:ascii="Times New Roman" w:hAnsi="Times New Roman" w:eastAsia="仿宋_GB2312" w:cs="Times New Roman"/>
          <w:b w:val="0"/>
          <w:bCs w:val="0"/>
          <w:kern w:val="2"/>
          <w:sz w:val="32"/>
          <w:szCs w:val="22"/>
          <w:highlight w:val="none"/>
          <w:lang w:val="en-US" w:eastAsia="zh-CN" w:bidi="ar-SA"/>
        </w:rPr>
        <w:t>。</w:t>
      </w:r>
    </w:p>
    <w:p w14:paraId="34981D86">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Times New Roman" w:hAnsi="Times New Roman" w:eastAsia="仿宋_GB2312" w:cs="Times New Roman"/>
          <w:b w:val="0"/>
          <w:bCs w:val="0"/>
          <w:kern w:val="2"/>
          <w:sz w:val="32"/>
          <w:szCs w:val="22"/>
          <w:highlight w:val="none"/>
          <w:lang w:val="en-US" w:eastAsia="zh-CN" w:bidi="ar-SA"/>
        </w:rPr>
      </w:pPr>
      <w:r>
        <w:rPr>
          <w:rFonts w:hint="default" w:ascii="Times New Roman" w:hAnsi="Times New Roman" w:eastAsia="仿宋_GB2312" w:cs="Times New Roman"/>
          <w:b/>
          <w:bCs/>
          <w:kern w:val="2"/>
          <w:sz w:val="32"/>
          <w:szCs w:val="22"/>
          <w:highlight w:val="none"/>
          <w:lang w:val="en-US" w:eastAsia="zh-CN" w:bidi="ar-SA"/>
        </w:rPr>
        <w:t>数据要素价值加速释放。</w:t>
      </w:r>
      <w:r>
        <w:rPr>
          <w:rFonts w:hint="default" w:ascii="Times New Roman" w:hAnsi="Times New Roman" w:eastAsia="仿宋_GB2312" w:cs="Times New Roman"/>
          <w:b w:val="0"/>
          <w:bCs w:val="0"/>
          <w:kern w:val="2"/>
          <w:sz w:val="32"/>
          <w:szCs w:val="22"/>
          <w:highlight w:val="none"/>
          <w:lang w:val="en-US" w:eastAsia="zh-CN" w:bidi="ar-SA"/>
        </w:rPr>
        <w:t>公共数据资源汇聚、管理、流通、开放的体系基本形成，数据确权、定价、交易有序开展，数据出境安全评估等数据服务新业态不断涌现。</w:t>
      </w:r>
      <w:r>
        <w:rPr>
          <w:rFonts w:hint="default" w:ascii="Times New Roman" w:hAnsi="Times New Roman" w:eastAsia="仿宋_GB2312" w:cs="Times New Roman"/>
          <w:color w:val="auto"/>
          <w:sz w:val="32"/>
          <w:szCs w:val="28"/>
          <w:highlight w:val="none"/>
          <w:lang w:val="en-US" w:eastAsia="zh-CN"/>
        </w:rPr>
        <w:t>到202</w:t>
      </w:r>
      <w:r>
        <w:rPr>
          <w:rFonts w:hint="eastAsia" w:ascii="Times New Roman" w:hAnsi="Times New Roman" w:eastAsia="仿宋_GB2312" w:cs="Times New Roman"/>
          <w:color w:val="auto"/>
          <w:sz w:val="32"/>
          <w:szCs w:val="28"/>
          <w:highlight w:val="none"/>
          <w:lang w:val="en-US" w:eastAsia="zh-CN"/>
        </w:rPr>
        <w:t>6</w:t>
      </w:r>
      <w:r>
        <w:rPr>
          <w:rFonts w:hint="default" w:ascii="Times New Roman" w:hAnsi="Times New Roman" w:eastAsia="仿宋_GB2312" w:cs="Times New Roman"/>
          <w:color w:val="auto"/>
          <w:sz w:val="32"/>
          <w:szCs w:val="28"/>
          <w:highlight w:val="none"/>
          <w:lang w:val="en-US" w:eastAsia="zh-CN"/>
        </w:rPr>
        <w:t>年底</w:t>
      </w:r>
      <w:r>
        <w:rPr>
          <w:rFonts w:hint="eastAsia" w:ascii="Times New Roman" w:hAnsi="Times New Roman" w:eastAsia="仿宋_GB2312" w:cs="Times New Roman"/>
          <w:color w:val="auto"/>
          <w:sz w:val="32"/>
          <w:szCs w:val="28"/>
          <w:highlight w:val="none"/>
          <w:lang w:val="en-US" w:eastAsia="zh-CN"/>
        </w:rPr>
        <w:t>，</w:t>
      </w:r>
      <w:r>
        <w:rPr>
          <w:rFonts w:hint="default" w:ascii="Times New Roman" w:hAnsi="Times New Roman" w:eastAsia="仿宋_GB2312" w:cs="Times New Roman"/>
          <w:b w:val="0"/>
          <w:bCs w:val="0"/>
          <w:kern w:val="2"/>
          <w:sz w:val="32"/>
          <w:szCs w:val="22"/>
          <w:highlight w:val="none"/>
          <w:lang w:val="en-US" w:eastAsia="zh-CN" w:bidi="ar-SA"/>
        </w:rPr>
        <w:t>全区形成一批数据要素湾区标准和国际标准，广州数据交易所积极创建国家级数据交易所，数据交易累计金额达50亿元。在</w:t>
      </w:r>
      <w:r>
        <w:rPr>
          <w:rFonts w:hint="eastAsia" w:ascii="Times New Roman" w:hAnsi="Times New Roman" w:eastAsia="仿宋_GB2312" w:cs="Times New Roman"/>
          <w:b w:val="0"/>
          <w:bCs w:val="0"/>
          <w:kern w:val="2"/>
          <w:sz w:val="32"/>
          <w:szCs w:val="22"/>
          <w:highlight w:val="none"/>
          <w:lang w:val="en-US" w:eastAsia="zh-CN" w:bidi="ar-SA"/>
        </w:rPr>
        <w:t>推动数据跨境流动便利化方面形成一批标志性成果</w:t>
      </w:r>
      <w:r>
        <w:rPr>
          <w:rFonts w:hint="default" w:ascii="Times New Roman" w:hAnsi="Times New Roman" w:eastAsia="仿宋_GB2312" w:cs="Times New Roman"/>
          <w:b w:val="0"/>
          <w:bCs w:val="0"/>
          <w:kern w:val="2"/>
          <w:sz w:val="32"/>
          <w:szCs w:val="22"/>
          <w:highlight w:val="none"/>
          <w:lang w:val="en-US" w:eastAsia="zh-CN" w:bidi="ar-SA"/>
        </w:rPr>
        <w:t>，南沙（粤港澳）数据服务试验区建成取得积极进展。</w:t>
      </w:r>
    </w:p>
    <w:p w14:paraId="03EA1B2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28"/>
          <w:highlight w:val="none"/>
          <w:lang w:val="en-US"/>
        </w:rPr>
      </w:pPr>
      <w:r>
        <w:rPr>
          <w:rFonts w:hint="default" w:ascii="Times New Roman" w:hAnsi="Times New Roman" w:eastAsia="仿宋_GB2312" w:cs="Times New Roman"/>
          <w:b/>
          <w:bCs/>
          <w:kern w:val="2"/>
          <w:sz w:val="32"/>
          <w:szCs w:val="22"/>
          <w:highlight w:val="none"/>
          <w:lang w:val="en-US" w:eastAsia="zh-CN" w:bidi="ar-SA"/>
        </w:rPr>
        <w:t>数字治理效能明显加强。</w:t>
      </w:r>
      <w:r>
        <w:rPr>
          <w:rFonts w:hint="default" w:ascii="Times New Roman" w:hAnsi="Times New Roman" w:eastAsia="仿宋_GB2312" w:cs="Times New Roman"/>
          <w:color w:val="auto"/>
          <w:sz w:val="32"/>
          <w:szCs w:val="28"/>
          <w:highlight w:val="none"/>
          <w:lang w:val="en-US" w:eastAsia="zh-CN"/>
        </w:rPr>
        <w:t>南沙城市大脑建设持续深化，</w:t>
      </w:r>
      <w:r>
        <w:rPr>
          <w:rFonts w:hint="eastAsia" w:ascii="Times New Roman" w:hAnsi="Times New Roman" w:eastAsia="仿宋_GB2312" w:cs="Times New Roman"/>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数字城市</w:t>
      </w:r>
      <w:r>
        <w:rPr>
          <w:rFonts w:hint="eastAsia" w:ascii="Times New Roman" w:hAnsi="Times New Roman" w:eastAsia="仿宋_GB2312" w:cs="Times New Roman"/>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城市运营中心基本建成，智能、泛在、先进、互联、共享的智慧城市管理体系初步建立，政务服务、民生服务、社会治理的智慧化水平显著提升。到202</w:t>
      </w:r>
      <w:r>
        <w:rPr>
          <w:rFonts w:hint="eastAsia" w:ascii="Times New Roman" w:hAnsi="Times New Roman" w:eastAsia="仿宋_GB2312" w:cs="Times New Roman"/>
          <w:color w:val="auto"/>
          <w:sz w:val="32"/>
          <w:szCs w:val="28"/>
          <w:highlight w:val="none"/>
          <w:lang w:val="en-US" w:eastAsia="zh-CN"/>
        </w:rPr>
        <w:t>6</w:t>
      </w:r>
      <w:r>
        <w:rPr>
          <w:rFonts w:hint="default" w:ascii="Times New Roman" w:hAnsi="Times New Roman" w:eastAsia="仿宋_GB2312" w:cs="Times New Roman"/>
          <w:color w:val="auto"/>
          <w:sz w:val="32"/>
          <w:szCs w:val="28"/>
          <w:highlight w:val="none"/>
          <w:lang w:val="en-US" w:eastAsia="zh-CN"/>
        </w:rPr>
        <w:t>年底，基本实现镇（街）实施的政务服务事项</w:t>
      </w:r>
      <w:r>
        <w:rPr>
          <w:rFonts w:hint="eastAsia" w:ascii="Times New Roman" w:hAnsi="Times New Roman" w:eastAsia="仿宋_GB2312" w:cs="Times New Roman"/>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全区通办</w:t>
      </w:r>
      <w:r>
        <w:rPr>
          <w:rFonts w:hint="eastAsia" w:ascii="Times New Roman" w:hAnsi="Times New Roman" w:eastAsia="仿宋_GB2312" w:cs="Times New Roman"/>
          <w:color w:val="auto"/>
          <w:sz w:val="32"/>
          <w:szCs w:val="28"/>
          <w:highlight w:val="none"/>
          <w:lang w:val="en-US" w:eastAsia="zh-CN"/>
        </w:rPr>
        <w:t>”</w:t>
      </w:r>
      <w:r>
        <w:rPr>
          <w:rFonts w:hint="default" w:ascii="Times New Roman" w:hAnsi="Times New Roman" w:eastAsia="仿宋_GB2312" w:cs="Times New Roman"/>
          <w:color w:val="auto"/>
          <w:sz w:val="32"/>
          <w:szCs w:val="28"/>
          <w:highlight w:val="none"/>
          <w:lang w:val="en-US" w:eastAsia="zh-CN"/>
        </w:rPr>
        <w:t>全覆盖，公共数据</w:t>
      </w:r>
      <w:r>
        <w:rPr>
          <w:rFonts w:hint="default" w:ascii="Times New Roman" w:hAnsi="Times New Roman" w:eastAsia="仿宋_GB2312" w:cs="Times New Roman"/>
          <w:color w:val="auto"/>
          <w:sz w:val="32"/>
          <w:szCs w:val="28"/>
          <w:highlight w:val="none"/>
        </w:rPr>
        <w:t>政务服务事项可网办率</w:t>
      </w:r>
      <w:r>
        <w:rPr>
          <w:rFonts w:hint="default" w:ascii="Times New Roman" w:hAnsi="Times New Roman" w:eastAsia="仿宋_GB2312" w:cs="Times New Roman"/>
          <w:color w:val="auto"/>
          <w:sz w:val="32"/>
          <w:szCs w:val="28"/>
          <w:highlight w:val="none"/>
          <w:lang w:val="en-US" w:eastAsia="zh-CN"/>
        </w:rPr>
        <w:t>达95%以上，在智慧环保、智慧应急、智慧水务等城市治理领域形成了一批特色鲜明的数字化示范应用。</w:t>
      </w:r>
    </w:p>
    <w:p w14:paraId="47CC138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kern w:val="2"/>
          <w:sz w:val="32"/>
          <w:szCs w:val="22"/>
          <w:highlight w:val="none"/>
          <w:lang w:val="en-US" w:eastAsia="zh-CN" w:bidi="ar-SA"/>
        </w:rPr>
      </w:pPr>
      <w:r>
        <w:rPr>
          <w:rFonts w:hint="default" w:ascii="Times New Roman" w:hAnsi="Times New Roman" w:eastAsia="仿宋_GB2312" w:cs="Times New Roman"/>
          <w:b/>
          <w:bCs/>
          <w:kern w:val="2"/>
          <w:sz w:val="32"/>
          <w:szCs w:val="22"/>
          <w:highlight w:val="none"/>
          <w:lang w:val="en-US" w:eastAsia="zh-CN" w:bidi="ar-SA"/>
        </w:rPr>
        <w:t>数字基础设施更加坚实。</w:t>
      </w:r>
      <w:r>
        <w:rPr>
          <w:rFonts w:hint="default" w:ascii="Times New Roman" w:hAnsi="Times New Roman" w:eastAsia="仿宋_GB2312" w:cs="Times New Roman"/>
          <w:b w:val="0"/>
          <w:bCs w:val="0"/>
          <w:kern w:val="2"/>
          <w:sz w:val="32"/>
          <w:szCs w:val="22"/>
          <w:highlight w:val="none"/>
          <w:lang w:val="en-US" w:eastAsia="zh-CN" w:bidi="ar-SA"/>
        </w:rPr>
        <w:t>双千兆宽带网络接入能力大幅提升，多元泛在、智能敏捷、安全可靠、绿色低碳的算力基础设施加快建设，传统基础设施数字化升级改造深度推进。</w:t>
      </w:r>
      <w:r>
        <w:rPr>
          <w:rFonts w:hint="default" w:ascii="Times New Roman" w:hAnsi="Times New Roman" w:eastAsia="仿宋_GB2312" w:cs="Times New Roman"/>
          <w:sz w:val="32"/>
          <w:highlight w:val="none"/>
          <w:lang w:val="en-US" w:eastAsia="zh-CN"/>
        </w:rPr>
        <w:t>到202</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lang w:val="en-US" w:eastAsia="zh-CN"/>
        </w:rPr>
        <w:t>年底，</w:t>
      </w:r>
      <w:r>
        <w:rPr>
          <w:rFonts w:hint="default" w:ascii="Times New Roman" w:hAnsi="Times New Roman" w:eastAsia="仿宋_GB2312" w:cs="Times New Roman"/>
          <w:b w:val="0"/>
          <w:bCs w:val="0"/>
          <w:kern w:val="2"/>
          <w:sz w:val="32"/>
          <w:szCs w:val="22"/>
          <w:highlight w:val="none"/>
          <w:lang w:val="en-US" w:eastAsia="zh-CN" w:bidi="ar-SA"/>
        </w:rPr>
        <w:t>全区5G基站数达到</w:t>
      </w:r>
      <w:r>
        <w:rPr>
          <w:rFonts w:hint="eastAsia" w:ascii="Times New Roman" w:hAnsi="Times New Roman" w:eastAsia="仿宋_GB2312" w:cs="Times New Roman"/>
          <w:b w:val="0"/>
          <w:bCs w:val="0"/>
          <w:kern w:val="2"/>
          <w:sz w:val="32"/>
          <w:szCs w:val="22"/>
          <w:highlight w:val="none"/>
          <w:lang w:val="en-US" w:eastAsia="zh-CN" w:bidi="ar-SA"/>
        </w:rPr>
        <w:t>8500</w:t>
      </w:r>
      <w:r>
        <w:rPr>
          <w:rFonts w:hint="default" w:ascii="Times New Roman" w:hAnsi="Times New Roman" w:eastAsia="仿宋_GB2312" w:cs="Times New Roman"/>
          <w:b w:val="0"/>
          <w:bCs w:val="0"/>
          <w:kern w:val="2"/>
          <w:sz w:val="32"/>
          <w:szCs w:val="22"/>
          <w:highlight w:val="none"/>
          <w:lang w:val="en-US" w:eastAsia="zh-CN" w:bidi="ar-SA"/>
        </w:rPr>
        <w:t>个，实现5G信号全覆盖，数据中心平均上架率稳步提升，智</w:t>
      </w:r>
      <w:r>
        <w:rPr>
          <w:rFonts w:hint="eastAsia" w:ascii="Times New Roman" w:hAnsi="Times New Roman" w:eastAsia="仿宋_GB2312" w:cs="Times New Roman"/>
          <w:b w:val="0"/>
          <w:bCs w:val="0"/>
          <w:kern w:val="2"/>
          <w:sz w:val="32"/>
          <w:szCs w:val="22"/>
          <w:highlight w:val="none"/>
          <w:lang w:val="en-US" w:eastAsia="zh-CN" w:bidi="ar-SA"/>
        </w:rPr>
        <w:t>算</w:t>
      </w:r>
      <w:r>
        <w:rPr>
          <w:rFonts w:hint="default" w:ascii="Times New Roman" w:hAnsi="Times New Roman" w:eastAsia="仿宋_GB2312" w:cs="Times New Roman"/>
          <w:b w:val="0"/>
          <w:bCs w:val="0"/>
          <w:kern w:val="2"/>
          <w:sz w:val="32"/>
          <w:szCs w:val="22"/>
          <w:highlight w:val="none"/>
          <w:lang w:val="en-US" w:eastAsia="zh-CN" w:bidi="ar-SA"/>
        </w:rPr>
        <w:t>中心算力</w:t>
      </w:r>
      <w:r>
        <w:rPr>
          <w:rFonts w:hint="default" w:ascii="Times New Roman" w:hAnsi="Times New Roman" w:eastAsia="仿宋_GB2312" w:cs="Times New Roman"/>
          <w:sz w:val="32"/>
          <w:highlight w:val="none"/>
        </w:rPr>
        <w:t>达到</w:t>
      </w:r>
      <w:r>
        <w:rPr>
          <w:rFonts w:hint="eastAsia" w:ascii="Times New Roman" w:hAnsi="Times New Roman" w:eastAsia="仿宋_GB2312" w:cs="Times New Roman"/>
          <w:sz w:val="32"/>
          <w:highlight w:val="none"/>
          <w:lang w:val="en-US" w:eastAsia="zh-CN"/>
        </w:rPr>
        <w:t>15</w:t>
      </w:r>
      <w:r>
        <w:rPr>
          <w:rFonts w:hint="eastAsia" w:ascii="Times New Roman" w:hAnsi="Times New Roman" w:eastAsia="仿宋_GB2312" w:cs="Times New Roman"/>
          <w:strike w:val="0"/>
          <w:sz w:val="32"/>
          <w:highlight w:val="none"/>
          <w:lang w:val="en-US" w:eastAsia="zh-CN"/>
        </w:rPr>
        <w:t>00</w:t>
      </w:r>
      <w:r>
        <w:rPr>
          <w:rFonts w:hint="default" w:ascii="Times New Roman" w:hAnsi="Times New Roman" w:eastAsia="仿宋_GB2312" w:cs="Times New Roman"/>
          <w:sz w:val="32"/>
          <w:highlight w:val="none"/>
          <w:lang w:eastAsia="zh-CN"/>
        </w:rPr>
        <w:t>P</w:t>
      </w:r>
      <w:r>
        <w:rPr>
          <w:rFonts w:hint="default" w:ascii="Times New Roman" w:hAnsi="Times New Roman" w:eastAsia="仿宋_GB2312" w:cs="Times New Roman"/>
          <w:sz w:val="32"/>
          <w:highlight w:val="none"/>
        </w:rPr>
        <w:t>FLOPS</w:t>
      </w:r>
      <w:r>
        <w:rPr>
          <w:rFonts w:hint="default" w:ascii="Times New Roman" w:hAnsi="Times New Roman" w:eastAsia="仿宋_GB2312" w:cs="Times New Roman"/>
          <w:b w:val="0"/>
          <w:bCs w:val="0"/>
          <w:kern w:val="2"/>
          <w:sz w:val="32"/>
          <w:szCs w:val="22"/>
          <w:highlight w:val="none"/>
          <w:lang w:val="en-US" w:eastAsia="zh-CN" w:bidi="ar-SA"/>
        </w:rPr>
        <w:t>。</w:t>
      </w:r>
    </w:p>
    <w:p w14:paraId="6DB47B8B">
      <w:pPr>
        <w:autoSpaceDE w:val="0"/>
        <w:autoSpaceDN w:val="0"/>
        <w:bidi w:val="0"/>
        <w:spacing w:line="560" w:lineRule="exact"/>
        <w:ind w:firstLine="640" w:firstLineChars="200"/>
        <w:jc w:val="both"/>
        <w:textAlignment w:val="bottom"/>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展望2035年，南沙数字经济核心产业集群竞争力全国领先，数字技术与实体经济在更大范围、更深层次、更高水平上深度融合，形成的新产业新业态成为经济增长新动力，数据要素赋能经济社会提质增效作用更加凸显，全面形成以数字经济为核心的现代化经济体系，成为全国数字技术创新、产业创新、制度创新、理念创新重要策源地。</w:t>
      </w:r>
    </w:p>
    <w:p w14:paraId="5D9D2738">
      <w:pPr>
        <w:keepNext w:val="0"/>
        <w:keepLines w:val="0"/>
        <w:widowControl/>
        <w:suppressLineNumbers w:val="0"/>
        <w:autoSpaceDE w:val="0"/>
        <w:autoSpaceDN w:val="0"/>
        <w:spacing w:line="560" w:lineRule="exact"/>
        <w:ind w:left="0" w:leftChars="0" w:firstLine="0" w:firstLineChars="0"/>
        <w:jc w:val="center"/>
        <w:textAlignment w:val="bottom"/>
        <w:rPr>
          <w:rFonts w:hint="default" w:ascii="Times New Roman" w:hAnsi="Times New Roman" w:eastAsia="仿宋_GB2312" w:cs="Times New Roman"/>
          <w:sz w:val="28"/>
          <w:szCs w:val="21"/>
          <w:highlight w:val="none"/>
        </w:rPr>
      </w:pPr>
      <w:r>
        <w:rPr>
          <w:rFonts w:hint="default" w:ascii="Times New Roman" w:hAnsi="Times New Roman" w:eastAsia="黑体" w:cs="Times New Roman"/>
          <w:b w:val="0"/>
          <w:i w:val="0"/>
          <w:color w:val="000000"/>
          <w:kern w:val="0"/>
          <w:sz w:val="28"/>
          <w:szCs w:val="28"/>
          <w:highlight w:val="none"/>
          <w:lang w:val="en-US" w:eastAsia="zh-CN"/>
        </w:rPr>
        <w:t xml:space="preserve">表1 </w:t>
      </w:r>
      <w:r>
        <w:rPr>
          <w:rFonts w:hint="default" w:ascii="Times New Roman" w:hAnsi="Times New Roman" w:eastAsia="宋体" w:cs="Times New Roman"/>
          <w:color w:val="000000"/>
          <w:kern w:val="0"/>
          <w:sz w:val="28"/>
          <w:szCs w:val="28"/>
          <w:highlight w:val="none"/>
          <w:lang w:val="en-US" w:eastAsia="zh-CN"/>
        </w:rPr>
        <w:t xml:space="preserve"> </w:t>
      </w:r>
      <w:r>
        <w:rPr>
          <w:rFonts w:hint="default" w:ascii="Times New Roman" w:hAnsi="Times New Roman" w:eastAsia="黑体" w:cs="Times New Roman"/>
          <w:b w:val="0"/>
          <w:i w:val="0"/>
          <w:color w:val="000000"/>
          <w:kern w:val="0"/>
          <w:sz w:val="28"/>
          <w:szCs w:val="28"/>
          <w:highlight w:val="none"/>
          <w:lang w:val="en-US" w:eastAsia="zh-CN"/>
        </w:rPr>
        <w:t>广州市南沙区数字经济发展主要指标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400"/>
        <w:gridCol w:w="913"/>
        <w:gridCol w:w="1207"/>
        <w:gridCol w:w="1268"/>
      </w:tblGrid>
      <w:tr w14:paraId="16C7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1" w:type="dxa"/>
            <w:noWrap w:val="0"/>
            <w:vAlign w:val="center"/>
          </w:tcPr>
          <w:p w14:paraId="2DA835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序号</w:t>
            </w:r>
          </w:p>
        </w:tc>
        <w:tc>
          <w:tcPr>
            <w:tcW w:w="4400" w:type="dxa"/>
            <w:noWrap w:val="0"/>
            <w:vAlign w:val="center"/>
          </w:tcPr>
          <w:p w14:paraId="64232B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主要指标</w:t>
            </w:r>
          </w:p>
        </w:tc>
        <w:tc>
          <w:tcPr>
            <w:tcW w:w="913" w:type="dxa"/>
            <w:noWrap w:val="0"/>
            <w:vAlign w:val="center"/>
          </w:tcPr>
          <w:p w14:paraId="512B25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单位</w:t>
            </w:r>
          </w:p>
        </w:tc>
        <w:tc>
          <w:tcPr>
            <w:tcW w:w="1207" w:type="dxa"/>
            <w:noWrap w:val="0"/>
            <w:vAlign w:val="center"/>
          </w:tcPr>
          <w:p w14:paraId="265519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2023</w:t>
            </w:r>
            <w:r>
              <w:rPr>
                <w:rFonts w:hint="eastAsia" w:ascii="宋体" w:hAnsi="宋体" w:eastAsia="宋体" w:cs="宋体"/>
                <w:spacing w:val="0"/>
                <w:kern w:val="2"/>
                <w:sz w:val="22"/>
                <w:szCs w:val="22"/>
                <w:highlight w:val="none"/>
                <w:vertAlign w:val="baseline"/>
                <w:lang w:val="en-US" w:eastAsia="zh-CN" w:bidi="ar-SA"/>
              </w:rPr>
              <w:t>年完成值</w:t>
            </w:r>
          </w:p>
        </w:tc>
        <w:tc>
          <w:tcPr>
            <w:tcW w:w="1268" w:type="dxa"/>
            <w:noWrap w:val="0"/>
            <w:vAlign w:val="center"/>
          </w:tcPr>
          <w:p w14:paraId="76242A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2026</w:t>
            </w:r>
            <w:r>
              <w:rPr>
                <w:rFonts w:hint="eastAsia" w:ascii="宋体" w:hAnsi="宋体" w:eastAsia="宋体" w:cs="宋体"/>
                <w:spacing w:val="0"/>
                <w:kern w:val="2"/>
                <w:sz w:val="22"/>
                <w:szCs w:val="22"/>
                <w:highlight w:val="none"/>
                <w:vertAlign w:val="baseline"/>
                <w:lang w:val="en-US" w:eastAsia="zh-CN" w:bidi="ar-SA"/>
              </w:rPr>
              <w:t>年目标值</w:t>
            </w:r>
          </w:p>
        </w:tc>
      </w:tr>
      <w:tr w14:paraId="27C7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10F6D8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1</w:t>
            </w:r>
          </w:p>
        </w:tc>
        <w:tc>
          <w:tcPr>
            <w:tcW w:w="4400" w:type="dxa"/>
            <w:noWrap w:val="0"/>
            <w:vAlign w:val="center"/>
          </w:tcPr>
          <w:p w14:paraId="551028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数字经济核心产业增加值占地区生产总值比重</w:t>
            </w:r>
          </w:p>
        </w:tc>
        <w:tc>
          <w:tcPr>
            <w:tcW w:w="913" w:type="dxa"/>
            <w:noWrap w:val="0"/>
            <w:vAlign w:val="center"/>
          </w:tcPr>
          <w:p w14:paraId="1ED740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w:t>
            </w:r>
          </w:p>
        </w:tc>
        <w:tc>
          <w:tcPr>
            <w:tcW w:w="1207" w:type="dxa"/>
            <w:noWrap w:val="0"/>
            <w:vAlign w:val="center"/>
          </w:tcPr>
          <w:p w14:paraId="2D6B11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6.24</w:t>
            </w:r>
          </w:p>
        </w:tc>
        <w:tc>
          <w:tcPr>
            <w:tcW w:w="1268" w:type="dxa"/>
            <w:noWrap w:val="0"/>
            <w:vAlign w:val="center"/>
          </w:tcPr>
          <w:p w14:paraId="45316B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10</w:t>
            </w:r>
          </w:p>
        </w:tc>
      </w:tr>
      <w:tr w14:paraId="6DEA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6D0435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2</w:t>
            </w:r>
          </w:p>
        </w:tc>
        <w:tc>
          <w:tcPr>
            <w:tcW w:w="4400" w:type="dxa"/>
            <w:noWrap w:val="0"/>
            <w:vAlign w:val="center"/>
          </w:tcPr>
          <w:p w14:paraId="45A26E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数字经济核心产业规模以上企业数</w:t>
            </w:r>
          </w:p>
        </w:tc>
        <w:tc>
          <w:tcPr>
            <w:tcW w:w="913" w:type="dxa"/>
            <w:noWrap w:val="0"/>
            <w:vAlign w:val="center"/>
          </w:tcPr>
          <w:p w14:paraId="083E38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家</w:t>
            </w:r>
          </w:p>
        </w:tc>
        <w:tc>
          <w:tcPr>
            <w:tcW w:w="1207" w:type="dxa"/>
            <w:noWrap w:val="0"/>
            <w:vAlign w:val="center"/>
          </w:tcPr>
          <w:p w14:paraId="033C16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244</w:t>
            </w:r>
          </w:p>
        </w:tc>
        <w:tc>
          <w:tcPr>
            <w:tcW w:w="1268" w:type="dxa"/>
            <w:noWrap w:val="0"/>
            <w:vAlign w:val="center"/>
          </w:tcPr>
          <w:p w14:paraId="70A794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320</w:t>
            </w:r>
          </w:p>
        </w:tc>
      </w:tr>
      <w:tr w14:paraId="764D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70FD02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3</w:t>
            </w:r>
          </w:p>
        </w:tc>
        <w:tc>
          <w:tcPr>
            <w:tcW w:w="4400" w:type="dxa"/>
            <w:noWrap w:val="0"/>
            <w:vAlign w:val="center"/>
          </w:tcPr>
          <w:p w14:paraId="38530E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半导体与集成电路产业总产值规模</w:t>
            </w:r>
          </w:p>
        </w:tc>
        <w:tc>
          <w:tcPr>
            <w:tcW w:w="913" w:type="dxa"/>
            <w:noWrap w:val="0"/>
            <w:vAlign w:val="center"/>
          </w:tcPr>
          <w:p w14:paraId="731A86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亿元</w:t>
            </w:r>
          </w:p>
        </w:tc>
        <w:tc>
          <w:tcPr>
            <w:tcW w:w="1207" w:type="dxa"/>
            <w:noWrap w:val="0"/>
            <w:vAlign w:val="center"/>
          </w:tcPr>
          <w:p w14:paraId="779FC2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33</w:t>
            </w:r>
          </w:p>
        </w:tc>
        <w:tc>
          <w:tcPr>
            <w:tcW w:w="1268" w:type="dxa"/>
            <w:noWrap w:val="0"/>
            <w:vAlign w:val="center"/>
          </w:tcPr>
          <w:p w14:paraId="3F6E35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70</w:t>
            </w:r>
          </w:p>
        </w:tc>
      </w:tr>
      <w:tr w14:paraId="4D28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78BA42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4</w:t>
            </w:r>
          </w:p>
        </w:tc>
        <w:tc>
          <w:tcPr>
            <w:tcW w:w="4400" w:type="dxa"/>
            <w:noWrap w:val="0"/>
            <w:vAlign w:val="center"/>
          </w:tcPr>
          <w:p w14:paraId="6391CB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z w:val="22"/>
                <w:highlight w:val="none"/>
              </w:rPr>
              <w:t>信息传输、软件和信息技术服务业</w:t>
            </w:r>
            <w:r>
              <w:rPr>
                <w:rFonts w:hint="eastAsia" w:ascii="宋体" w:hAnsi="宋体" w:eastAsia="宋体" w:cs="宋体"/>
                <w:sz w:val="22"/>
                <w:highlight w:val="none"/>
                <w:lang w:val="en-US" w:eastAsia="zh-CN"/>
              </w:rPr>
              <w:t>营收规模</w:t>
            </w:r>
          </w:p>
        </w:tc>
        <w:tc>
          <w:tcPr>
            <w:tcW w:w="913" w:type="dxa"/>
            <w:noWrap w:val="0"/>
            <w:vAlign w:val="center"/>
          </w:tcPr>
          <w:p w14:paraId="7439D9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亿元</w:t>
            </w:r>
          </w:p>
        </w:tc>
        <w:tc>
          <w:tcPr>
            <w:tcW w:w="1207" w:type="dxa"/>
            <w:noWrap w:val="0"/>
            <w:vAlign w:val="center"/>
          </w:tcPr>
          <w:p w14:paraId="25E142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140</w:t>
            </w:r>
          </w:p>
        </w:tc>
        <w:tc>
          <w:tcPr>
            <w:tcW w:w="1268" w:type="dxa"/>
            <w:noWrap w:val="0"/>
            <w:vAlign w:val="center"/>
          </w:tcPr>
          <w:p w14:paraId="050DDB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180</w:t>
            </w:r>
          </w:p>
        </w:tc>
      </w:tr>
      <w:tr w14:paraId="54C0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1AF24E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5</w:t>
            </w:r>
          </w:p>
        </w:tc>
        <w:tc>
          <w:tcPr>
            <w:tcW w:w="4400" w:type="dxa"/>
            <w:noWrap w:val="0"/>
            <w:vAlign w:val="center"/>
          </w:tcPr>
          <w:p w14:paraId="2C38DC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规模以上工业企业数字化转型数量*</w:t>
            </w:r>
          </w:p>
        </w:tc>
        <w:tc>
          <w:tcPr>
            <w:tcW w:w="913" w:type="dxa"/>
            <w:noWrap w:val="0"/>
            <w:vAlign w:val="center"/>
          </w:tcPr>
          <w:p w14:paraId="1A27DB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家</w:t>
            </w:r>
          </w:p>
        </w:tc>
        <w:tc>
          <w:tcPr>
            <w:tcW w:w="1207" w:type="dxa"/>
            <w:noWrap w:val="0"/>
            <w:vAlign w:val="center"/>
          </w:tcPr>
          <w:p w14:paraId="22D9A7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100</w:t>
            </w:r>
          </w:p>
        </w:tc>
        <w:tc>
          <w:tcPr>
            <w:tcW w:w="1268" w:type="dxa"/>
            <w:noWrap w:val="0"/>
            <w:vAlign w:val="center"/>
          </w:tcPr>
          <w:p w14:paraId="2E66D3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130</w:t>
            </w:r>
          </w:p>
        </w:tc>
      </w:tr>
      <w:tr w14:paraId="013B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172D29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6</w:t>
            </w:r>
          </w:p>
        </w:tc>
        <w:tc>
          <w:tcPr>
            <w:tcW w:w="4400" w:type="dxa"/>
            <w:noWrap w:val="0"/>
            <w:vAlign w:val="center"/>
          </w:tcPr>
          <w:p w14:paraId="2BCA0F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数据交易金额*</w:t>
            </w:r>
          </w:p>
        </w:tc>
        <w:tc>
          <w:tcPr>
            <w:tcW w:w="913" w:type="dxa"/>
            <w:noWrap w:val="0"/>
            <w:vAlign w:val="center"/>
          </w:tcPr>
          <w:p w14:paraId="48CEF3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亿元</w:t>
            </w:r>
          </w:p>
        </w:tc>
        <w:tc>
          <w:tcPr>
            <w:tcW w:w="1207" w:type="dxa"/>
            <w:noWrap w:val="0"/>
            <w:vAlign w:val="center"/>
          </w:tcPr>
          <w:p w14:paraId="5F43A5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22.47</w:t>
            </w:r>
          </w:p>
        </w:tc>
        <w:tc>
          <w:tcPr>
            <w:tcW w:w="1268" w:type="dxa"/>
            <w:noWrap w:val="0"/>
            <w:vAlign w:val="center"/>
          </w:tcPr>
          <w:p w14:paraId="2DB582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50</w:t>
            </w:r>
          </w:p>
        </w:tc>
      </w:tr>
      <w:tr w14:paraId="37D7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0CFC68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7</w:t>
            </w:r>
          </w:p>
        </w:tc>
        <w:tc>
          <w:tcPr>
            <w:tcW w:w="4400" w:type="dxa"/>
            <w:noWrap w:val="0"/>
            <w:vAlign w:val="center"/>
          </w:tcPr>
          <w:p w14:paraId="155EE9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政务服务事项可网办率</w:t>
            </w:r>
          </w:p>
        </w:tc>
        <w:tc>
          <w:tcPr>
            <w:tcW w:w="913" w:type="dxa"/>
            <w:noWrap w:val="0"/>
            <w:vAlign w:val="center"/>
          </w:tcPr>
          <w:p w14:paraId="3D72A7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w:t>
            </w:r>
          </w:p>
        </w:tc>
        <w:tc>
          <w:tcPr>
            <w:tcW w:w="1207" w:type="dxa"/>
            <w:noWrap w:val="0"/>
            <w:vAlign w:val="center"/>
          </w:tcPr>
          <w:p w14:paraId="79EE1F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93.41</w:t>
            </w:r>
          </w:p>
        </w:tc>
        <w:tc>
          <w:tcPr>
            <w:tcW w:w="1268" w:type="dxa"/>
            <w:noWrap w:val="0"/>
            <w:vAlign w:val="center"/>
          </w:tcPr>
          <w:p w14:paraId="2358E9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95</w:t>
            </w:r>
          </w:p>
        </w:tc>
      </w:tr>
      <w:tr w14:paraId="5337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148CE9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8</w:t>
            </w:r>
          </w:p>
        </w:tc>
        <w:tc>
          <w:tcPr>
            <w:tcW w:w="4400" w:type="dxa"/>
            <w:noWrap w:val="0"/>
            <w:vAlign w:val="center"/>
          </w:tcPr>
          <w:p w14:paraId="313D01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5G</w:t>
            </w:r>
            <w:r>
              <w:rPr>
                <w:rFonts w:hint="eastAsia" w:ascii="宋体" w:hAnsi="宋体" w:eastAsia="宋体" w:cs="宋体"/>
                <w:spacing w:val="0"/>
                <w:kern w:val="2"/>
                <w:sz w:val="22"/>
                <w:szCs w:val="22"/>
                <w:highlight w:val="none"/>
                <w:vertAlign w:val="baseline"/>
                <w:lang w:val="en-US" w:eastAsia="zh-CN" w:bidi="ar-SA"/>
              </w:rPr>
              <w:t>基站数量*</w:t>
            </w:r>
          </w:p>
        </w:tc>
        <w:tc>
          <w:tcPr>
            <w:tcW w:w="913" w:type="dxa"/>
            <w:noWrap w:val="0"/>
            <w:vAlign w:val="center"/>
          </w:tcPr>
          <w:p w14:paraId="595048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pacing w:val="0"/>
                <w:kern w:val="2"/>
                <w:sz w:val="22"/>
                <w:szCs w:val="22"/>
                <w:highlight w:val="none"/>
                <w:vertAlign w:val="baseline"/>
                <w:lang w:val="en-US" w:eastAsia="zh-CN" w:bidi="ar-SA"/>
              </w:rPr>
              <w:t>座</w:t>
            </w:r>
          </w:p>
        </w:tc>
        <w:tc>
          <w:tcPr>
            <w:tcW w:w="1207" w:type="dxa"/>
            <w:noWrap w:val="0"/>
            <w:vAlign w:val="center"/>
          </w:tcPr>
          <w:p w14:paraId="08DDB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6856</w:t>
            </w:r>
          </w:p>
        </w:tc>
        <w:tc>
          <w:tcPr>
            <w:tcW w:w="1268" w:type="dxa"/>
            <w:noWrap w:val="0"/>
            <w:vAlign w:val="center"/>
          </w:tcPr>
          <w:p w14:paraId="1D30FB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8500</w:t>
            </w:r>
          </w:p>
        </w:tc>
      </w:tr>
      <w:tr w14:paraId="1DCC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1" w:type="dxa"/>
            <w:noWrap w:val="0"/>
            <w:vAlign w:val="center"/>
          </w:tcPr>
          <w:p w14:paraId="6BD1E8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9</w:t>
            </w:r>
          </w:p>
        </w:tc>
        <w:tc>
          <w:tcPr>
            <w:tcW w:w="4400" w:type="dxa"/>
            <w:noWrap w:val="0"/>
            <w:vAlign w:val="center"/>
          </w:tcPr>
          <w:p w14:paraId="146536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宋体" w:hAnsi="宋体" w:eastAsia="宋体" w:cs="宋体"/>
                <w:sz w:val="22"/>
                <w:highlight w:val="none"/>
              </w:rPr>
              <w:t>智</w:t>
            </w:r>
            <w:r>
              <w:rPr>
                <w:rFonts w:hint="eastAsia" w:ascii="宋体" w:hAnsi="宋体" w:eastAsia="宋体" w:cs="宋体"/>
                <w:sz w:val="22"/>
                <w:highlight w:val="none"/>
                <w:lang w:val="en-US" w:eastAsia="zh-CN"/>
              </w:rPr>
              <w:t>算</w:t>
            </w:r>
            <w:r>
              <w:rPr>
                <w:rFonts w:hint="eastAsia" w:ascii="宋体" w:hAnsi="宋体" w:eastAsia="宋体" w:cs="宋体"/>
                <w:sz w:val="22"/>
                <w:highlight w:val="none"/>
              </w:rPr>
              <w:t>中心算力</w:t>
            </w:r>
          </w:p>
        </w:tc>
        <w:tc>
          <w:tcPr>
            <w:tcW w:w="913" w:type="dxa"/>
            <w:noWrap w:val="0"/>
            <w:vAlign w:val="center"/>
          </w:tcPr>
          <w:p w14:paraId="2D6F7C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z w:val="22"/>
                <w:highlight w:val="none"/>
                <w:lang w:val="en-US" w:eastAsia="zh-CN"/>
              </w:rPr>
              <w:t>P</w:t>
            </w:r>
            <w:r>
              <w:rPr>
                <w:rFonts w:hint="eastAsia" w:ascii="Times New Roman" w:hAnsi="Times New Roman" w:eastAsia="宋体" w:cs="宋体"/>
                <w:sz w:val="22"/>
                <w:highlight w:val="none"/>
              </w:rPr>
              <w:t>FLOPS</w:t>
            </w:r>
          </w:p>
        </w:tc>
        <w:tc>
          <w:tcPr>
            <w:tcW w:w="1207" w:type="dxa"/>
            <w:noWrap w:val="0"/>
            <w:vAlign w:val="center"/>
          </w:tcPr>
          <w:p w14:paraId="38295F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pacing w:val="0"/>
                <w:kern w:val="2"/>
                <w:sz w:val="22"/>
                <w:szCs w:val="22"/>
                <w:highlight w:val="none"/>
                <w:vertAlign w:val="baseline"/>
                <w:lang w:val="en-US" w:eastAsia="zh-CN" w:bidi="ar-SA"/>
              </w:rPr>
              <w:t>276</w:t>
            </w:r>
          </w:p>
        </w:tc>
        <w:tc>
          <w:tcPr>
            <w:tcW w:w="1268" w:type="dxa"/>
            <w:noWrap w:val="0"/>
            <w:vAlign w:val="center"/>
          </w:tcPr>
          <w:p w14:paraId="0FE0B6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pacing w:val="0"/>
                <w:kern w:val="2"/>
                <w:sz w:val="22"/>
                <w:szCs w:val="22"/>
                <w:highlight w:val="none"/>
                <w:vertAlign w:val="baseline"/>
                <w:lang w:val="en-US" w:eastAsia="zh-CN" w:bidi="ar-SA"/>
              </w:rPr>
            </w:pPr>
            <w:r>
              <w:rPr>
                <w:rFonts w:hint="eastAsia" w:ascii="Times New Roman" w:hAnsi="Times New Roman" w:eastAsia="宋体" w:cs="宋体"/>
                <w:sz w:val="22"/>
                <w:highlight w:val="none"/>
                <w:lang w:val="en-US" w:eastAsia="zh-CN"/>
              </w:rPr>
              <w:t>1500</w:t>
            </w:r>
          </w:p>
        </w:tc>
      </w:tr>
    </w:tbl>
    <w:p w14:paraId="3FF136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22"/>
          <w:highlight w:val="none"/>
          <w:lang w:val="en-US" w:eastAsia="zh-CN"/>
        </w:rPr>
      </w:pPr>
      <w:r>
        <w:rPr>
          <w:rFonts w:hint="default" w:ascii="Times New Roman" w:hAnsi="Times New Roman" w:eastAsia="仿宋_GB2312" w:cs="Times New Roman"/>
          <w:sz w:val="32"/>
          <w:szCs w:val="22"/>
          <w:highlight w:val="none"/>
          <w:lang w:val="en-US" w:eastAsia="zh-CN"/>
        </w:rPr>
        <w:t>注：标注</w:t>
      </w:r>
      <w:r>
        <w:rPr>
          <w:rFonts w:hint="eastAsia" w:ascii="Times New Roman" w:hAnsi="Times New Roman" w:eastAsia="仿宋_GB2312" w:cs="Times New Roman"/>
          <w:sz w:val="32"/>
          <w:szCs w:val="22"/>
          <w:highlight w:val="none"/>
          <w:lang w:val="en-US" w:eastAsia="zh-CN"/>
        </w:rPr>
        <w:t>“</w:t>
      </w:r>
      <w:r>
        <w:rPr>
          <w:rFonts w:hint="default" w:ascii="Times New Roman" w:hAnsi="Times New Roman" w:eastAsia="仿宋_GB2312" w:cs="Times New Roman"/>
          <w:sz w:val="32"/>
          <w:szCs w:val="22"/>
          <w:highlight w:val="none"/>
          <w:lang w:val="en-US" w:eastAsia="zh-CN"/>
        </w:rPr>
        <w:t>*</w:t>
      </w:r>
      <w:r>
        <w:rPr>
          <w:rFonts w:hint="eastAsia" w:ascii="Times New Roman" w:hAnsi="Times New Roman" w:eastAsia="仿宋_GB2312" w:cs="Times New Roman"/>
          <w:sz w:val="32"/>
          <w:szCs w:val="22"/>
          <w:highlight w:val="none"/>
          <w:lang w:val="en-US" w:eastAsia="zh-CN"/>
        </w:rPr>
        <w:t>”</w:t>
      </w:r>
      <w:r>
        <w:rPr>
          <w:rFonts w:hint="default" w:ascii="Times New Roman" w:hAnsi="Times New Roman" w:eastAsia="仿宋_GB2312" w:cs="Times New Roman"/>
          <w:sz w:val="32"/>
          <w:szCs w:val="22"/>
          <w:highlight w:val="none"/>
          <w:lang w:val="en-US" w:eastAsia="zh-CN"/>
        </w:rPr>
        <w:t xml:space="preserve">的指标为累计数。 </w:t>
      </w:r>
    </w:p>
    <w:p w14:paraId="049EFFC1">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SA"/>
        </w:rPr>
      </w:pPr>
      <w:bookmarkStart w:id="165" w:name="_Toc11054"/>
      <w:bookmarkStart w:id="166" w:name="_Toc5928"/>
      <w:bookmarkStart w:id="167" w:name="_Toc25777"/>
    </w:p>
    <w:p w14:paraId="38A15DD3">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r>
        <w:rPr>
          <w:rFonts w:hint="default" w:ascii="楷体_GB2312" w:hAnsi="楷体_GB2312" w:eastAsia="楷体_GB2312" w:cs="楷体_GB2312"/>
          <w:sz w:val="32"/>
          <w:highlight w:val="none"/>
          <w:lang w:val="en-US" w:eastAsia="zh-CN"/>
        </w:rPr>
        <w:t>（</w:t>
      </w:r>
      <w:r>
        <w:rPr>
          <w:rFonts w:hint="eastAsia" w:ascii="楷体_GB2312" w:hAnsi="楷体_GB2312" w:eastAsia="楷体_GB2312" w:cs="楷体_GB2312"/>
          <w:sz w:val="32"/>
          <w:highlight w:val="none"/>
          <w:lang w:val="en-US" w:eastAsia="zh-CN"/>
        </w:rPr>
        <w:t>五</w:t>
      </w:r>
      <w:r>
        <w:rPr>
          <w:rFonts w:hint="default" w:ascii="楷体_GB2312" w:hAnsi="楷体_GB2312" w:eastAsia="楷体_GB2312" w:cs="楷体_GB2312"/>
          <w:sz w:val="32"/>
          <w:highlight w:val="none"/>
          <w:lang w:val="en-US" w:eastAsia="zh-CN"/>
        </w:rPr>
        <w:t>）空间布局</w:t>
      </w:r>
      <w:bookmarkEnd w:id="165"/>
      <w:bookmarkEnd w:id="166"/>
      <w:bookmarkEnd w:id="167"/>
    </w:p>
    <w:p w14:paraId="25C72643">
      <w:pPr>
        <w:autoSpaceDE w:val="0"/>
        <w:autoSpaceDN w:val="0"/>
        <w:spacing w:line="560" w:lineRule="exact"/>
        <w:ind w:firstLine="643" w:firstLineChars="200"/>
        <w:jc w:val="left"/>
        <w:textAlignment w:val="bottom"/>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lang w:val="en-US" w:eastAsia="zh-CN"/>
        </w:rPr>
        <w:t>构建</w:t>
      </w:r>
      <w:r>
        <w:rPr>
          <w:rFonts w:hint="eastAsia"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lang w:val="en-US" w:eastAsia="zh-CN"/>
        </w:rPr>
        <w:t>1+1+N</w:t>
      </w:r>
      <w:r>
        <w:rPr>
          <w:rFonts w:hint="eastAsia"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lang w:val="en-US" w:eastAsia="zh-CN"/>
        </w:rPr>
        <w:t>协同发展格局</w:t>
      </w:r>
      <w:r>
        <w:rPr>
          <w:rFonts w:hint="default" w:ascii="Times New Roman" w:hAnsi="Times New Roman" w:eastAsia="仿宋_GB2312" w:cs="Times New Roman"/>
          <w:b w:val="0"/>
          <w:bCs w:val="0"/>
          <w:sz w:val="32"/>
          <w:highlight w:val="none"/>
          <w:lang w:val="en-US" w:eastAsia="zh-CN"/>
        </w:rPr>
        <w:t>。充分考虑现有规划定位、产业基础、空间布局等情况，打造</w:t>
      </w:r>
      <w:r>
        <w:rPr>
          <w:rFonts w:hint="eastAsia" w:ascii="Times New Roman" w:hAnsi="Times New Roman" w:eastAsia="仿宋_GB2312" w:cs="Times New Roman"/>
          <w:b w:val="0"/>
          <w:bCs w:val="0"/>
          <w:sz w:val="32"/>
          <w:highlight w:val="none"/>
          <w:lang w:val="en-US" w:eastAsia="zh-CN"/>
        </w:rPr>
        <w:t>“</w:t>
      </w:r>
      <w:r>
        <w:rPr>
          <w:rFonts w:hint="default" w:ascii="Times New Roman" w:hAnsi="Times New Roman" w:eastAsia="仿宋_GB2312" w:cs="Times New Roman"/>
          <w:b w:val="0"/>
          <w:bCs w:val="0"/>
          <w:sz w:val="32"/>
          <w:highlight w:val="none"/>
          <w:lang w:val="en-US" w:eastAsia="zh-CN"/>
        </w:rPr>
        <w:t>一核一带多支点</w:t>
      </w:r>
      <w:r>
        <w:rPr>
          <w:rFonts w:hint="eastAsia" w:ascii="Times New Roman" w:hAnsi="Times New Roman" w:eastAsia="仿宋_GB2312" w:cs="Times New Roman"/>
          <w:b w:val="0"/>
          <w:bCs w:val="0"/>
          <w:sz w:val="32"/>
          <w:highlight w:val="none"/>
          <w:lang w:val="en-US" w:eastAsia="zh-CN"/>
        </w:rPr>
        <w:t>”</w:t>
      </w:r>
      <w:r>
        <w:rPr>
          <w:rFonts w:hint="default" w:ascii="Times New Roman" w:hAnsi="Times New Roman" w:eastAsia="仿宋_GB2312" w:cs="Times New Roman"/>
          <w:b w:val="0"/>
          <w:bCs w:val="0"/>
          <w:sz w:val="32"/>
          <w:highlight w:val="none"/>
          <w:lang w:val="en-US" w:eastAsia="zh-CN"/>
        </w:rPr>
        <w:t>的南沙数字经济发展空间布局，形成数据要素创新服务发展核为引领，数字经济核心产业集聚带为支撑，多个产业集群数字化支点协同发展的新发展格局。</w:t>
      </w:r>
    </w:p>
    <w:p w14:paraId="3ACFED79">
      <w:pPr>
        <w:autoSpaceDE w:val="0"/>
        <w:autoSpaceDN w:val="0"/>
        <w:spacing w:line="560" w:lineRule="exact"/>
        <w:ind w:firstLine="643" w:firstLineChars="200"/>
        <w:jc w:val="left"/>
        <w:textAlignment w:val="bottom"/>
        <w:outlineLvl w:val="2"/>
        <w:rPr>
          <w:rFonts w:hint="default" w:ascii="Times New Roman" w:hAnsi="Times New Roman" w:eastAsia="仿宋_GB2312" w:cs="Times New Roman"/>
          <w:b/>
          <w:bCs/>
          <w:sz w:val="32"/>
          <w:highlight w:val="none"/>
          <w:lang w:val="en-US" w:eastAsia="zh-CN"/>
        </w:rPr>
      </w:pPr>
      <w:bookmarkStart w:id="168" w:name="_Toc10975"/>
      <w:bookmarkStart w:id="169" w:name="_Toc17162"/>
      <w:bookmarkStart w:id="170" w:name="_Toc28745"/>
      <w:bookmarkStart w:id="171" w:name="_Toc1873"/>
      <w:bookmarkStart w:id="172" w:name="_Toc25679"/>
      <w:bookmarkStart w:id="173" w:name="_Toc32748"/>
      <w:bookmarkStart w:id="174" w:name="_Toc24177"/>
      <w:bookmarkStart w:id="175" w:name="_Toc687"/>
      <w:bookmarkStart w:id="176" w:name="_Toc19401"/>
      <w:bookmarkStart w:id="177" w:name="_Toc18105"/>
      <w:r>
        <w:rPr>
          <w:rFonts w:hint="default" w:ascii="Times New Roman" w:hAnsi="Times New Roman" w:eastAsia="仿宋_GB2312" w:cs="Times New Roman"/>
          <w:b/>
          <w:bCs/>
          <w:sz w:val="32"/>
          <w:highlight w:val="none"/>
          <w:lang w:val="en-US" w:eastAsia="zh-CN"/>
        </w:rPr>
        <w:t>1.一核：数据要素创新服务发展核</w:t>
      </w:r>
      <w:bookmarkEnd w:id="168"/>
      <w:bookmarkEnd w:id="169"/>
      <w:bookmarkEnd w:id="170"/>
      <w:bookmarkEnd w:id="171"/>
      <w:bookmarkEnd w:id="172"/>
      <w:bookmarkEnd w:id="173"/>
      <w:bookmarkEnd w:id="174"/>
      <w:bookmarkEnd w:id="175"/>
      <w:bookmarkEnd w:id="176"/>
      <w:bookmarkEnd w:id="177"/>
    </w:p>
    <w:p w14:paraId="376EC8F1">
      <w:pPr>
        <w:autoSpaceDE w:val="0"/>
        <w:autoSpaceDN w:val="0"/>
        <w:spacing w:line="560" w:lineRule="exact"/>
        <w:ind w:firstLine="640" w:firstLineChars="200"/>
        <w:jc w:val="left"/>
        <w:textAlignment w:val="bottom"/>
        <w:rPr>
          <w:rFonts w:hint="default" w:ascii="Times New Roman" w:hAnsi="Times New Roman" w:eastAsia="仿宋_GB2312" w:cs="Times New Roman"/>
          <w:b w:val="0"/>
          <w:bCs w:val="0"/>
          <w:sz w:val="32"/>
          <w:highlight w:val="none"/>
          <w:lang w:val="en-US" w:eastAsia="zh-CN"/>
        </w:rPr>
      </w:pPr>
      <w:r>
        <w:rPr>
          <w:rFonts w:hint="default" w:ascii="Times New Roman" w:hAnsi="Times New Roman" w:eastAsia="仿宋_GB2312" w:cs="Times New Roman"/>
          <w:b w:val="0"/>
          <w:bCs w:val="0"/>
          <w:sz w:val="32"/>
          <w:highlight w:val="none"/>
          <w:lang w:val="en-US" w:eastAsia="zh-CN"/>
        </w:rPr>
        <w:t>围绕明珠湾起步区、蕉门河中心区、南沙湾片区，发挥广州数据交易所、下一代互联网国家工程中心粤港澳大湾区创新中心、国家超级计算广州中心南沙分中心等平台作用，重点布局数据要素产业总部以及以科技金融服务、研发创新服务、科技中介服务、软件和信息技术服务、集成电路设计、数字创意等为主的专业服务产业，引领支撑数据要素价值化发展。</w:t>
      </w:r>
    </w:p>
    <w:p w14:paraId="0320913C">
      <w:pPr>
        <w:autoSpaceDE w:val="0"/>
        <w:autoSpaceDN w:val="0"/>
        <w:spacing w:line="560" w:lineRule="exact"/>
        <w:ind w:firstLine="643" w:firstLineChars="200"/>
        <w:jc w:val="left"/>
        <w:textAlignment w:val="bottom"/>
        <w:outlineLvl w:val="2"/>
        <w:rPr>
          <w:rFonts w:hint="default" w:ascii="Times New Roman" w:hAnsi="Times New Roman" w:eastAsia="仿宋_GB2312" w:cs="Times New Roman"/>
          <w:b/>
          <w:bCs/>
          <w:sz w:val="32"/>
          <w:szCs w:val="32"/>
          <w:highlight w:val="none"/>
          <w:lang w:val="en-US" w:eastAsia="zh-CN"/>
        </w:rPr>
      </w:pPr>
      <w:bookmarkStart w:id="178" w:name="_Toc19385"/>
      <w:bookmarkStart w:id="179" w:name="_Toc19668"/>
      <w:bookmarkStart w:id="180" w:name="_Toc23718"/>
      <w:bookmarkStart w:id="181" w:name="_Toc12416"/>
      <w:bookmarkStart w:id="182" w:name="_Toc25906"/>
      <w:bookmarkStart w:id="183" w:name="_Toc4203"/>
      <w:bookmarkStart w:id="184" w:name="_Toc27178"/>
      <w:bookmarkStart w:id="185" w:name="_Toc11711"/>
      <w:bookmarkStart w:id="186" w:name="_Toc28867"/>
      <w:bookmarkStart w:id="187" w:name="_Toc29845"/>
      <w:r>
        <w:rPr>
          <w:rFonts w:hint="default" w:ascii="Times New Roman" w:hAnsi="Times New Roman" w:eastAsia="仿宋_GB2312" w:cs="Times New Roman"/>
          <w:b/>
          <w:bCs/>
          <w:sz w:val="32"/>
          <w:szCs w:val="32"/>
          <w:highlight w:val="none"/>
          <w:lang w:val="en-US" w:eastAsia="zh-CN"/>
        </w:rPr>
        <w:t>2.一带：数字经济核心产业集聚带</w:t>
      </w:r>
      <w:bookmarkEnd w:id="178"/>
      <w:bookmarkEnd w:id="179"/>
      <w:bookmarkEnd w:id="180"/>
      <w:bookmarkEnd w:id="181"/>
      <w:bookmarkEnd w:id="182"/>
      <w:bookmarkEnd w:id="183"/>
      <w:bookmarkEnd w:id="184"/>
      <w:bookmarkEnd w:id="185"/>
      <w:bookmarkEnd w:id="186"/>
      <w:bookmarkEnd w:id="187"/>
    </w:p>
    <w:p w14:paraId="11355FC9">
      <w:pPr>
        <w:widowControl/>
        <w:autoSpaceDE w:val="0"/>
        <w:autoSpaceDN w:val="0"/>
        <w:spacing w:line="560" w:lineRule="exact"/>
        <w:ind w:firstLine="640" w:firstLineChars="200"/>
        <w:jc w:val="left"/>
        <w:textAlignment w:val="bottom"/>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打造北起香港科技大学（广州）及</w:t>
      </w:r>
      <w:r>
        <w:rPr>
          <w:rFonts w:hint="default" w:ascii="Times New Roman" w:hAnsi="Times New Roman" w:eastAsia="仿宋_GB2312" w:cs="Times New Roman"/>
          <w:color w:val="000000"/>
          <w:kern w:val="0"/>
          <w:sz w:val="32"/>
          <w:szCs w:val="32"/>
          <w:lang w:val="en-US" w:eastAsia="zh-CN" w:bidi="ar"/>
        </w:rPr>
        <w:t>环港科大（广州）创新区</w:t>
      </w:r>
      <w:r>
        <w:rPr>
          <w:rFonts w:hint="default" w:ascii="Times New Roman" w:hAnsi="Times New Roman" w:eastAsia="仿宋_GB2312" w:cs="Times New Roman"/>
          <w:b w:val="0"/>
          <w:bCs w:val="0"/>
          <w:sz w:val="32"/>
          <w:szCs w:val="32"/>
          <w:highlight w:val="none"/>
          <w:lang w:val="en-US" w:eastAsia="zh-CN"/>
        </w:rPr>
        <w:t>，南至万顷沙半导体</w:t>
      </w:r>
      <w:r>
        <w:rPr>
          <w:rFonts w:hint="eastAsia" w:ascii="Times New Roman" w:hAnsi="Times New Roman" w:eastAsia="仿宋_GB2312" w:cs="Times New Roman"/>
          <w:b w:val="0"/>
          <w:bCs w:val="0"/>
          <w:sz w:val="32"/>
          <w:szCs w:val="32"/>
          <w:highlight w:val="none"/>
          <w:lang w:val="en-US" w:eastAsia="zh-CN"/>
        </w:rPr>
        <w:t>与</w:t>
      </w:r>
      <w:r>
        <w:rPr>
          <w:rFonts w:hint="default" w:ascii="Times New Roman" w:hAnsi="Times New Roman" w:eastAsia="仿宋_GB2312" w:cs="Times New Roman"/>
          <w:b w:val="0"/>
          <w:bCs w:val="0"/>
          <w:sz w:val="32"/>
          <w:szCs w:val="32"/>
          <w:highlight w:val="none"/>
          <w:lang w:val="en-US" w:eastAsia="zh-CN"/>
        </w:rPr>
        <w:t>集成电路产业园的数字经济核心产业集聚带。其中，北部重点承接香港科技创新溢出和成果转化项目，培育发展人工智能、智能网联汽车等产业，南部重点承接珠三角地区科技创新和成果转化项目溢出，培育发展集成电路及物联网、智能装备等产业。</w:t>
      </w:r>
    </w:p>
    <w:p w14:paraId="1727478C">
      <w:pPr>
        <w:autoSpaceDE w:val="0"/>
        <w:autoSpaceDN w:val="0"/>
        <w:spacing w:line="560" w:lineRule="exact"/>
        <w:ind w:firstLine="643" w:firstLineChars="200"/>
        <w:jc w:val="left"/>
        <w:textAlignment w:val="bottom"/>
        <w:outlineLvl w:val="2"/>
        <w:rPr>
          <w:rFonts w:hint="default" w:ascii="Times New Roman" w:hAnsi="Times New Roman" w:eastAsia="仿宋_GB2312" w:cs="Times New Roman"/>
          <w:b/>
          <w:bCs/>
          <w:sz w:val="32"/>
          <w:highlight w:val="none"/>
          <w:lang w:val="en-US" w:eastAsia="zh-CN"/>
        </w:rPr>
      </w:pPr>
      <w:bookmarkStart w:id="188" w:name="_Toc14593"/>
      <w:bookmarkStart w:id="189" w:name="_Toc4954"/>
      <w:bookmarkStart w:id="190" w:name="_Toc5264"/>
      <w:bookmarkStart w:id="191" w:name="_Toc31120"/>
      <w:bookmarkStart w:id="192" w:name="_Toc2501"/>
      <w:bookmarkStart w:id="193" w:name="_Toc367"/>
      <w:bookmarkStart w:id="194" w:name="_Toc11112"/>
      <w:bookmarkStart w:id="195" w:name="_Toc23590"/>
      <w:bookmarkStart w:id="196" w:name="_Toc7798"/>
      <w:bookmarkStart w:id="197" w:name="_Toc6402"/>
      <w:r>
        <w:rPr>
          <w:rFonts w:hint="default" w:ascii="Times New Roman" w:hAnsi="Times New Roman" w:eastAsia="仿宋_GB2312" w:cs="Times New Roman"/>
          <w:b/>
          <w:bCs/>
          <w:sz w:val="32"/>
          <w:highlight w:val="none"/>
          <w:lang w:val="en-US" w:eastAsia="zh-CN"/>
        </w:rPr>
        <w:t>3.多支点：N个重点产业数字化支点</w:t>
      </w:r>
      <w:bookmarkEnd w:id="188"/>
      <w:bookmarkEnd w:id="189"/>
      <w:bookmarkEnd w:id="190"/>
      <w:bookmarkEnd w:id="191"/>
      <w:bookmarkEnd w:id="192"/>
      <w:bookmarkEnd w:id="193"/>
      <w:bookmarkEnd w:id="194"/>
      <w:bookmarkEnd w:id="195"/>
      <w:bookmarkEnd w:id="196"/>
      <w:bookmarkEnd w:id="197"/>
    </w:p>
    <w:p w14:paraId="596308D3">
      <w:pPr>
        <w:autoSpaceDE w:val="0"/>
        <w:autoSpaceDN w:val="0"/>
        <w:spacing w:line="560" w:lineRule="exact"/>
        <w:ind w:firstLine="640" w:firstLineChars="200"/>
        <w:jc w:val="left"/>
        <w:textAlignment w:val="bottom"/>
        <w:rPr>
          <w:rFonts w:hint="default" w:ascii="Times New Roman" w:hAnsi="Times New Roman" w:eastAsia="仿宋_GB2312" w:cs="Times New Roman"/>
          <w:b w:val="0"/>
          <w:bCs w:val="0"/>
          <w:sz w:val="32"/>
          <w:highlight w:val="none"/>
          <w:lang w:val="en-US" w:eastAsia="zh-CN"/>
        </w:rPr>
      </w:pPr>
      <w:r>
        <w:rPr>
          <w:rFonts w:hint="default" w:ascii="Times New Roman" w:hAnsi="Times New Roman" w:eastAsia="仿宋_GB2312" w:cs="Times New Roman"/>
          <w:b w:val="0"/>
          <w:bCs w:val="0"/>
          <w:sz w:val="32"/>
          <w:highlight w:val="none"/>
          <w:lang w:val="en-US" w:eastAsia="zh-CN"/>
        </w:rPr>
        <w:t>沿数字经济核心产业集聚带，依托现有产业布局，积极推动汽车制造、机械装备、船舶海工、家电、电子信息、生物健康、材料化工等优势产业集群数字化转型，打造若干智能制造示范标杆支点。</w:t>
      </w:r>
    </w:p>
    <w:p w14:paraId="55EE711E">
      <w:pPr>
        <w:autoSpaceDE w:val="0"/>
        <w:autoSpaceDN w:val="0"/>
        <w:spacing w:line="560" w:lineRule="exact"/>
        <w:ind w:firstLine="643" w:firstLineChars="200"/>
        <w:jc w:val="left"/>
        <w:textAlignment w:val="bottom"/>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lang w:val="en-US" w:eastAsia="zh-CN"/>
        </w:rPr>
        <w:t>形成</w:t>
      </w:r>
      <w:r>
        <w:rPr>
          <w:rFonts w:hint="eastAsia"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lang w:val="en-US" w:eastAsia="zh-CN"/>
        </w:rPr>
        <w:t>各具特色、错位发展</w:t>
      </w:r>
      <w:r>
        <w:rPr>
          <w:rFonts w:hint="eastAsia" w:ascii="Times New Roman" w:hAnsi="Times New Roman" w:eastAsia="仿宋_GB2312" w:cs="Times New Roman"/>
          <w:b/>
          <w:bCs/>
          <w:sz w:val="32"/>
          <w:highlight w:val="none"/>
          <w:lang w:val="en-US" w:eastAsia="zh-CN"/>
        </w:rPr>
        <w:t>”</w:t>
      </w:r>
      <w:r>
        <w:rPr>
          <w:rFonts w:hint="default" w:ascii="Times New Roman" w:hAnsi="Times New Roman" w:eastAsia="仿宋_GB2312" w:cs="Times New Roman"/>
          <w:b/>
          <w:bCs/>
          <w:sz w:val="32"/>
          <w:highlight w:val="none"/>
          <w:lang w:val="en-US" w:eastAsia="zh-CN"/>
        </w:rPr>
        <w:t>的新局面。</w:t>
      </w:r>
      <w:r>
        <w:rPr>
          <w:rFonts w:hint="default" w:ascii="Times New Roman" w:hAnsi="Times New Roman" w:eastAsia="仿宋_GB2312" w:cs="Times New Roman"/>
          <w:sz w:val="32"/>
          <w:highlight w:val="none"/>
          <w:lang w:val="en-US" w:eastAsia="zh-CN"/>
        </w:rPr>
        <w:t>以全区数字经济高质量发展为目标牵引，引导各镇街立足自身资源禀赋、功能定位和产业基础，找准比较优势，明确发展重点和特色，加快形成区域协同、多点联动、资源共享的数字经济发展新局面。</w:t>
      </w:r>
    </w:p>
    <w:p w14:paraId="085B6C20">
      <w:pPr>
        <w:rPr>
          <w:rFonts w:hint="default" w:ascii="Times New Roman" w:hAnsi="Times New Roman" w:eastAsia="黑体" w:cs="Times New Roman"/>
          <w:b w:val="0"/>
          <w:i w:val="0"/>
          <w:color w:val="000000"/>
          <w:kern w:val="0"/>
          <w:sz w:val="28"/>
          <w:szCs w:val="28"/>
          <w:highlight w:val="none"/>
          <w:lang w:val="en-US" w:eastAsia="zh-CN"/>
        </w:rPr>
      </w:pPr>
      <w:r>
        <w:rPr>
          <w:rFonts w:hint="default" w:ascii="Times New Roman" w:hAnsi="Times New Roman" w:eastAsia="黑体" w:cs="Times New Roman"/>
          <w:b w:val="0"/>
          <w:i w:val="0"/>
          <w:color w:val="000000"/>
          <w:kern w:val="0"/>
          <w:sz w:val="28"/>
          <w:szCs w:val="28"/>
          <w:highlight w:val="none"/>
          <w:lang w:val="en-US" w:eastAsia="zh-CN"/>
        </w:rPr>
        <w:br w:type="page"/>
      </w:r>
    </w:p>
    <w:p w14:paraId="0F79BBF9">
      <w:pPr>
        <w:autoSpaceDE w:val="0"/>
        <w:autoSpaceDN w:val="0"/>
        <w:spacing w:line="560" w:lineRule="exact"/>
        <w:ind w:left="0" w:leftChars="0" w:firstLine="0" w:firstLineChars="0"/>
        <w:jc w:val="center"/>
        <w:textAlignment w:val="bottom"/>
        <w:rPr>
          <w:rFonts w:hint="default" w:ascii="Times New Roman" w:hAnsi="Times New Roman" w:eastAsia="黑体" w:cs="Times New Roman"/>
          <w:b w:val="0"/>
          <w:i w:val="0"/>
          <w:color w:val="000000"/>
          <w:kern w:val="0"/>
          <w:sz w:val="28"/>
          <w:szCs w:val="28"/>
          <w:highlight w:val="none"/>
          <w:lang w:val="en-US" w:eastAsia="zh-CN"/>
        </w:rPr>
      </w:pPr>
      <w:r>
        <w:rPr>
          <w:rFonts w:hint="default" w:ascii="Times New Roman" w:hAnsi="Times New Roman" w:eastAsia="黑体" w:cs="Times New Roman"/>
          <w:b w:val="0"/>
          <w:i w:val="0"/>
          <w:color w:val="000000"/>
          <w:kern w:val="0"/>
          <w:sz w:val="28"/>
          <w:szCs w:val="28"/>
          <w:highlight w:val="none"/>
          <w:lang w:val="en-US" w:eastAsia="zh-CN"/>
        </w:rPr>
        <w:t>表</w:t>
      </w:r>
      <w:r>
        <w:rPr>
          <w:rFonts w:hint="eastAsia" w:ascii="Times New Roman" w:hAnsi="Times New Roman" w:eastAsia="黑体" w:cs="Times New Roman"/>
          <w:b w:val="0"/>
          <w:i w:val="0"/>
          <w:color w:val="000000"/>
          <w:kern w:val="0"/>
          <w:sz w:val="28"/>
          <w:szCs w:val="28"/>
          <w:highlight w:val="none"/>
          <w:lang w:val="en-US" w:eastAsia="zh-CN"/>
        </w:rPr>
        <w:t>2</w:t>
      </w:r>
      <w:r>
        <w:rPr>
          <w:rFonts w:hint="default" w:ascii="Times New Roman" w:hAnsi="Times New Roman" w:eastAsia="黑体" w:cs="Times New Roman"/>
          <w:b w:val="0"/>
          <w:i w:val="0"/>
          <w:color w:val="000000"/>
          <w:kern w:val="0"/>
          <w:sz w:val="28"/>
          <w:szCs w:val="28"/>
          <w:highlight w:val="none"/>
          <w:lang w:val="en-US" w:eastAsia="zh-CN"/>
        </w:rPr>
        <w:t xml:space="preserve">  各镇街数字经济发展方向</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50"/>
        <w:gridCol w:w="5903"/>
      </w:tblGrid>
      <w:tr w14:paraId="6445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969" w:type="dxa"/>
            <w:noWrap w:val="0"/>
            <w:vAlign w:val="center"/>
          </w:tcPr>
          <w:p w14:paraId="68BEDBFE">
            <w:pPr>
              <w:keepNext w:val="0"/>
              <w:keepLines w:val="0"/>
              <w:pageBreakBefore w:val="0"/>
              <w:widowControl w:val="0"/>
              <w:kinsoku/>
              <w:wordWrap/>
              <w:overflowPunct/>
              <w:topLinePunct w:val="0"/>
              <w:autoSpaceDE/>
              <w:autoSpaceDN/>
              <w:bidi w:val="0"/>
              <w:adjustRightInd/>
              <w:snapToGrid/>
              <w:spacing w:afterAutospacing="0" w:line="360" w:lineRule="exact"/>
              <w:ind w:left="0" w:leftChars="0" w:firstLine="0" w:firstLineChars="0"/>
              <w:jc w:val="center"/>
              <w:textAlignment w:val="auto"/>
              <w:rPr>
                <w:rFonts w:hint="eastAsia" w:ascii="宋体" w:hAnsi="宋体" w:eastAsia="宋体" w:cs="宋体"/>
                <w:b w:val="0"/>
                <w:bCs w:val="0"/>
                <w:i w:val="0"/>
                <w:kern w:val="2"/>
                <w:sz w:val="22"/>
                <w:szCs w:val="22"/>
                <w:highlight w:val="none"/>
                <w:lang w:val="en-US" w:eastAsia="zh-CN" w:bidi="ar-SA"/>
              </w:rPr>
            </w:pPr>
            <w:r>
              <w:rPr>
                <w:rFonts w:hint="eastAsia" w:ascii="宋体" w:hAnsi="宋体" w:eastAsia="宋体" w:cs="宋体"/>
                <w:b w:val="0"/>
                <w:bCs w:val="0"/>
                <w:i w:val="0"/>
                <w:kern w:val="2"/>
                <w:sz w:val="22"/>
                <w:szCs w:val="22"/>
                <w:highlight w:val="none"/>
                <w:lang w:val="en-US" w:eastAsia="zh-CN" w:bidi="ar-SA"/>
              </w:rPr>
              <w:t>地区</w:t>
            </w:r>
          </w:p>
        </w:tc>
        <w:tc>
          <w:tcPr>
            <w:tcW w:w="1650" w:type="dxa"/>
            <w:noWrap w:val="0"/>
            <w:vAlign w:val="center"/>
          </w:tcPr>
          <w:p w14:paraId="7961CB4F">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val="0"/>
                <w:bCs w:val="0"/>
                <w:i w:val="0"/>
                <w:kern w:val="2"/>
                <w:sz w:val="22"/>
                <w:szCs w:val="22"/>
                <w:highlight w:val="none"/>
                <w:lang w:val="en-US" w:eastAsia="zh-CN" w:bidi="ar-SA"/>
              </w:rPr>
            </w:pPr>
            <w:r>
              <w:rPr>
                <w:rFonts w:hint="eastAsia" w:ascii="宋体" w:hAnsi="宋体" w:eastAsia="宋体" w:cs="宋体"/>
                <w:b w:val="0"/>
                <w:bCs w:val="0"/>
                <w:i w:val="0"/>
                <w:kern w:val="2"/>
                <w:sz w:val="22"/>
                <w:szCs w:val="22"/>
                <w:highlight w:val="none"/>
                <w:lang w:val="en-US" w:eastAsia="zh-CN" w:bidi="ar-SA"/>
              </w:rPr>
              <w:t>发展方向</w:t>
            </w:r>
          </w:p>
        </w:tc>
        <w:tc>
          <w:tcPr>
            <w:tcW w:w="5903" w:type="dxa"/>
            <w:noWrap w:val="0"/>
            <w:vAlign w:val="center"/>
          </w:tcPr>
          <w:p w14:paraId="4C00128A">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val="0"/>
                <w:bCs w:val="0"/>
                <w:i w:val="0"/>
                <w:kern w:val="2"/>
                <w:sz w:val="22"/>
                <w:szCs w:val="22"/>
                <w:highlight w:val="none"/>
                <w:lang w:val="en-US" w:eastAsia="zh-CN" w:bidi="ar-SA"/>
              </w:rPr>
            </w:pPr>
            <w:r>
              <w:rPr>
                <w:rFonts w:hint="eastAsia" w:ascii="宋体" w:hAnsi="宋体" w:eastAsia="宋体" w:cs="宋体"/>
                <w:b w:val="0"/>
                <w:bCs w:val="0"/>
                <w:i w:val="0"/>
                <w:kern w:val="2"/>
                <w:sz w:val="22"/>
                <w:szCs w:val="22"/>
                <w:highlight w:val="none"/>
                <w:lang w:val="en-US" w:eastAsia="zh-CN" w:bidi="ar-SA"/>
              </w:rPr>
              <w:t>重点任务</w:t>
            </w:r>
          </w:p>
        </w:tc>
      </w:tr>
      <w:tr w14:paraId="00E2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12A993F4">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"http://www.gzns.gov.cn/gzjg/gzj/wqsz/index.html"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万顷沙镇</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44672B9D">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半导体与集成电路、智慧农业</w:t>
            </w:r>
          </w:p>
        </w:tc>
        <w:tc>
          <w:tcPr>
            <w:tcW w:w="5903" w:type="dxa"/>
            <w:noWrap w:val="0"/>
            <w:vAlign w:val="center"/>
          </w:tcPr>
          <w:p w14:paraId="2CB9F819">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万顷沙重点打造半导体与集成电路产业园，加快覆盖宽禁带半导体设计、材料、制造、设备等全产业链布局，打造粤港澳大湾区半导体与集成电路产业发展示范区。加快电子信息等优势制造业智能化制造，推动互联网与特色农业融合发展。</w:t>
            </w:r>
          </w:p>
        </w:tc>
      </w:tr>
      <w:tr w14:paraId="477D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3C2BEC15">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"http://www.gzns.gov.cn/gzjg/gzsnsq/jz/wqsz/" \t "http://www.gzns.gov.cn/zwgk/_blank"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fldChar w:fldCharType="end"/>
            </w: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"http://www.gzns.gov.cn/gzjg/gzj/hgz/index.html"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黄阁镇</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68CED275">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智能装备、智能网联汽车</w:t>
            </w:r>
          </w:p>
        </w:tc>
        <w:tc>
          <w:tcPr>
            <w:tcW w:w="5903" w:type="dxa"/>
            <w:noWrap w:val="0"/>
            <w:vAlign w:val="center"/>
          </w:tcPr>
          <w:p w14:paraId="5042A6FB">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依托黄阁汽车产业园等先进制造业集聚区，重点发展智能制造产业，推进汽车和化工产业数字化转型。积极吸引知名互联网公司落户设立分公司或研发中心，推动数字技术与传统产业的深度融合和创新发展。</w:t>
            </w:r>
          </w:p>
        </w:tc>
      </w:tr>
      <w:tr w14:paraId="0DF4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217E396F">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"http://www.gzns.gov.cn/gzjg/gzsnsq/jz/wqsz/" \t "http://www.gzns.gov.cn/zwgk/_blank"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fldChar w:fldCharType="end"/>
            </w: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"http://www.gzns.gov.cn/gzjg/gzj/dyz/index.html"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东涌镇</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416A395D">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软件与信息服务业、人工智能、电子信息</w:t>
            </w:r>
          </w:p>
        </w:tc>
        <w:tc>
          <w:tcPr>
            <w:tcW w:w="5903" w:type="dxa"/>
            <w:noWrap w:val="0"/>
            <w:vAlign w:val="center"/>
          </w:tcPr>
          <w:p w14:paraId="2DC38F7D">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以香港科技大学（广州）、粤港智谷等为主要载体，积极承接香港科技创新溢出和成果转化项目，布局人工智能软件、芯片、终端、服务等全产业链环节，打造国际人工智能核心技术试验区和人才高地。推动印刷电路板、高端电子材料等优势产业企业数字化转型。</w:t>
            </w:r>
          </w:p>
        </w:tc>
      </w:tr>
      <w:tr w14:paraId="428B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739E8C89">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"http://www.gzns.gov.cn/gzjg/gzsnsq/jz/wqsz/" \t "http://www.gzns.gov.cn/zwgk/_blank"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fldChar w:fldCharType="end"/>
            </w: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"http://www.gzns.gov.cn/gzjg/gzj/dgz/index.html"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大岗镇</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08F046A1">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智能装备、数字空天，算力基础设施</w:t>
            </w:r>
          </w:p>
        </w:tc>
        <w:tc>
          <w:tcPr>
            <w:tcW w:w="5903" w:type="dxa"/>
            <w:noWrap w:val="0"/>
            <w:vAlign w:val="center"/>
          </w:tcPr>
          <w:p w14:paraId="1EC74EB5">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依托大岗穗港智造基地，积极发展智能装备和电子元器件产业，推动印制线路板、节能环保设备等优势产业企业加快数字化转型升级。支持奥飞数据数字智慧产业园、“国际数据传输枢纽”粤港澳大湾区广州南沙节点等项目建设，助力打造智能算力产业集群。</w:t>
            </w:r>
          </w:p>
        </w:tc>
      </w:tr>
      <w:tr w14:paraId="5451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1EC1747A">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"http://www.gzns.gov.cn/gzjg/gzsnsq/jz/wqsz/" \t "http://www.gzns.gov.cn/zwgk/_blank"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fldChar w:fldCharType="end"/>
            </w: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"http://www.gzns.gov.cn/gzjg/gzj/zhz/index.html"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榄核镇</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494667DD">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智慧农业、数字乡村</w:t>
            </w:r>
          </w:p>
        </w:tc>
        <w:tc>
          <w:tcPr>
            <w:tcW w:w="5903" w:type="dxa"/>
            <w:noWrap w:val="0"/>
            <w:vAlign w:val="center"/>
          </w:tcPr>
          <w:p w14:paraId="389BD687">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依托</w:t>
            </w:r>
            <w:r>
              <w:rPr>
                <w:rFonts w:hint="eastAsia" w:ascii="宋体" w:hAnsi="宋体" w:eastAsia="宋体" w:cs="宋体"/>
                <w:sz w:val="22"/>
                <w:highlight w:val="none"/>
              </w:rPr>
              <w:t>星海音乐小镇</w:t>
            </w:r>
            <w:r>
              <w:rPr>
                <w:rFonts w:hint="eastAsia" w:ascii="宋体" w:hAnsi="宋体" w:eastAsia="宋体" w:cs="宋体"/>
                <w:sz w:val="22"/>
                <w:highlight w:val="none"/>
                <w:lang w:eastAsia="zh-CN"/>
              </w:rPr>
              <w:t>、</w:t>
            </w:r>
            <w:r>
              <w:rPr>
                <w:rFonts w:hint="eastAsia" w:ascii="宋体" w:hAnsi="宋体" w:eastAsia="宋体" w:cs="宋体"/>
                <w:sz w:val="22"/>
                <w:highlight w:val="none"/>
              </w:rPr>
              <w:t>星海云纱新乡村示范带</w:t>
            </w:r>
            <w:r>
              <w:rPr>
                <w:rFonts w:hint="eastAsia" w:ascii="宋体" w:hAnsi="宋体" w:eastAsia="宋体" w:cs="宋体"/>
                <w:sz w:val="22"/>
                <w:highlight w:val="none"/>
                <w:lang w:val="en-US" w:eastAsia="zh-CN"/>
              </w:rPr>
              <w:t>以及</w:t>
            </w:r>
            <w:r>
              <w:rPr>
                <w:rFonts w:hint="eastAsia" w:ascii="宋体" w:hAnsi="宋体" w:eastAsia="宋体" w:cs="宋体"/>
                <w:sz w:val="22"/>
                <w:highlight w:val="none"/>
              </w:rPr>
              <w:t>广东利泰智农产业园</w:t>
            </w:r>
            <w:r>
              <w:rPr>
                <w:rFonts w:hint="eastAsia" w:ascii="宋体" w:hAnsi="宋体" w:eastAsia="宋体" w:cs="宋体"/>
                <w:sz w:val="22"/>
                <w:highlight w:val="none"/>
                <w:lang w:val="en-US" w:eastAsia="zh-CN"/>
              </w:rPr>
              <w:t>等载体</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持续推进智慧农业与数字乡村、文旅融合发展。</w:t>
            </w:r>
            <w:r>
              <w:rPr>
                <w:rFonts w:hint="eastAsia" w:ascii="宋体" w:hAnsi="宋体" w:eastAsia="宋体" w:cs="宋体"/>
                <w:kern w:val="2"/>
                <w:sz w:val="22"/>
                <w:szCs w:val="22"/>
                <w:highlight w:val="none"/>
                <w:lang w:val="en-US" w:eastAsia="zh-CN" w:bidi="ar-SA"/>
              </w:rPr>
              <w:t>加快电线电缆、食品饲料加工、家具地板等制造业数字化转型。</w:t>
            </w:r>
          </w:p>
        </w:tc>
      </w:tr>
      <w:tr w14:paraId="70F6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2CFB603F">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"http://www.gzns.gov.cn/gzjg/gzsnsq/jz/wqsz/" \t "http://www.gzns.gov.cn/zwgk/_blank"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fldChar w:fldCharType="end"/>
            </w: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"http://www.gzns.gov.cn/gzjg/gzj/hlz/index.html"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横沥镇</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7E2D2AF6">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数据服务、智能网联汽车、数字金融、智慧城市、数字贸易</w:t>
            </w:r>
          </w:p>
        </w:tc>
        <w:tc>
          <w:tcPr>
            <w:tcW w:w="5903" w:type="dxa"/>
            <w:noWrap w:val="0"/>
            <w:vAlign w:val="center"/>
          </w:tcPr>
          <w:p w14:paraId="3BBEC8D4">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大力发展智能网联汽车产业，依托明珠智慧城市示范园、南沙期货金融大数据产业园等特色园区，重点打造数字贸易、智慧交通、数字金融等产业。发挥广州数据交易所引领作用，大力引进培育数据服务企业，打造数据服务产业高地。</w:t>
            </w:r>
          </w:p>
        </w:tc>
      </w:tr>
      <w:tr w14:paraId="6977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68931C38">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"http://www.gzns.gov.cn/gzjg/gzsnsq/jz/wqsz/" \t "http://www.gzns.gov.cn/zwgk/_blank"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fldChar w:fldCharType="end"/>
            </w: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"http://www.gzns.gov.cn/gzjg/gzj/nsj/index.html"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南沙街</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4F36FFBA">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信息传输、软件与信息服务业，人工智能，元宇宙和数字创意，数字商贸</w:t>
            </w:r>
          </w:p>
        </w:tc>
        <w:tc>
          <w:tcPr>
            <w:tcW w:w="5903" w:type="dxa"/>
            <w:noWrap w:val="0"/>
            <w:vAlign w:val="center"/>
          </w:tcPr>
          <w:p w14:paraId="5147B78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kern w:val="2"/>
                <w:sz w:val="32"/>
                <w:szCs w:val="22"/>
                <w:highlight w:val="none"/>
                <w:lang w:val="en-US" w:eastAsia="zh-CN" w:bidi="ar-SA"/>
              </w:rPr>
            </w:pPr>
            <w:r>
              <w:rPr>
                <w:rFonts w:hint="eastAsia" w:ascii="宋体" w:hAnsi="宋体" w:eastAsia="宋体" w:cs="宋体"/>
                <w:kern w:val="2"/>
                <w:sz w:val="22"/>
                <w:szCs w:val="22"/>
                <w:highlight w:val="none"/>
                <w:lang w:val="en-US" w:eastAsia="zh-CN" w:bidi="ar-SA"/>
              </w:rPr>
              <w:t>充分发挥香江国际科创中心、独角兽牧场、圆梦智谷等产业平台和孵化空间作用，大力发展人工智能、智能机器人等产业。发挥广州智能软件产业研究院等专业机构能力。</w:t>
            </w:r>
            <w:r>
              <w:rPr>
                <w:rFonts w:hint="eastAsia" w:ascii="宋体" w:hAnsi="宋体" w:eastAsia="宋体" w:cs="宋体"/>
                <w:sz w:val="22"/>
                <w:highlight w:val="none"/>
                <w:lang w:val="en-US" w:eastAsia="zh-CN"/>
              </w:rPr>
              <w:t>发挥云从科技、方纬大脑等人工智能行业技术平台优势，在智能交通、智慧城市、智能安监等领域形成推广一批场景应用落地见效，加快建设面向未来的</w:t>
            </w:r>
            <w:r>
              <w:rPr>
                <w:rFonts w:hint="eastAsia" w:ascii="Times New Roman" w:hAnsi="Times New Roman" w:eastAsia="宋体" w:cs="宋体"/>
                <w:sz w:val="22"/>
                <w:highlight w:val="none"/>
                <w:lang w:val="en-US" w:eastAsia="zh-CN"/>
              </w:rPr>
              <w:t>AI</w:t>
            </w:r>
            <w:r>
              <w:rPr>
                <w:rFonts w:hint="eastAsia" w:ascii="宋体" w:hAnsi="宋体" w:eastAsia="宋体" w:cs="宋体"/>
                <w:sz w:val="22"/>
                <w:highlight w:val="none"/>
                <w:lang w:val="en-US" w:eastAsia="zh-CN"/>
              </w:rPr>
              <w:t>＋新型智慧城市。发挥新生大型综合体</w:t>
            </w:r>
            <w:r>
              <w:rPr>
                <w:rFonts w:hint="eastAsia" w:ascii="Times New Roman" w:hAnsi="Times New Roman" w:eastAsia="宋体" w:cs="宋体"/>
                <w:sz w:val="22"/>
                <w:highlight w:val="none"/>
                <w:lang w:val="en-US" w:eastAsia="zh-CN"/>
              </w:rPr>
              <w:t>COCO</w:t>
            </w:r>
            <w:r>
              <w:rPr>
                <w:rFonts w:hint="eastAsia" w:ascii="宋体" w:hAnsi="宋体" w:eastAsia="宋体" w:cs="宋体"/>
                <w:sz w:val="22"/>
                <w:highlight w:val="none"/>
                <w:lang w:val="en-US" w:eastAsia="zh-CN"/>
              </w:rPr>
              <w:t xml:space="preserve"> </w:t>
            </w:r>
            <w:r>
              <w:rPr>
                <w:rFonts w:hint="eastAsia" w:ascii="Times New Roman" w:hAnsi="Times New Roman" w:eastAsia="宋体" w:cs="宋体"/>
                <w:sz w:val="22"/>
                <w:highlight w:val="none"/>
                <w:lang w:val="en-US" w:eastAsia="zh-CN"/>
              </w:rPr>
              <w:t>Park</w:t>
            </w:r>
            <w:r>
              <w:rPr>
                <w:rFonts w:hint="eastAsia" w:ascii="宋体" w:hAnsi="宋体" w:eastAsia="宋体" w:cs="宋体"/>
                <w:sz w:val="22"/>
                <w:highlight w:val="none"/>
                <w:lang w:val="en-US" w:eastAsia="zh-CN"/>
              </w:rPr>
              <w:t>、环宇城等载体优势，提供优质的办公、生活等配套，招引优质的科技研发企业，打造数字经济研发创新集群。</w:t>
            </w:r>
          </w:p>
        </w:tc>
      </w:tr>
      <w:tr w14:paraId="526F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3D138E98">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"http://www.gzns.gov.cn/gzjg/gzsnsq/jz/wqsz/" \t "http://www.gzns.gov.cn/zwgk/_blank"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fldChar w:fldCharType="end"/>
            </w: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"http://www.gzns.gov.cn/gzjg/gzj/zjj/index.html"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珠江街</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516FA0F6">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数字低空、数字海洋、数字空天，数字农业，智能家电</w:t>
            </w:r>
          </w:p>
        </w:tc>
        <w:tc>
          <w:tcPr>
            <w:tcW w:w="5903" w:type="dxa"/>
            <w:noWrap w:val="0"/>
            <w:vAlign w:val="center"/>
          </w:tcPr>
          <w:p w14:paraId="1D9AEEFD">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以明珠科学园为主要载体，依托广东空天科技研究院、广东智能无人系统研究院重点布局数字低空、数字海洋、数字空天等未来产业研究，打造数字技术创新策源中心。以美的华凌工厂为标杆，大力推动智能家电、汽车配件等优势产业企业数字化转型。加快推进明珠现代农业园“数字渔场·桑基鱼塘”等重点项目建设，提升农业产业智慧化水平。</w:t>
            </w:r>
          </w:p>
        </w:tc>
      </w:tr>
      <w:tr w14:paraId="1061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46F99BBF">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kern w:val="2"/>
                <w:sz w:val="22"/>
                <w:szCs w:val="22"/>
                <w:highlight w:val="none"/>
                <w:lang w:val="en-US" w:eastAsia="zh-CN" w:bidi="ar-SA"/>
              </w:rPr>
            </w:pP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"http://www.gzns.gov.cn/gzjg/gzsnsq/jz/wqsz/" \t "http://www.gzns.gov.cn/zwgk/_blank"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fldChar w:fldCharType="end"/>
            </w:r>
            <w:r>
              <w:rPr>
                <w:rFonts w:hint="eastAsia" w:ascii="宋体" w:hAnsi="宋体" w:eastAsia="宋体" w:cs="宋体"/>
                <w:b/>
                <w:bCs/>
                <w:kern w:val="2"/>
                <w:sz w:val="22"/>
                <w:szCs w:val="22"/>
                <w:highlight w:val="none"/>
                <w:lang w:val="en-US" w:eastAsia="zh-CN" w:bidi="ar-SA"/>
              </w:rPr>
              <w:fldChar w:fldCharType="begin"/>
            </w:r>
            <w:r>
              <w:rPr>
                <w:rFonts w:hint="eastAsia" w:ascii="宋体" w:hAnsi="宋体" w:eastAsia="宋体" w:cs="宋体"/>
                <w:b/>
                <w:bCs/>
                <w:kern w:val="2"/>
                <w:sz w:val="22"/>
                <w:szCs w:val="22"/>
                <w:highlight w:val="none"/>
                <w:lang w:val="en-US" w:eastAsia="zh-CN" w:bidi="ar-SA"/>
              </w:rPr>
              <w:instrText xml:space="preserve"> HYPERLINK "http://www.gzns.gov.cn/gzjg/gzj/lxj/index.html" </w:instrText>
            </w:r>
            <w:r>
              <w:rPr>
                <w:rFonts w:hint="eastAsia" w:ascii="宋体" w:hAnsi="宋体" w:eastAsia="宋体" w:cs="宋体"/>
                <w:b/>
                <w:bCs/>
                <w:kern w:val="2"/>
                <w:sz w:val="22"/>
                <w:szCs w:val="22"/>
                <w:highlight w:val="none"/>
                <w:lang w:val="en-US" w:eastAsia="zh-CN" w:bidi="ar-SA"/>
              </w:rPr>
              <w:fldChar w:fldCharType="separate"/>
            </w:r>
            <w:r>
              <w:rPr>
                <w:rFonts w:hint="eastAsia" w:ascii="宋体" w:hAnsi="宋体" w:eastAsia="宋体" w:cs="宋体"/>
                <w:b/>
                <w:bCs/>
                <w:kern w:val="2"/>
                <w:sz w:val="22"/>
                <w:szCs w:val="22"/>
                <w:highlight w:val="none"/>
                <w:lang w:val="en-US" w:eastAsia="zh-CN" w:bidi="ar-SA"/>
              </w:rPr>
              <w:t>龙穴街</w:t>
            </w:r>
            <w:r>
              <w:rPr>
                <w:rFonts w:hint="eastAsia" w:ascii="宋体" w:hAnsi="宋体" w:eastAsia="宋体" w:cs="宋体"/>
                <w:b/>
                <w:bCs/>
                <w:kern w:val="2"/>
                <w:sz w:val="22"/>
                <w:szCs w:val="22"/>
                <w:highlight w:val="none"/>
                <w:lang w:val="en-US" w:eastAsia="zh-CN" w:bidi="ar-SA"/>
              </w:rPr>
              <w:fldChar w:fldCharType="end"/>
            </w:r>
          </w:p>
        </w:tc>
        <w:tc>
          <w:tcPr>
            <w:tcW w:w="1650" w:type="dxa"/>
            <w:noWrap w:val="0"/>
            <w:vAlign w:val="center"/>
          </w:tcPr>
          <w:p w14:paraId="658F3F29">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数字海洋，数字港航</w:t>
            </w:r>
          </w:p>
        </w:tc>
        <w:tc>
          <w:tcPr>
            <w:tcW w:w="5903" w:type="dxa"/>
            <w:noWrap w:val="0"/>
            <w:vAlign w:val="center"/>
          </w:tcPr>
          <w:p w14:paraId="406A8E81">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依托龙穴造船基地，支持海工船舶装备等产业企业数字化转型。加快粤港澳大湾区首个全自动化集装箱码头和国际物流中心建设，打造港口物流数字化生态圈。</w:t>
            </w:r>
          </w:p>
        </w:tc>
      </w:tr>
      <w:tr w14:paraId="1F3D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69" w:type="dxa"/>
            <w:noWrap w:val="0"/>
            <w:vAlign w:val="center"/>
          </w:tcPr>
          <w:p w14:paraId="1C95FD07">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center"/>
              <w:textAlignment w:val="auto"/>
              <w:rPr>
                <w:rFonts w:hint="eastAsia" w:ascii="宋体" w:hAnsi="宋体" w:eastAsia="宋体" w:cs="宋体"/>
                <w:b/>
                <w:bCs/>
                <w:kern w:val="2"/>
                <w:sz w:val="22"/>
                <w:szCs w:val="22"/>
                <w:highlight w:val="none"/>
                <w:lang w:val="en-US" w:eastAsia="zh-CN" w:bidi="ar-SA"/>
              </w:rPr>
            </w:pPr>
            <w:bookmarkStart w:id="198" w:name="_Toc7081"/>
            <w:bookmarkStart w:id="199" w:name="_Toc12405"/>
            <w:bookmarkStart w:id="200" w:name="_Toc32434"/>
            <w:bookmarkStart w:id="201" w:name="_Toc11874"/>
            <w:bookmarkStart w:id="202" w:name="_Toc27007"/>
            <w:bookmarkStart w:id="203" w:name="_Toc17779"/>
            <w:bookmarkStart w:id="204" w:name="_Toc31287"/>
            <w:r>
              <w:rPr>
                <w:rFonts w:hint="eastAsia" w:ascii="宋体" w:hAnsi="宋体" w:eastAsia="宋体" w:cs="宋体"/>
                <w:b/>
                <w:bCs/>
                <w:kern w:val="2"/>
                <w:sz w:val="22"/>
                <w:szCs w:val="22"/>
                <w:highlight w:val="none"/>
                <w:lang w:val="en-US" w:eastAsia="zh-CN" w:bidi="ar-SA"/>
              </w:rPr>
              <w:t>港湾街</w:t>
            </w:r>
          </w:p>
        </w:tc>
        <w:tc>
          <w:tcPr>
            <w:tcW w:w="1650" w:type="dxa"/>
            <w:noWrap w:val="0"/>
            <w:vAlign w:val="center"/>
          </w:tcPr>
          <w:p w14:paraId="236ABB84">
            <w:pPr>
              <w:keepNext w:val="0"/>
              <w:keepLines w:val="0"/>
              <w:pageBreakBefore w:val="0"/>
              <w:widowControl w:val="0"/>
              <w:kinsoku/>
              <w:wordWrap/>
              <w:overflowPunct/>
              <w:topLinePunct w:val="0"/>
              <w:autoSpaceDE/>
              <w:autoSpaceDN/>
              <w:bidi w:val="0"/>
              <w:adjustRightInd/>
              <w:snapToGrid/>
              <w:spacing w:afterAutospacing="0"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电子信息、人工智能、数字低空、数字文旅</w:t>
            </w:r>
          </w:p>
        </w:tc>
        <w:tc>
          <w:tcPr>
            <w:tcW w:w="5903" w:type="dxa"/>
            <w:noWrap w:val="0"/>
            <w:vAlign w:val="center"/>
          </w:tcPr>
          <w:p w14:paraId="5F0243B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依托华南技术转移中心、南沙资讯园、</w:t>
            </w:r>
            <w:r>
              <w:rPr>
                <w:rFonts w:hint="eastAsia" w:ascii="宋体" w:hAnsi="宋体" w:eastAsia="宋体" w:cs="宋体"/>
                <w:sz w:val="22"/>
                <w:highlight w:val="none"/>
              </w:rPr>
              <w:t>粤港澳（国际）青年创新工场</w:t>
            </w:r>
            <w:r>
              <w:rPr>
                <w:rFonts w:hint="eastAsia" w:ascii="宋体" w:hAnsi="宋体" w:eastAsia="宋体" w:cs="宋体"/>
                <w:kern w:val="2"/>
                <w:sz w:val="22"/>
                <w:szCs w:val="22"/>
                <w:highlight w:val="none"/>
                <w:lang w:val="en-US" w:eastAsia="zh-CN" w:bidi="ar-SA"/>
              </w:rPr>
              <w:t>等产业平台和孵化空间作用，充分发挥香港科技大学霍英东研究院、</w:t>
            </w:r>
            <w:r>
              <w:rPr>
                <w:rFonts w:hint="eastAsia" w:ascii="宋体" w:hAnsi="宋体" w:eastAsia="宋体" w:cs="宋体"/>
                <w:sz w:val="22"/>
                <w:highlight w:val="none"/>
              </w:rPr>
              <w:t>国家超算广州中心南沙分中心</w:t>
            </w:r>
            <w:r>
              <w:rPr>
                <w:rFonts w:hint="eastAsia" w:ascii="宋体" w:hAnsi="宋体" w:eastAsia="宋体" w:cs="宋体"/>
                <w:sz w:val="22"/>
                <w:highlight w:val="none"/>
                <w:lang w:eastAsia="zh-CN"/>
              </w:rPr>
              <w:t>、</w:t>
            </w:r>
            <w:r>
              <w:rPr>
                <w:rFonts w:hint="eastAsia" w:ascii="宋体" w:hAnsi="宋体" w:eastAsia="宋体" w:cs="宋体"/>
                <w:sz w:val="22"/>
                <w:highlight w:val="none"/>
              </w:rPr>
              <w:t>广州科技贸易职业学院</w:t>
            </w:r>
            <w:r>
              <w:rPr>
                <w:rFonts w:hint="eastAsia" w:ascii="宋体" w:hAnsi="宋体" w:eastAsia="宋体" w:cs="宋体"/>
                <w:kern w:val="2"/>
                <w:sz w:val="22"/>
                <w:szCs w:val="22"/>
                <w:highlight w:val="none"/>
                <w:lang w:val="en-US" w:eastAsia="zh-CN" w:bidi="ar-SA"/>
              </w:rPr>
              <w:t>等技术能力，推动新一代信息技术、智能制造、无人机等产业</w:t>
            </w:r>
            <w:r>
              <w:rPr>
                <w:rFonts w:hint="eastAsia" w:ascii="宋体" w:hAnsi="宋体" w:eastAsia="宋体" w:cs="宋体"/>
                <w:sz w:val="22"/>
                <w:highlight w:val="none"/>
              </w:rPr>
              <w:t>创新</w:t>
            </w:r>
            <w:r>
              <w:rPr>
                <w:rFonts w:hint="eastAsia" w:ascii="宋体" w:hAnsi="宋体" w:eastAsia="宋体" w:cs="宋体"/>
                <w:sz w:val="22"/>
                <w:highlight w:val="none"/>
                <w:lang w:val="en-US" w:eastAsia="zh-CN"/>
              </w:rPr>
              <w:t>发展</w:t>
            </w:r>
            <w:r>
              <w:rPr>
                <w:rFonts w:hint="eastAsia" w:ascii="宋体" w:hAnsi="宋体" w:eastAsia="宋体" w:cs="宋体"/>
                <w:kern w:val="2"/>
                <w:sz w:val="22"/>
                <w:szCs w:val="22"/>
                <w:highlight w:val="none"/>
                <w:lang w:val="en-US" w:eastAsia="zh-CN" w:bidi="ar-SA"/>
              </w:rPr>
              <w:t>。持续推动安捷利、晶科电子等电子元件及组件制造产业企业智能化改造。</w:t>
            </w:r>
          </w:p>
        </w:tc>
      </w:tr>
    </w:tbl>
    <w:p w14:paraId="7255E1A0">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0"/>
        <w:rPr>
          <w:rFonts w:hint="default" w:ascii="Times New Roman" w:hAnsi="Times New Roman" w:eastAsia="黑体" w:cs="Times New Roman"/>
          <w:b w:val="0"/>
          <w:bCs/>
          <w:i w:val="0"/>
          <w:kern w:val="44"/>
          <w:sz w:val="32"/>
          <w:szCs w:val="48"/>
          <w:highlight w:val="none"/>
          <w:lang w:val="en-US" w:eastAsia="zh-CN" w:bidi="ar"/>
        </w:rPr>
      </w:pPr>
      <w:r>
        <w:rPr>
          <w:rFonts w:hint="default" w:ascii="Times New Roman" w:hAnsi="Times New Roman" w:eastAsia="黑体" w:cs="Times New Roman"/>
          <w:b w:val="0"/>
          <w:bCs/>
          <w:i w:val="0"/>
          <w:kern w:val="44"/>
          <w:sz w:val="32"/>
          <w:szCs w:val="48"/>
          <w:highlight w:val="none"/>
          <w:lang w:val="en-US" w:eastAsia="zh-CN" w:bidi="ar"/>
        </w:rPr>
        <w:t>三、</w:t>
      </w:r>
      <w:bookmarkEnd w:id="198"/>
      <w:bookmarkEnd w:id="199"/>
      <w:bookmarkEnd w:id="200"/>
      <w:r>
        <w:rPr>
          <w:rFonts w:hint="default" w:ascii="Times New Roman" w:hAnsi="Times New Roman" w:eastAsia="黑体" w:cs="Times New Roman"/>
          <w:b w:val="0"/>
          <w:bCs/>
          <w:i w:val="0"/>
          <w:kern w:val="44"/>
          <w:sz w:val="32"/>
          <w:szCs w:val="48"/>
          <w:highlight w:val="none"/>
          <w:lang w:val="en-US" w:eastAsia="zh-CN" w:bidi="ar"/>
        </w:rPr>
        <w:t>探索打造粤港澳大湾区数据</w:t>
      </w:r>
      <w:r>
        <w:rPr>
          <w:rFonts w:hint="eastAsia" w:ascii="Times New Roman" w:hAnsi="Times New Roman" w:eastAsia="黑体" w:cs="Times New Roman"/>
          <w:b w:val="0"/>
          <w:bCs/>
          <w:i w:val="0"/>
          <w:kern w:val="44"/>
          <w:sz w:val="32"/>
          <w:szCs w:val="48"/>
          <w:highlight w:val="none"/>
          <w:lang w:val="en-US" w:eastAsia="zh-CN" w:bidi="ar"/>
        </w:rPr>
        <w:t>服务核心枢纽</w:t>
      </w:r>
      <w:bookmarkEnd w:id="201"/>
    </w:p>
    <w:p w14:paraId="075BD427">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bookmarkStart w:id="205" w:name="_Toc13447"/>
      <w:bookmarkStart w:id="206" w:name="_Toc4403"/>
      <w:bookmarkStart w:id="207" w:name="_Toc16797"/>
      <w:r>
        <w:rPr>
          <w:rFonts w:hint="default" w:ascii="Times New Roman" w:hAnsi="Times New Roman" w:eastAsia="仿宋_GB2312" w:cs="Times New Roman"/>
          <w:bCs w:val="0"/>
          <w:kern w:val="2"/>
          <w:sz w:val="32"/>
          <w:szCs w:val="22"/>
          <w:highlight w:val="none"/>
          <w:lang w:val="en-US" w:eastAsia="zh-CN" w:bidi="ar-SA"/>
        </w:rPr>
        <w:t>用好用足国家、省市出台的支持南沙先行</w:t>
      </w:r>
      <w:r>
        <w:rPr>
          <w:rFonts w:hint="eastAsia" w:ascii="Times New Roman" w:hAnsi="Times New Roman" w:eastAsia="仿宋_GB2312" w:cs="Times New Roman"/>
          <w:bCs w:val="0"/>
          <w:kern w:val="2"/>
          <w:sz w:val="32"/>
          <w:szCs w:val="22"/>
          <w:highlight w:val="none"/>
          <w:lang w:val="en-US" w:eastAsia="zh-CN" w:bidi="ar-SA"/>
        </w:rPr>
        <w:t>先试</w:t>
      </w:r>
      <w:r>
        <w:rPr>
          <w:rFonts w:hint="default" w:ascii="Times New Roman" w:hAnsi="Times New Roman" w:eastAsia="仿宋_GB2312" w:cs="Times New Roman"/>
          <w:bCs w:val="0"/>
          <w:kern w:val="2"/>
          <w:sz w:val="32"/>
          <w:szCs w:val="22"/>
          <w:highlight w:val="none"/>
          <w:lang w:val="en-US" w:eastAsia="zh-CN" w:bidi="ar-SA"/>
        </w:rPr>
        <w:t>的各项改革举措，探索在数据流通等方面</w:t>
      </w:r>
      <w:r>
        <w:rPr>
          <w:rFonts w:hint="eastAsia" w:ascii="Times New Roman" w:hAnsi="Times New Roman" w:eastAsia="仿宋_GB2312" w:cs="Times New Roman"/>
          <w:bCs w:val="0"/>
          <w:kern w:val="2"/>
          <w:sz w:val="32"/>
          <w:szCs w:val="22"/>
          <w:highlight w:val="none"/>
          <w:lang w:val="en-US" w:eastAsia="zh-CN" w:bidi="ar-SA"/>
        </w:rPr>
        <w:t>适当</w:t>
      </w:r>
      <w:r>
        <w:rPr>
          <w:rFonts w:hint="default" w:ascii="Times New Roman" w:hAnsi="Times New Roman" w:eastAsia="仿宋_GB2312" w:cs="Times New Roman"/>
          <w:bCs w:val="0"/>
          <w:kern w:val="2"/>
          <w:sz w:val="32"/>
          <w:szCs w:val="22"/>
          <w:highlight w:val="none"/>
          <w:lang w:val="en-US" w:eastAsia="zh-CN" w:bidi="ar-SA"/>
        </w:rPr>
        <w:t>放宽</w:t>
      </w:r>
      <w:r>
        <w:rPr>
          <w:rFonts w:hint="eastAsia" w:ascii="Times New Roman" w:hAnsi="Times New Roman" w:eastAsia="仿宋_GB2312" w:cs="Times New Roman"/>
          <w:bCs w:val="0"/>
          <w:kern w:val="2"/>
          <w:sz w:val="32"/>
          <w:szCs w:val="22"/>
          <w:highlight w:val="none"/>
          <w:lang w:val="en-US" w:eastAsia="zh-CN" w:bidi="ar-SA"/>
        </w:rPr>
        <w:t>条件</w:t>
      </w:r>
      <w:r>
        <w:rPr>
          <w:rFonts w:hint="default" w:ascii="Times New Roman" w:hAnsi="Times New Roman" w:eastAsia="仿宋_GB2312" w:cs="Times New Roman"/>
          <w:bCs w:val="0"/>
          <w:kern w:val="2"/>
          <w:sz w:val="32"/>
          <w:szCs w:val="22"/>
          <w:highlight w:val="none"/>
          <w:lang w:val="en-US" w:eastAsia="zh-CN" w:bidi="ar-SA"/>
        </w:rPr>
        <w:t>，推动面向科研等应用场景实现粤港澳数据跨境流通和交易，有效释放数据要素乘数效应。</w:t>
      </w:r>
    </w:p>
    <w:p w14:paraId="4F6692A3">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08" w:name="_Toc13710"/>
      <w:r>
        <w:rPr>
          <w:rFonts w:hint="eastAsia" w:ascii="楷体_GB2312" w:hAnsi="楷体_GB2312" w:eastAsia="楷体_GB2312" w:cs="楷体_GB2312"/>
          <w:sz w:val="32"/>
          <w:highlight w:val="none"/>
          <w:lang w:val="en-US" w:eastAsia="zh-CN"/>
        </w:rPr>
        <w:t>（一）</w:t>
      </w:r>
      <w:r>
        <w:rPr>
          <w:rFonts w:hint="default" w:ascii="楷体_GB2312" w:hAnsi="楷体_GB2312" w:eastAsia="楷体_GB2312" w:cs="楷体_GB2312"/>
          <w:sz w:val="32"/>
          <w:highlight w:val="none"/>
          <w:lang w:val="en-US" w:eastAsia="zh-CN"/>
        </w:rPr>
        <w:t>打造数据制度综合改革试验田</w:t>
      </w:r>
      <w:bookmarkEnd w:id="208"/>
    </w:p>
    <w:bookmarkEnd w:id="205"/>
    <w:bookmarkEnd w:id="206"/>
    <w:bookmarkEnd w:id="207"/>
    <w:p w14:paraId="6B1D083C">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积极推进南沙（粤港澳）数据服务试验区建设，在数据基础制度上先行探索，打造数据基础制度综合改革试验田，</w:t>
      </w:r>
      <w:r>
        <w:rPr>
          <w:rFonts w:hint="eastAsia" w:ascii="Times New Roman" w:hAnsi="Times New Roman" w:eastAsia="仿宋_GB2312" w:cs="Times New Roman"/>
          <w:sz w:val="32"/>
          <w:highlight w:val="none"/>
        </w:rPr>
        <w:t>盘活政府数据资源，</w:t>
      </w:r>
      <w:r>
        <w:rPr>
          <w:rFonts w:hint="default" w:ascii="Times New Roman" w:hAnsi="Times New Roman" w:eastAsia="仿宋_GB2312" w:cs="Times New Roman"/>
          <w:sz w:val="32"/>
          <w:highlight w:val="none"/>
          <w:lang w:val="en-US" w:eastAsia="zh-CN"/>
        </w:rPr>
        <w:t>开展行业数据流通机制探索和实践，创新数据流动监管和数据治理模式。创新构建数据规则标准体系，依托全球</w:t>
      </w:r>
      <w:r>
        <w:rPr>
          <w:rFonts w:hint="eastAsia" w:ascii="Times New Roman" w:hAnsi="Times New Roman" w:eastAsia="仿宋_GB2312" w:cs="Times New Roman"/>
          <w:sz w:val="32"/>
          <w:highlight w:val="none"/>
          <w:lang w:val="en-US" w:eastAsia="zh-CN"/>
        </w:rPr>
        <w:t>数</w:t>
      </w:r>
      <w:r>
        <w:rPr>
          <w:rFonts w:hint="default" w:ascii="Times New Roman" w:hAnsi="Times New Roman" w:eastAsia="仿宋_GB2312" w:cs="Times New Roman"/>
          <w:sz w:val="32"/>
          <w:highlight w:val="none"/>
          <w:lang w:val="en-US" w:eastAsia="zh-CN"/>
        </w:rPr>
        <w:t>源中心、粤港澳大湾区数据保护和数据跨境服务平台等重大数据平台，积极探索建立数据规则和标准体系</w:t>
      </w:r>
      <w:r>
        <w:rPr>
          <w:rFonts w:hint="eastAsia" w:ascii="Times New Roman" w:hAnsi="Times New Roman" w:eastAsia="仿宋_GB2312" w:cs="Times New Roman"/>
          <w:sz w:val="32"/>
          <w:highlight w:val="none"/>
          <w:lang w:val="en-US" w:eastAsia="zh-CN"/>
        </w:rPr>
        <w:t>，探索打造数据资产管理标准产业服务矩阵</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lang w:val="en-US" w:eastAsia="zh-CN"/>
        </w:rPr>
        <w:t>鼓励区内企业</w:t>
      </w:r>
      <w:r>
        <w:rPr>
          <w:rFonts w:hint="default" w:ascii="Times New Roman" w:hAnsi="Times New Roman" w:eastAsia="仿宋_GB2312" w:cs="Times New Roman"/>
          <w:sz w:val="32"/>
          <w:highlight w:val="none"/>
          <w:lang w:val="en-US" w:eastAsia="zh-CN"/>
        </w:rPr>
        <w:t>探索建立算力</w:t>
      </w:r>
      <w:r>
        <w:rPr>
          <w:rFonts w:hint="eastAsia" w:ascii="Times New Roman" w:hAnsi="Times New Roman" w:eastAsia="仿宋_GB2312" w:cs="Times New Roman"/>
          <w:sz w:val="32"/>
          <w:highlight w:val="none"/>
          <w:lang w:val="en-US" w:eastAsia="zh-CN"/>
        </w:rPr>
        <w:t>调度平台</w:t>
      </w:r>
      <w:r>
        <w:rPr>
          <w:rFonts w:hint="default" w:ascii="Times New Roman" w:hAnsi="Times New Roman" w:eastAsia="仿宋_GB2312" w:cs="Times New Roman"/>
          <w:sz w:val="32"/>
          <w:highlight w:val="none"/>
          <w:lang w:val="en-US" w:eastAsia="zh-CN"/>
        </w:rPr>
        <w:t>，搭建算力公共服务创新机制，整合盘活区域算力资源。谋划参与数字规则国际合作，开展国际数据流动规则和标准研究，鼓励参与国际数据组织和开源技术联盟。</w:t>
      </w:r>
    </w:p>
    <w:p w14:paraId="60B737C4">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bookmarkStart w:id="209" w:name="_Toc3054"/>
      <w:r>
        <w:rPr>
          <w:rFonts w:hint="eastAsia" w:ascii="楷体_GB2312" w:hAnsi="楷体_GB2312" w:eastAsia="楷体_GB2312" w:cs="楷体_GB2312"/>
          <w:sz w:val="32"/>
          <w:szCs w:val="32"/>
          <w:highlight w:val="none"/>
          <w:lang w:val="en-US" w:eastAsia="zh-CN"/>
        </w:rPr>
        <w:t>（二）</w:t>
      </w:r>
      <w:r>
        <w:rPr>
          <w:rFonts w:hint="default" w:ascii="楷体_GB2312" w:hAnsi="楷体_GB2312" w:eastAsia="楷体_GB2312" w:cs="楷体_GB2312"/>
          <w:sz w:val="32"/>
          <w:szCs w:val="32"/>
          <w:highlight w:val="none"/>
          <w:lang w:val="en-US" w:eastAsia="zh-CN"/>
        </w:rPr>
        <w:t>推动数据</w:t>
      </w:r>
      <w:bookmarkStart w:id="210" w:name="_Toc13746"/>
      <w:r>
        <w:rPr>
          <w:rFonts w:hint="default" w:ascii="楷体_GB2312" w:hAnsi="楷体_GB2312" w:eastAsia="楷体_GB2312" w:cs="楷体_GB2312"/>
          <w:sz w:val="32"/>
          <w:szCs w:val="32"/>
          <w:highlight w:val="none"/>
          <w:lang w:val="en-US" w:eastAsia="zh-CN"/>
        </w:rPr>
        <w:t>共享开放及开发利用</w:t>
      </w:r>
      <w:bookmarkEnd w:id="209"/>
      <w:bookmarkEnd w:id="210"/>
    </w:p>
    <w:p w14:paraId="1027290B">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推动公共数据汇聚利用，深化公共数据回流、归集、开放，开展公共数据授权运营和融合开发。释放商业数据价值潜能，发挥广州数据交易所生态作用，加强数据要素流通交流协作</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持续提升服务能级和辐射范围</w:t>
      </w:r>
      <w:r>
        <w:rPr>
          <w:rFonts w:hint="default" w:ascii="Times New Roman" w:hAnsi="Times New Roman" w:eastAsia="仿宋_GB2312" w:cs="Times New Roman"/>
          <w:sz w:val="32"/>
          <w:szCs w:val="32"/>
          <w:highlight w:val="none"/>
          <w:lang w:val="en-US" w:eastAsia="zh-CN"/>
        </w:rPr>
        <w:t>。增强数据资源供给，</w:t>
      </w:r>
      <w:r>
        <w:rPr>
          <w:rFonts w:ascii="仿宋_GB2312" w:hAnsi="宋体" w:eastAsia="仿宋_GB2312" w:cs="仿宋_GB2312"/>
          <w:color w:val="000000"/>
          <w:kern w:val="0"/>
          <w:sz w:val="32"/>
          <w:szCs w:val="32"/>
          <w:lang w:val="en-US" w:eastAsia="zh-CN" w:bidi="ar"/>
        </w:rPr>
        <w:t>支持各行业数据开发者、企业、个人进行数</w:t>
      </w:r>
      <w:r>
        <w:rPr>
          <w:rFonts w:hint="eastAsia" w:ascii="仿宋_GB2312" w:hAnsi="宋体" w:eastAsia="仿宋_GB2312" w:cs="仿宋_GB2312"/>
          <w:color w:val="000000"/>
          <w:kern w:val="0"/>
          <w:sz w:val="32"/>
          <w:szCs w:val="32"/>
          <w:lang w:val="en-US" w:eastAsia="zh-CN" w:bidi="ar"/>
        </w:rPr>
        <w:t>据资源开发利用。</w:t>
      </w:r>
      <w:r>
        <w:rPr>
          <w:rFonts w:hint="default" w:ascii="Times New Roman" w:hAnsi="Times New Roman" w:eastAsia="仿宋_GB2312" w:cs="Times New Roman"/>
          <w:sz w:val="32"/>
          <w:szCs w:val="32"/>
          <w:highlight w:val="none"/>
          <w:lang w:val="en-US" w:eastAsia="zh-CN"/>
        </w:rPr>
        <w:t>推行企业首席数据官制度，发展数据经纪人、数据资产管理新业态新模式。</w:t>
      </w:r>
      <w:r>
        <w:rPr>
          <w:rFonts w:hint="default" w:ascii="Times New Roman" w:hAnsi="Times New Roman" w:eastAsia="仿宋_GB2312" w:cs="Times New Roman"/>
          <w:sz w:val="32"/>
          <w:szCs w:val="32"/>
          <w:highlight w:val="none"/>
        </w:rPr>
        <w:t>引导企业开展数据管理能力成熟度评估国家标准（DCMM）贯标并建立数据资源治理机制。</w:t>
      </w:r>
      <w:r>
        <w:rPr>
          <w:rFonts w:hint="default" w:ascii="Times New Roman" w:hAnsi="Times New Roman" w:eastAsia="仿宋_GB2312" w:cs="Times New Roman"/>
          <w:sz w:val="32"/>
          <w:szCs w:val="32"/>
          <w:highlight w:val="none"/>
          <w:lang w:val="en-US" w:eastAsia="zh-CN"/>
        </w:rPr>
        <w:t>以明珠湾智慧产业平台搭建为引擎，深入研究</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数据财政</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体系，积极引导</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lang w:val="en-US" w:eastAsia="zh-CN"/>
        </w:rPr>
        <w:t>属国企开展数据</w:t>
      </w:r>
      <w:r>
        <w:rPr>
          <w:rFonts w:hint="eastAsia" w:ascii="Times New Roman" w:hAnsi="Times New Roman" w:eastAsia="仿宋_GB2312" w:cs="Times New Roman"/>
          <w:sz w:val="32"/>
          <w:szCs w:val="32"/>
          <w:highlight w:val="none"/>
          <w:lang w:val="en-US" w:eastAsia="zh-CN"/>
        </w:rPr>
        <w:t>资产</w:t>
      </w:r>
      <w:r>
        <w:rPr>
          <w:rFonts w:hint="default" w:ascii="Times New Roman" w:hAnsi="Times New Roman" w:eastAsia="仿宋_GB2312" w:cs="Times New Roman"/>
          <w:sz w:val="32"/>
          <w:szCs w:val="32"/>
          <w:highlight w:val="none"/>
          <w:lang w:val="en-US" w:eastAsia="zh-CN"/>
        </w:rPr>
        <w:t>入表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探索公共数据授权运营及数据资源化、资产化、资本化运作路径。深入实施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数据要素×</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行动，积极承接相关数据要素相关赛事活动。聚焦</w:t>
      </w:r>
      <w:r>
        <w:rPr>
          <w:rFonts w:hint="eastAsia" w:ascii="Times New Roman" w:hAnsi="Times New Roman" w:eastAsia="仿宋_GB2312" w:cs="Times New Roman"/>
          <w:sz w:val="32"/>
          <w:szCs w:val="32"/>
          <w:highlight w:val="none"/>
          <w:lang w:val="en-US" w:eastAsia="zh-CN"/>
        </w:rPr>
        <w:t>港口</w:t>
      </w:r>
      <w:r>
        <w:rPr>
          <w:rFonts w:hint="default" w:ascii="Times New Roman" w:hAnsi="Times New Roman" w:eastAsia="仿宋_GB2312" w:cs="Times New Roman"/>
          <w:sz w:val="32"/>
          <w:szCs w:val="32"/>
          <w:highlight w:val="none"/>
          <w:lang w:val="en-US" w:eastAsia="zh-CN"/>
        </w:rPr>
        <w:t>物流、先进制造、金融商务、科技创新等</w:t>
      </w:r>
      <w:r>
        <w:rPr>
          <w:rFonts w:hint="eastAsia" w:ascii="Times New Roman" w:hAnsi="Times New Roman" w:eastAsia="仿宋_GB2312" w:cs="Times New Roman"/>
          <w:sz w:val="32"/>
          <w:szCs w:val="32"/>
          <w:highlight w:val="none"/>
          <w:lang w:val="en-US" w:eastAsia="zh-CN"/>
        </w:rPr>
        <w:t>区内</w:t>
      </w:r>
      <w:r>
        <w:rPr>
          <w:rFonts w:hint="default" w:ascii="Times New Roman" w:hAnsi="Times New Roman" w:eastAsia="仿宋_GB2312" w:cs="Times New Roman"/>
          <w:sz w:val="32"/>
          <w:szCs w:val="32"/>
          <w:highlight w:val="none"/>
          <w:lang w:val="en-US" w:eastAsia="zh-CN"/>
        </w:rPr>
        <w:t>布局的重点行业探索释放数据要素乘数效应，协同港澳探索</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数据要素×</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跨境应用场景。</w:t>
      </w:r>
    </w:p>
    <w:p w14:paraId="23E068EC">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bookmarkStart w:id="211" w:name="_Toc2661"/>
      <w:bookmarkStart w:id="212" w:name="_Toc24223"/>
      <w:bookmarkStart w:id="213" w:name="_Toc27855"/>
      <w:bookmarkStart w:id="214" w:name="_Toc12434"/>
      <w:r>
        <w:rPr>
          <w:rFonts w:hint="default" w:ascii="楷体_GB2312" w:hAnsi="楷体_GB2312" w:eastAsia="楷体_GB2312" w:cs="楷体_GB2312"/>
          <w:sz w:val="32"/>
          <w:szCs w:val="32"/>
          <w:highlight w:val="none"/>
          <w:lang w:val="en-US" w:eastAsia="zh-CN"/>
        </w:rPr>
        <w:t>（三）构筑跨境数据协同发展新</w:t>
      </w:r>
      <w:bookmarkEnd w:id="211"/>
      <w:bookmarkEnd w:id="212"/>
      <w:bookmarkEnd w:id="213"/>
      <w:r>
        <w:rPr>
          <w:rFonts w:hint="default" w:ascii="楷体_GB2312" w:hAnsi="楷体_GB2312" w:eastAsia="楷体_GB2312" w:cs="楷体_GB2312"/>
          <w:sz w:val="32"/>
          <w:szCs w:val="32"/>
          <w:highlight w:val="none"/>
          <w:lang w:val="en-US" w:eastAsia="zh-CN"/>
        </w:rPr>
        <w:t>高地</w:t>
      </w:r>
      <w:bookmarkEnd w:id="214"/>
    </w:p>
    <w:p w14:paraId="14E34293">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对标国际高标准经贸规则和自贸协定中关于数据流动的相关要求，在国家数据保护制度框架下，推动国际数据跨境流动规则衔接，探索制定需要纳入数据出境安全评估、个人信息出境标准合同、个人信息保护认证管理范围的数据清单，推动数据</w:t>
      </w:r>
      <w:r>
        <w:rPr>
          <w:rFonts w:hint="eastAsia" w:ascii="Times New Roman" w:hAnsi="Times New Roman" w:eastAsia="仿宋_GB2312" w:cs="Times New Roman"/>
          <w:sz w:val="32"/>
          <w:szCs w:val="32"/>
          <w:highlight w:val="none"/>
          <w:lang w:val="en-US" w:eastAsia="zh-CN"/>
        </w:rPr>
        <w:t>出</w:t>
      </w:r>
      <w:r>
        <w:rPr>
          <w:rFonts w:hint="default" w:ascii="Times New Roman" w:hAnsi="Times New Roman" w:eastAsia="仿宋_GB2312" w:cs="Times New Roman"/>
          <w:sz w:val="32"/>
          <w:szCs w:val="32"/>
          <w:highlight w:val="none"/>
          <w:lang w:val="en-US" w:eastAsia="zh-CN"/>
        </w:rPr>
        <w:t>境流动便利化。依托下一代互联网国家工程中心粤港澳大湾区创新中心打造数据保护和数据跨境服务平台，持续提升平台服务能力和服务范围，推动科研、金融、商贸、生物医药等行业领域数据依法有序跨境流动。围绕</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跨境数据+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应用场景，鼓励企业</w:t>
      </w:r>
      <w:r>
        <w:rPr>
          <w:rFonts w:hint="eastAsia" w:ascii="Times New Roman" w:hAnsi="Times New Roman" w:eastAsia="仿宋_GB2312" w:cs="Times New Roman"/>
          <w:sz w:val="32"/>
          <w:szCs w:val="32"/>
          <w:highlight w:val="none"/>
          <w:lang w:val="en-US" w:eastAsia="zh-CN"/>
        </w:rPr>
        <w:t>依法依规</w:t>
      </w:r>
      <w:r>
        <w:rPr>
          <w:rFonts w:hint="default" w:ascii="Times New Roman" w:hAnsi="Times New Roman" w:eastAsia="仿宋_GB2312" w:cs="Times New Roman"/>
          <w:sz w:val="32"/>
          <w:szCs w:val="32"/>
          <w:highlight w:val="none"/>
          <w:lang w:val="en-US" w:eastAsia="zh-CN"/>
        </w:rPr>
        <w:t>开展境外数据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来数加工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业务，</w:t>
      </w:r>
      <w:r>
        <w:rPr>
          <w:rFonts w:hint="eastAsia" w:ascii="Times New Roman" w:hAnsi="Times New Roman" w:eastAsia="仿宋_GB2312" w:cs="Times New Roman"/>
          <w:sz w:val="32"/>
          <w:szCs w:val="32"/>
          <w:highlight w:val="none"/>
          <w:lang w:val="en-US" w:eastAsia="zh-CN"/>
        </w:rPr>
        <w:t>提供“</w:t>
      </w:r>
      <w:r>
        <w:rPr>
          <w:rFonts w:hint="default" w:ascii="Times New Roman" w:hAnsi="Times New Roman" w:eastAsia="仿宋_GB2312" w:cs="Times New Roman"/>
          <w:sz w:val="32"/>
          <w:szCs w:val="32"/>
          <w:highlight w:val="none"/>
          <w:lang w:val="en-US" w:eastAsia="zh-CN"/>
        </w:rPr>
        <w:t>两头在外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的离岸数据服务，促进数据跨境流动和数字贸易，</w:t>
      </w:r>
      <w:r>
        <w:rPr>
          <w:rFonts w:hint="eastAsia" w:ascii="Times New Roman" w:hAnsi="Times New Roman" w:eastAsia="仿宋_GB2312" w:cs="Times New Roman"/>
          <w:sz w:val="32"/>
          <w:szCs w:val="32"/>
          <w:highlight w:val="none"/>
          <w:lang w:val="en-US" w:eastAsia="zh-CN"/>
        </w:rPr>
        <w:t>构建跨境数据综合服务体系</w:t>
      </w:r>
      <w:r>
        <w:rPr>
          <w:rFonts w:hint="default" w:ascii="Times New Roman" w:hAnsi="Times New Roman" w:eastAsia="仿宋_GB2312" w:cs="Times New Roman"/>
          <w:sz w:val="32"/>
          <w:szCs w:val="32"/>
          <w:highlight w:val="none"/>
          <w:lang w:val="en-US"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DAB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14:paraId="194104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1</w:t>
            </w:r>
            <w:r>
              <w:rPr>
                <w:rFonts w:hint="eastAsia" w:ascii="黑体" w:hAnsi="黑体" w:eastAsia="黑体" w:cs="黑体"/>
                <w:b w:val="0"/>
                <w:bCs w:val="0"/>
                <w:sz w:val="24"/>
                <w:szCs w:val="24"/>
                <w:highlight w:val="none"/>
                <w:vertAlign w:val="baseline"/>
                <w:lang w:val="en-US" w:eastAsia="zh-CN"/>
              </w:rPr>
              <w:t xml:space="preserve">  数据要素价值化重点项目</w:t>
            </w:r>
          </w:p>
        </w:tc>
      </w:tr>
      <w:tr w14:paraId="59DE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2F5E7B0">
            <w:pPr>
              <w:keepNext w:val="0"/>
              <w:keepLines w:val="0"/>
              <w:pageBreakBefore w:val="0"/>
              <w:widowControl/>
              <w:kinsoku/>
              <w:wordWrap/>
              <w:overflowPunct/>
              <w:topLinePunct w:val="0"/>
              <w:autoSpaceDE/>
              <w:autoSpaceDN/>
              <w:bidi w:val="0"/>
              <w:adjustRightInd/>
              <w:snapToGrid/>
              <w:spacing w:line="360" w:lineRule="exact"/>
              <w:ind w:firstLine="482" w:firstLineChars="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sz w:val="24"/>
                <w:szCs w:val="32"/>
                <w:highlight w:val="none"/>
                <w:lang w:val="en-US" w:eastAsia="zh-CN"/>
              </w:rPr>
              <w:t>广州数据交易所</w:t>
            </w:r>
            <w:r>
              <w:rPr>
                <w:rFonts w:hint="eastAsia" w:ascii="宋体" w:hAnsi="宋体" w:eastAsia="宋体" w:cs="宋体"/>
                <w:sz w:val="24"/>
                <w:szCs w:val="32"/>
                <w:highlight w:val="none"/>
                <w:lang w:val="en-US" w:eastAsia="zh-CN"/>
              </w:rPr>
              <w:t>。强化场景需求牵引，鼓励并积极引导各类数据交易标的进场合规交易，通过数据交易促进产业融合与创新，推动交易产品数量及规模实现稳步增长；创新合规服务模式，建设高质量合规服务生态，提升合规服务的专业化、标准化水平；加快数据交易服务基地、服务专区、共创中心建设，持续建设和培育行业数据空间，推动建设规范、便利、高效的数据交易生态系统；强化平台建设与运营，提升数据交易平台管理功能，探索创新平台建设</w:t>
            </w:r>
            <w:r>
              <w:rPr>
                <w:rFonts w:hint="eastAsia" w:ascii="宋体" w:hAnsi="宋体" w:eastAsia="宋体" w:cs="宋体"/>
                <w:b w:val="0"/>
                <w:bCs w:val="0"/>
                <w:sz w:val="24"/>
                <w:szCs w:val="24"/>
                <w:highlight w:val="none"/>
                <w:vertAlign w:val="baseline"/>
                <w:lang w:val="en-US" w:eastAsia="zh-CN"/>
              </w:rPr>
              <w:t>。</w:t>
            </w:r>
          </w:p>
          <w:p w14:paraId="66C509CD">
            <w:pPr>
              <w:keepNext w:val="0"/>
              <w:keepLines w:val="0"/>
              <w:pageBreakBefore w:val="0"/>
              <w:widowControl w:val="0"/>
              <w:kinsoku/>
              <w:wordWrap/>
              <w:overflowPunct/>
              <w:topLinePunct w:val="0"/>
              <w:autoSpaceDE/>
              <w:autoSpaceDN/>
              <w:bidi w:val="0"/>
              <w:adjustRightInd/>
              <w:snapToGrid/>
              <w:spacing w:after="0" w:afterLines="0" w:line="360" w:lineRule="exact"/>
              <w:ind w:firstLine="482"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b/>
                <w:bCs/>
                <w:kern w:val="2"/>
                <w:sz w:val="24"/>
                <w:szCs w:val="32"/>
                <w:highlight w:val="none"/>
                <w:lang w:val="en-US" w:eastAsia="zh-CN" w:bidi="ar-SA"/>
              </w:rPr>
              <w:t>全球数源中心</w:t>
            </w:r>
            <w:r>
              <w:rPr>
                <w:rFonts w:hint="eastAsia" w:ascii="宋体" w:hAnsi="宋体" w:eastAsia="宋体" w:cs="宋体"/>
                <w:b w:val="0"/>
                <w:bCs w:val="0"/>
                <w:kern w:val="2"/>
                <w:sz w:val="24"/>
                <w:szCs w:val="32"/>
                <w:highlight w:val="none"/>
                <w:lang w:val="en-US" w:eastAsia="zh-CN" w:bidi="ar-SA"/>
              </w:rPr>
              <w:t>。持续完善相关标准体系和数据规则体系，促进数据资产权益确定、数据要素流转应用、数字生态发展等数字治理创新，打造具有国际影响力的规则标准。</w:t>
            </w:r>
            <w:r>
              <w:rPr>
                <w:rFonts w:hint="eastAsia" w:ascii="宋体" w:hAnsi="宋体" w:eastAsia="宋体" w:cs="宋体"/>
                <w:b w:val="0"/>
                <w:bCs w:val="0"/>
                <w:spacing w:val="0"/>
                <w:kern w:val="2"/>
                <w:sz w:val="24"/>
                <w:szCs w:val="32"/>
                <w:highlight w:val="none"/>
                <w:lang w:val="en-US" w:eastAsia="zh-CN" w:bidi="ar-SA"/>
              </w:rPr>
              <w:t>加大溯源中心推广，</w:t>
            </w:r>
            <w:r>
              <w:rPr>
                <w:rFonts w:hint="eastAsia" w:ascii="宋体" w:hAnsi="宋体" w:eastAsia="宋体" w:cs="宋体"/>
                <w:b w:val="0"/>
                <w:bCs w:val="0"/>
                <w:kern w:val="2"/>
                <w:sz w:val="24"/>
                <w:szCs w:val="32"/>
                <w:highlight w:val="none"/>
                <w:lang w:val="en-US" w:eastAsia="zh-CN" w:bidi="ar-SA"/>
              </w:rPr>
              <w:t>持续打造在海关、市场、信用、金融等领域的创新应用，吸引溯源标识、知识产权、检验检测等产业服务集聚，探索“溯源+二手车出口”、“溯源+口岸物流”等模式。</w:t>
            </w:r>
          </w:p>
        </w:tc>
      </w:tr>
    </w:tbl>
    <w:p w14:paraId="3497F2D7">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0"/>
        <w:rPr>
          <w:rFonts w:hint="default" w:ascii="Times New Roman" w:hAnsi="Times New Roman" w:eastAsia="黑体" w:cs="Times New Roman"/>
          <w:b w:val="0"/>
          <w:bCs/>
          <w:i w:val="0"/>
          <w:kern w:val="44"/>
          <w:sz w:val="32"/>
          <w:szCs w:val="48"/>
          <w:highlight w:val="none"/>
          <w:lang w:val="en-US" w:eastAsia="zh-CN" w:bidi="ar"/>
        </w:rPr>
      </w:pPr>
      <w:bookmarkStart w:id="215" w:name="_Toc18699"/>
      <w:r>
        <w:rPr>
          <w:rFonts w:hint="default" w:ascii="Times New Roman" w:hAnsi="Times New Roman" w:eastAsia="黑体" w:cs="Times New Roman"/>
          <w:b w:val="0"/>
          <w:bCs/>
          <w:i w:val="0"/>
          <w:kern w:val="44"/>
          <w:sz w:val="32"/>
          <w:szCs w:val="48"/>
          <w:highlight w:val="none"/>
          <w:lang w:val="en-US" w:eastAsia="zh-CN" w:bidi="ar"/>
        </w:rPr>
        <w:t>四、构建创新引领的数字</w:t>
      </w:r>
      <w:bookmarkEnd w:id="202"/>
      <w:bookmarkEnd w:id="203"/>
      <w:bookmarkEnd w:id="204"/>
      <w:r>
        <w:rPr>
          <w:rFonts w:hint="default" w:ascii="Times New Roman" w:hAnsi="Times New Roman" w:eastAsia="黑体" w:cs="Times New Roman"/>
          <w:b w:val="0"/>
          <w:bCs/>
          <w:i w:val="0"/>
          <w:kern w:val="44"/>
          <w:sz w:val="32"/>
          <w:szCs w:val="48"/>
          <w:highlight w:val="none"/>
          <w:lang w:val="en-US" w:eastAsia="zh-CN" w:bidi="ar"/>
        </w:rPr>
        <w:t>产业集群</w:t>
      </w:r>
      <w:bookmarkEnd w:id="215"/>
    </w:p>
    <w:p w14:paraId="3C261BB3">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sz w:val="32"/>
          <w:highlight w:val="none"/>
          <w:lang w:val="en-US" w:eastAsia="zh-CN"/>
        </w:rPr>
      </w:pPr>
      <w:bookmarkStart w:id="216" w:name="_Toc29"/>
      <w:bookmarkStart w:id="217" w:name="_Toc28184"/>
      <w:bookmarkStart w:id="218" w:name="_Toc1738"/>
      <w:r>
        <w:rPr>
          <w:rFonts w:hint="default" w:ascii="Times New Roman" w:hAnsi="Times New Roman" w:eastAsia="仿宋_GB2312" w:cs="Times New Roman"/>
          <w:sz w:val="32"/>
          <w:highlight w:val="none"/>
          <w:lang w:val="en-US" w:eastAsia="zh-CN"/>
        </w:rPr>
        <w:t>发挥南沙</w:t>
      </w:r>
      <w:r>
        <w:rPr>
          <w:rFonts w:hint="default" w:ascii="Times New Roman" w:hAnsi="Times New Roman" w:eastAsia="仿宋_GB2312" w:cs="Times New Roman"/>
          <w:sz w:val="32"/>
          <w:highlight w:val="none"/>
          <w:lang w:val="en-US" w:eastAsia="zh-CN"/>
        </w:rPr>
        <w:fldChar w:fldCharType="begin"/>
      </w:r>
      <w:r>
        <w:rPr>
          <w:rFonts w:hint="default" w:ascii="Times New Roman" w:hAnsi="Times New Roman" w:eastAsia="仿宋" w:cs="Times New Roman"/>
          <w:sz w:val="32"/>
          <w:highlight w:val="none"/>
          <w:lang w:val="en-US" w:eastAsia="zh-CN"/>
        </w:rPr>
        <w:instrText xml:space="preserve"> HYPERLINK "http://www.baidu.com/link?url=p9fL9TzS9RxgfROKoiGERP3jnj2W4ngplpF8Waw1MaHcnC8YFPV47-aStvMykVV-LN17lI7Lkurdx2iCPHZh2q" \t "https://www.baidu.com/_blank" </w:instrText>
      </w:r>
      <w:r>
        <w:rPr>
          <w:rFonts w:hint="default" w:ascii="Times New Roman" w:hAnsi="Times New Roman" w:eastAsia="仿宋_GB2312" w:cs="Times New Roman"/>
          <w:sz w:val="32"/>
          <w:highlight w:val="none"/>
          <w:lang w:val="en-US" w:eastAsia="zh-CN"/>
        </w:rPr>
        <w:fldChar w:fldCharType="separate"/>
      </w:r>
      <w:r>
        <w:rPr>
          <w:rFonts w:hint="default" w:ascii="Times New Roman" w:hAnsi="Times New Roman" w:eastAsia="仿宋_GB2312" w:cs="Times New Roman"/>
          <w:sz w:val="32"/>
          <w:highlight w:val="none"/>
          <w:lang w:val="en-US" w:eastAsia="zh-CN"/>
        </w:rPr>
        <w:t>自贸区双</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15%</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税收优惠以及外商投资、跨境执业等方面政策</w:t>
      </w:r>
      <w:r>
        <w:rPr>
          <w:rFonts w:hint="default" w:ascii="Times New Roman" w:hAnsi="Times New Roman" w:eastAsia="仿宋_GB2312" w:cs="Times New Roman"/>
          <w:sz w:val="32"/>
          <w:highlight w:val="none"/>
          <w:lang w:val="en-US" w:eastAsia="zh-CN"/>
        </w:rPr>
        <w:fldChar w:fldCharType="end"/>
      </w:r>
      <w:r>
        <w:rPr>
          <w:rFonts w:hint="default" w:ascii="Times New Roman" w:hAnsi="Times New Roman" w:eastAsia="仿宋_GB2312" w:cs="Times New Roman"/>
          <w:sz w:val="32"/>
          <w:highlight w:val="none"/>
          <w:lang w:val="en-US" w:eastAsia="zh-CN"/>
        </w:rPr>
        <w:t>优势，积极吸引数字经济大项目大企业落地投产，带动全区数字产业提质增效。依托重大科技基础设施和创新平台建设，谋划布局一批数字经济未来产业。</w:t>
      </w:r>
    </w:p>
    <w:p w14:paraId="1EF93118">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19" w:name="_Toc17484"/>
      <w:r>
        <w:rPr>
          <w:rFonts w:hint="default" w:ascii="楷体_GB2312" w:hAnsi="楷体_GB2312" w:eastAsia="楷体_GB2312" w:cs="楷体_GB2312"/>
          <w:sz w:val="32"/>
          <w:highlight w:val="none"/>
          <w:lang w:val="en-US" w:eastAsia="zh-CN"/>
        </w:rPr>
        <w:t>（</w:t>
      </w:r>
      <w:r>
        <w:rPr>
          <w:rFonts w:hint="eastAsia" w:ascii="楷体_GB2312" w:hAnsi="楷体_GB2312" w:eastAsia="楷体_GB2312" w:cs="楷体_GB2312"/>
          <w:sz w:val="32"/>
          <w:highlight w:val="none"/>
          <w:lang w:val="en-US" w:eastAsia="zh-CN"/>
        </w:rPr>
        <w:t>一</w:t>
      </w:r>
      <w:r>
        <w:rPr>
          <w:rFonts w:hint="default" w:ascii="楷体_GB2312" w:hAnsi="楷体_GB2312" w:eastAsia="楷体_GB2312" w:cs="楷体_GB2312"/>
          <w:sz w:val="32"/>
          <w:highlight w:val="none"/>
          <w:lang w:val="en-US" w:eastAsia="zh-CN"/>
        </w:rPr>
        <w:t>）聚力</w:t>
      </w:r>
      <w:r>
        <w:rPr>
          <w:rFonts w:hint="eastAsia" w:ascii="楷体_GB2312" w:hAnsi="楷体_GB2312" w:eastAsia="楷体_GB2312" w:cs="楷体_GB2312"/>
          <w:sz w:val="32"/>
          <w:highlight w:val="none"/>
          <w:lang w:val="en-US" w:eastAsia="zh-CN"/>
        </w:rPr>
        <w:t>推进“</w:t>
      </w:r>
      <w:r>
        <w:rPr>
          <w:rFonts w:hint="default" w:ascii="楷体_GB2312" w:hAnsi="楷体_GB2312" w:eastAsia="楷体_GB2312" w:cs="楷体_GB2312"/>
          <w:sz w:val="32"/>
          <w:highlight w:val="none"/>
          <w:lang w:val="en-US" w:eastAsia="zh-CN"/>
        </w:rPr>
        <w:t>芯网器端</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电子信息</w:t>
      </w:r>
      <w:r>
        <w:rPr>
          <w:rFonts w:hint="eastAsia" w:ascii="楷体_GB2312" w:hAnsi="楷体_GB2312" w:eastAsia="楷体_GB2312" w:cs="楷体_GB2312"/>
          <w:sz w:val="32"/>
          <w:highlight w:val="none"/>
          <w:lang w:val="en-US" w:eastAsia="zh-CN"/>
        </w:rPr>
        <w:t>聚链成势</w:t>
      </w:r>
      <w:bookmarkEnd w:id="219"/>
    </w:p>
    <w:p w14:paraId="30D4A8DC">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b/>
          <w:bCs/>
          <w:sz w:val="32"/>
          <w:highlight w:val="none"/>
          <w:lang w:val="en-US" w:eastAsia="zh-CN"/>
        </w:rPr>
        <w:t>半导体</w:t>
      </w:r>
      <w:r>
        <w:rPr>
          <w:rFonts w:hint="default" w:ascii="Times New Roman" w:hAnsi="Times New Roman" w:eastAsia="仿宋_GB2312" w:cs="Times New Roman"/>
          <w:b/>
          <w:bCs/>
          <w:sz w:val="32"/>
          <w:highlight w:val="none"/>
          <w:lang w:val="en-US" w:eastAsia="zh-CN"/>
        </w:rPr>
        <w:t>与</w:t>
      </w:r>
      <w:r>
        <w:rPr>
          <w:rFonts w:hint="eastAsia" w:ascii="Times New Roman" w:hAnsi="Times New Roman" w:eastAsia="仿宋_GB2312" w:cs="Times New Roman"/>
          <w:b/>
          <w:bCs/>
          <w:sz w:val="32"/>
          <w:highlight w:val="none"/>
          <w:lang w:val="en-US" w:eastAsia="zh-CN"/>
        </w:rPr>
        <w:t>集成电路</w:t>
      </w:r>
      <w:r>
        <w:rPr>
          <w:rFonts w:hint="default" w:ascii="Times New Roman" w:hAnsi="Times New Roman" w:eastAsia="仿宋_GB2312" w:cs="Times New Roman"/>
          <w:b w:val="0"/>
          <w:bCs w:val="0"/>
          <w:sz w:val="32"/>
          <w:highlight w:val="none"/>
          <w:lang w:val="en-US" w:eastAsia="zh-CN"/>
        </w:rPr>
        <w:t>。依托</w:t>
      </w:r>
      <w:r>
        <w:rPr>
          <w:rFonts w:hint="default" w:ascii="Times New Roman" w:hAnsi="Times New Roman" w:eastAsia="仿宋_GB2312" w:cs="Times New Roman"/>
          <w:sz w:val="32"/>
          <w:highlight w:val="none"/>
          <w:lang w:val="en-US" w:eastAsia="zh-CN"/>
        </w:rPr>
        <w:t>香港科技大学（广州）等科研院所以及</w:t>
      </w:r>
      <w:r>
        <w:rPr>
          <w:rFonts w:hint="default" w:ascii="Times New Roman" w:hAnsi="Times New Roman" w:eastAsia="仿宋_GB2312" w:cs="Times New Roman"/>
          <w:kern w:val="2"/>
          <w:sz w:val="32"/>
          <w:szCs w:val="22"/>
          <w:highlight w:val="none"/>
        </w:rPr>
        <w:t>第三代半导体创新中心</w:t>
      </w:r>
      <w:r>
        <w:rPr>
          <w:rFonts w:hint="default" w:ascii="Times New Roman" w:hAnsi="Times New Roman" w:eastAsia="仿宋_GB2312" w:cs="Times New Roman"/>
          <w:kern w:val="2"/>
          <w:sz w:val="32"/>
          <w:szCs w:val="22"/>
          <w:highlight w:val="none"/>
          <w:lang w:val="en-US" w:eastAsia="zh-CN"/>
        </w:rPr>
        <w:t>等技术研发平台</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rPr>
        <w:t>围绕</w:t>
      </w:r>
      <w:r>
        <w:rPr>
          <w:rFonts w:hint="default" w:ascii="Times New Roman" w:hAnsi="Times New Roman" w:eastAsia="仿宋_GB2312" w:cs="Times New Roman"/>
          <w:sz w:val="32"/>
          <w:highlight w:val="none"/>
          <w:lang w:val="en-US" w:eastAsia="zh-CN"/>
        </w:rPr>
        <w:t>化合物半导体材料、</w:t>
      </w:r>
      <w:r>
        <w:rPr>
          <w:rFonts w:hint="default" w:ascii="Times New Roman" w:hAnsi="Times New Roman" w:eastAsia="仿宋_GB2312" w:cs="Times New Roman"/>
          <w:sz w:val="32"/>
          <w:highlight w:val="none"/>
        </w:rPr>
        <w:t>芯片设计与架构、特色工艺制程、先进封装测试工艺等领域开展关键核心技术攻关</w:t>
      </w:r>
      <w:r>
        <w:rPr>
          <w:rFonts w:hint="default" w:ascii="Times New Roman" w:hAnsi="Times New Roman" w:eastAsia="仿宋_GB2312" w:cs="Times New Roman"/>
          <w:sz w:val="32"/>
          <w:highlight w:val="none"/>
          <w:lang w:val="en-US" w:eastAsia="zh-CN"/>
        </w:rPr>
        <w:t>和协同创新。充分发挥芯粤能、芯聚能、晶科电子等区内骨干企业</w:t>
      </w:r>
      <w:r>
        <w:rPr>
          <w:rFonts w:hint="default" w:ascii="Times New Roman" w:hAnsi="Times New Roman" w:eastAsia="仿宋_GB2312" w:cs="Times New Roman"/>
          <w:kern w:val="2"/>
          <w:sz w:val="32"/>
          <w:szCs w:val="22"/>
          <w:highlight w:val="none"/>
          <w:lang w:val="en-US" w:eastAsia="zh-CN"/>
        </w:rPr>
        <w:t>技术</w:t>
      </w:r>
      <w:r>
        <w:rPr>
          <w:rFonts w:hint="default" w:ascii="Times New Roman" w:hAnsi="Times New Roman" w:eastAsia="仿宋_GB2312" w:cs="Times New Roman"/>
          <w:sz w:val="32"/>
          <w:szCs w:val="22"/>
          <w:highlight w:val="none"/>
        </w:rPr>
        <w:t>优势</w:t>
      </w:r>
      <w:r>
        <w:rPr>
          <w:rFonts w:hint="default" w:ascii="Times New Roman" w:hAnsi="Times New Roman" w:eastAsia="仿宋_GB2312" w:cs="Times New Roman"/>
          <w:sz w:val="32"/>
          <w:szCs w:val="22"/>
          <w:highlight w:val="none"/>
          <w:lang w:val="en-US" w:eastAsia="zh-CN"/>
        </w:rPr>
        <w:t>以及</w:t>
      </w:r>
      <w:r>
        <w:rPr>
          <w:rFonts w:hint="default" w:ascii="Times New Roman" w:hAnsi="Times New Roman" w:eastAsia="仿宋_GB2312" w:cs="Times New Roman"/>
          <w:sz w:val="32"/>
          <w:highlight w:val="none"/>
          <w:lang w:val="en-US" w:eastAsia="zh-CN"/>
        </w:rPr>
        <w:t>产业基金和</w:t>
      </w:r>
      <w:r>
        <w:rPr>
          <w:rFonts w:hint="default" w:ascii="Times New Roman" w:hAnsi="Times New Roman" w:eastAsia="仿宋_GB2312" w:cs="Times New Roman"/>
          <w:sz w:val="32"/>
          <w:szCs w:val="22"/>
          <w:highlight w:val="none"/>
        </w:rPr>
        <w:t>合作智库</w:t>
      </w:r>
      <w:r>
        <w:rPr>
          <w:rFonts w:hint="default" w:ascii="Times New Roman" w:hAnsi="Times New Roman" w:eastAsia="仿宋_GB2312" w:cs="Times New Roman"/>
          <w:sz w:val="32"/>
          <w:highlight w:val="none"/>
          <w:lang w:val="en-US" w:eastAsia="zh-CN"/>
        </w:rPr>
        <w:t>平台作用</w:t>
      </w:r>
      <w:r>
        <w:rPr>
          <w:rFonts w:hint="default" w:ascii="Times New Roman" w:hAnsi="Times New Roman" w:eastAsia="仿宋_GB2312" w:cs="Times New Roman"/>
          <w:sz w:val="32"/>
          <w:szCs w:val="22"/>
          <w:highlight w:val="none"/>
        </w:rPr>
        <w:t>，</w:t>
      </w:r>
      <w:r>
        <w:rPr>
          <w:rFonts w:hint="default" w:ascii="Times New Roman" w:hAnsi="Times New Roman" w:eastAsia="仿宋_GB2312" w:cs="Times New Roman"/>
          <w:sz w:val="32"/>
          <w:highlight w:val="none"/>
          <w:lang w:val="en-US" w:eastAsia="zh-CN"/>
        </w:rPr>
        <w:t>吸引一批细分领域</w:t>
      </w:r>
      <w:r>
        <w:rPr>
          <w:rFonts w:hint="default" w:ascii="Times New Roman" w:hAnsi="Times New Roman" w:eastAsia="仿宋_GB2312" w:cs="Times New Roman"/>
          <w:sz w:val="32"/>
          <w:highlight w:val="none"/>
        </w:rPr>
        <w:t>重大项目</w:t>
      </w:r>
      <w:r>
        <w:rPr>
          <w:rFonts w:hint="default" w:ascii="Times New Roman" w:hAnsi="Times New Roman" w:eastAsia="仿宋_GB2312" w:cs="Times New Roman"/>
          <w:sz w:val="32"/>
          <w:highlight w:val="none"/>
          <w:lang w:val="en-US" w:eastAsia="zh-CN"/>
        </w:rPr>
        <w:t>落户，持续壮大以宽禁带半导体为特色的设计、制造和封装测试全产业链基地，全面支撑</w:t>
      </w:r>
      <w:r>
        <w:rPr>
          <w:rFonts w:hint="default" w:ascii="Times New Roman" w:hAnsi="Times New Roman" w:eastAsia="仿宋_GB2312" w:cs="Times New Roman"/>
          <w:sz w:val="32"/>
          <w:highlight w:val="none"/>
        </w:rPr>
        <w:t>汽车</w:t>
      </w:r>
      <w:r>
        <w:rPr>
          <w:rFonts w:hint="default" w:ascii="Times New Roman" w:hAnsi="Times New Roman" w:eastAsia="仿宋_GB2312" w:cs="Times New Roman"/>
          <w:sz w:val="32"/>
          <w:highlight w:val="none"/>
          <w:lang w:eastAsia="zh-CN"/>
        </w:rPr>
        <w:t>电子、</w:t>
      </w:r>
      <w:r>
        <w:rPr>
          <w:rFonts w:hint="default" w:ascii="Times New Roman" w:hAnsi="Times New Roman" w:eastAsia="仿宋_GB2312" w:cs="Times New Roman"/>
          <w:sz w:val="32"/>
          <w:highlight w:val="none"/>
        </w:rPr>
        <w:t>半导体照明</w:t>
      </w:r>
      <w:r>
        <w:rPr>
          <w:rFonts w:hint="default"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电力</w:t>
      </w:r>
      <w:r>
        <w:rPr>
          <w:rFonts w:hint="default" w:ascii="Times New Roman" w:hAnsi="Times New Roman" w:eastAsia="仿宋_GB2312" w:cs="Times New Roman"/>
          <w:sz w:val="32"/>
          <w:highlight w:val="none"/>
        </w:rPr>
        <w:t>电子</w:t>
      </w:r>
      <w:r>
        <w:rPr>
          <w:rFonts w:hint="default" w:ascii="Times New Roman" w:hAnsi="Times New Roman" w:eastAsia="仿宋_GB2312" w:cs="Times New Roman"/>
          <w:sz w:val="32"/>
          <w:highlight w:val="none"/>
          <w:lang w:eastAsia="zh-CN"/>
        </w:rPr>
        <w:t>等</w:t>
      </w:r>
      <w:r>
        <w:rPr>
          <w:rFonts w:hint="default" w:ascii="Times New Roman" w:hAnsi="Times New Roman" w:eastAsia="仿宋_GB2312" w:cs="Times New Roman"/>
          <w:sz w:val="32"/>
          <w:highlight w:val="none"/>
          <w:lang w:val="en-US" w:eastAsia="zh-CN"/>
        </w:rPr>
        <w:t>新一代电子信息细分领域</w:t>
      </w:r>
      <w:r>
        <w:rPr>
          <w:rFonts w:hint="default" w:ascii="Times New Roman" w:hAnsi="Times New Roman" w:eastAsia="仿宋_GB2312" w:cs="Times New Roman"/>
          <w:sz w:val="32"/>
          <w:highlight w:val="none"/>
        </w:rPr>
        <w:t>创新发展</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kern w:val="0"/>
          <w:sz w:val="32"/>
          <w:szCs w:val="32"/>
          <w:highlight w:val="none"/>
        </w:rPr>
        <w:t>高标准</w:t>
      </w:r>
      <w:r>
        <w:rPr>
          <w:rFonts w:hint="default" w:ascii="Times New Roman" w:hAnsi="Times New Roman" w:eastAsia="仿宋_GB2312" w:cs="Times New Roman"/>
          <w:sz w:val="32"/>
          <w:highlight w:val="none"/>
          <w:lang w:val="en-US" w:eastAsia="zh-CN"/>
        </w:rPr>
        <w:t>建设万顷沙半导体</w:t>
      </w:r>
      <w:r>
        <w:rPr>
          <w:rFonts w:hint="eastAsia" w:ascii="Times New Roman" w:hAnsi="Times New Roman" w:eastAsia="仿宋_GB2312" w:cs="Times New Roman"/>
          <w:sz w:val="32"/>
          <w:highlight w:val="none"/>
          <w:lang w:val="en-US" w:eastAsia="zh-CN"/>
        </w:rPr>
        <w:t>与</w:t>
      </w:r>
      <w:r>
        <w:rPr>
          <w:rFonts w:hint="default" w:ascii="Times New Roman" w:hAnsi="Times New Roman" w:eastAsia="仿宋_GB2312" w:cs="Times New Roman"/>
          <w:sz w:val="32"/>
          <w:highlight w:val="none"/>
          <w:lang w:val="en-US" w:eastAsia="zh-CN"/>
        </w:rPr>
        <w:t>集成电路产业园，加大标准化、专业化厂房和配套设施建设力度，持续扩大产能和提升服务能力。持续举办集成电路产业交流活动，推动集成电路产业创新发展和产业供需对接。</w:t>
      </w:r>
    </w:p>
    <w:p w14:paraId="53E4B98D">
      <w:pPr>
        <w:pStyle w:val="3"/>
        <w:rPr>
          <w:rFonts w:hint="default" w:ascii="Times New Roman" w:hAnsi="Times New Roman" w:eastAsia="仿宋_GB2312" w:cs="Times New Roman"/>
          <w:sz w:val="32"/>
          <w:highlight w:val="none"/>
          <w:lang w:val="en-US" w:eastAsia="zh-CN"/>
        </w:rPr>
      </w:pPr>
    </w:p>
    <w:p w14:paraId="22C0F1F4">
      <w:pPr>
        <w:pStyle w:val="3"/>
        <w:rPr>
          <w:rFonts w:hint="default" w:ascii="Times New Roman" w:hAnsi="Times New Roman" w:eastAsia="仿宋_GB2312" w:cs="Times New Roman"/>
          <w:sz w:val="32"/>
          <w:highlight w:val="none"/>
          <w:lang w:val="en-US" w:eastAsia="zh-CN"/>
        </w:rPr>
      </w:pPr>
    </w:p>
    <w:p w14:paraId="1BDAD211">
      <w:pPr>
        <w:rPr>
          <w:rFonts w:hint="default"/>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8D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6FBF04A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2</w:t>
            </w:r>
            <w:r>
              <w:rPr>
                <w:rFonts w:hint="eastAsia" w:ascii="黑体" w:hAnsi="黑体" w:eastAsia="黑体" w:cs="黑体"/>
                <w:b w:val="0"/>
                <w:bCs w:val="0"/>
                <w:sz w:val="24"/>
                <w:szCs w:val="24"/>
                <w:highlight w:val="none"/>
                <w:vertAlign w:val="baseline"/>
                <w:lang w:val="en-US" w:eastAsia="zh-CN"/>
              </w:rPr>
              <w:t xml:space="preserve">  半导体与集成电路产业发展方向</w:t>
            </w:r>
          </w:p>
        </w:tc>
      </w:tr>
      <w:tr w14:paraId="3A79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0D2C3E7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晶圆制造</w:t>
            </w:r>
            <w:r>
              <w:rPr>
                <w:rFonts w:hint="eastAsia" w:ascii="宋体" w:hAnsi="宋体" w:eastAsia="宋体" w:cs="宋体"/>
                <w:sz w:val="24"/>
                <w:szCs w:val="24"/>
                <w:highlight w:val="none"/>
                <w:lang w:val="en-US" w:eastAsia="zh-CN"/>
              </w:rPr>
              <w:t>。积极引进</w:t>
            </w:r>
            <w:r>
              <w:rPr>
                <w:rFonts w:hint="eastAsia" w:ascii="Times New Roman" w:hAnsi="Times New Roman" w:eastAsia="宋体" w:cs="宋体"/>
                <w:sz w:val="24"/>
                <w:szCs w:val="24"/>
                <w:highlight w:val="none"/>
                <w:lang w:val="en-US" w:eastAsia="zh-CN"/>
              </w:rPr>
              <w:t>12</w:t>
            </w:r>
            <w:r>
              <w:rPr>
                <w:rFonts w:hint="eastAsia" w:ascii="宋体" w:hAnsi="宋体" w:eastAsia="宋体" w:cs="宋体"/>
                <w:sz w:val="24"/>
                <w:szCs w:val="24"/>
                <w:highlight w:val="none"/>
                <w:lang w:val="en-US" w:eastAsia="zh-CN"/>
              </w:rPr>
              <w:t>英寸硅基晶圆制造产线，支持芯粤能项目尽快达产，提升功率器件、模拟器件和</w:t>
            </w:r>
            <w:r>
              <w:rPr>
                <w:rFonts w:hint="eastAsia" w:ascii="Times New Roman" w:hAnsi="Times New Roman" w:eastAsia="宋体" w:cs="宋体"/>
                <w:sz w:val="24"/>
                <w:szCs w:val="24"/>
                <w:highlight w:val="none"/>
                <w:lang w:val="en-US" w:eastAsia="zh-CN"/>
              </w:rPr>
              <w:t>MEMS</w:t>
            </w:r>
            <w:r>
              <w:rPr>
                <w:rFonts w:hint="eastAsia" w:ascii="宋体" w:hAnsi="宋体" w:eastAsia="宋体" w:cs="宋体"/>
                <w:sz w:val="24"/>
                <w:szCs w:val="24"/>
                <w:highlight w:val="none"/>
                <w:lang w:val="en-US" w:eastAsia="zh-CN"/>
              </w:rPr>
              <w:t>传感器等产品晶圆制造产能，重点突破</w:t>
            </w:r>
            <w:r>
              <w:rPr>
                <w:rFonts w:hint="eastAsia" w:ascii="Times New Roman" w:hAnsi="Times New Roman" w:eastAsia="宋体" w:cs="宋体"/>
                <w:sz w:val="24"/>
                <w:szCs w:val="24"/>
                <w:highlight w:val="none"/>
                <w:lang w:val="en-US" w:eastAsia="zh-CN"/>
              </w:rPr>
              <w:t>28nm</w:t>
            </w:r>
            <w:r>
              <w:rPr>
                <w:rFonts w:hint="eastAsia" w:ascii="宋体" w:hAnsi="宋体" w:eastAsia="宋体" w:cs="宋体"/>
                <w:sz w:val="24"/>
                <w:szCs w:val="24"/>
                <w:highlight w:val="none"/>
                <w:lang w:val="en-US" w:eastAsia="zh-CN"/>
              </w:rPr>
              <w:t>逻辑芯片工艺和</w:t>
            </w:r>
            <w:r>
              <w:rPr>
                <w:rFonts w:hint="eastAsia" w:ascii="Times New Roman" w:hAnsi="Times New Roman" w:eastAsia="宋体" w:cs="宋体"/>
                <w:sz w:val="24"/>
                <w:szCs w:val="24"/>
                <w:highlight w:val="none"/>
                <w:lang w:val="en-US" w:eastAsia="zh-CN"/>
              </w:rPr>
              <w:t>FDSOI</w:t>
            </w:r>
            <w:r>
              <w:rPr>
                <w:rFonts w:hint="eastAsia" w:ascii="宋体" w:hAnsi="宋体" w:eastAsia="宋体" w:cs="宋体"/>
                <w:sz w:val="24"/>
                <w:szCs w:val="24"/>
                <w:highlight w:val="none"/>
                <w:lang w:val="en-US" w:eastAsia="zh-CN"/>
              </w:rPr>
              <w:t>工艺等关键技术。</w:t>
            </w:r>
          </w:p>
          <w:p w14:paraId="2AC64E1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封装测试</w:t>
            </w:r>
            <w:r>
              <w:rPr>
                <w:rFonts w:hint="eastAsia" w:ascii="宋体" w:hAnsi="宋体" w:eastAsia="宋体" w:cs="宋体"/>
                <w:sz w:val="24"/>
                <w:szCs w:val="24"/>
                <w:highlight w:val="none"/>
                <w:lang w:val="en-US" w:eastAsia="zh-CN"/>
              </w:rPr>
              <w:t>。推动安捷利、建滔集团等骨干企业建设</w:t>
            </w:r>
            <w:r>
              <w:rPr>
                <w:rFonts w:hint="eastAsia" w:ascii="宋体" w:hAnsi="宋体" w:eastAsia="宋体" w:cs="宋体"/>
                <w:sz w:val="24"/>
                <w:szCs w:val="24"/>
                <w:highlight w:val="none"/>
              </w:rPr>
              <w:t>柔性封装基板、刚挠结合板</w:t>
            </w:r>
            <w:r>
              <w:rPr>
                <w:rFonts w:hint="eastAsia" w:ascii="宋体" w:hAnsi="宋体" w:eastAsia="宋体" w:cs="宋体"/>
                <w:sz w:val="24"/>
                <w:szCs w:val="24"/>
                <w:highlight w:val="none"/>
                <w:lang w:val="en-US" w:eastAsia="zh-CN"/>
              </w:rPr>
              <w:t>等高端基板制造产线，提升封装基板市场占比。发展硅基</w:t>
            </w:r>
            <w:r>
              <w:rPr>
                <w:rFonts w:hint="eastAsia" w:ascii="Times New Roman" w:hAnsi="Times New Roman" w:eastAsia="宋体" w:cs="宋体"/>
                <w:sz w:val="24"/>
                <w:szCs w:val="24"/>
                <w:highlight w:val="none"/>
                <w:lang w:val="en-US" w:eastAsia="zh-CN"/>
              </w:rPr>
              <w:t>MOSFET</w:t>
            </w:r>
            <w:r>
              <w:rPr>
                <w:rFonts w:hint="eastAsia" w:ascii="宋体" w:hAnsi="宋体" w:eastAsia="宋体" w:cs="宋体"/>
                <w:sz w:val="24"/>
                <w:szCs w:val="24"/>
                <w:highlight w:val="none"/>
                <w:lang w:val="en-US" w:eastAsia="zh-CN"/>
              </w:rPr>
              <w:t>/</w:t>
            </w:r>
            <w:r>
              <w:rPr>
                <w:rFonts w:hint="eastAsia" w:ascii="Times New Roman" w:hAnsi="Times New Roman" w:eastAsia="宋体" w:cs="宋体"/>
                <w:sz w:val="24"/>
                <w:szCs w:val="24"/>
                <w:highlight w:val="none"/>
                <w:lang w:val="en-US" w:eastAsia="zh-CN"/>
              </w:rPr>
              <w:t>IGBT</w:t>
            </w:r>
            <w:r>
              <w:rPr>
                <w:rFonts w:hint="eastAsia" w:ascii="宋体" w:hAnsi="宋体" w:eastAsia="宋体" w:cs="宋体"/>
                <w:sz w:val="24"/>
                <w:szCs w:val="24"/>
                <w:highlight w:val="none"/>
                <w:lang w:val="en-US" w:eastAsia="zh-CN"/>
              </w:rPr>
              <w:t>器件、射频芯片、</w:t>
            </w:r>
            <w:r>
              <w:rPr>
                <w:rFonts w:hint="eastAsia" w:ascii="Times New Roman" w:hAnsi="Times New Roman" w:eastAsia="宋体" w:cs="宋体"/>
                <w:sz w:val="24"/>
                <w:szCs w:val="24"/>
                <w:highlight w:val="none"/>
                <w:lang w:val="en-US" w:eastAsia="zh-CN"/>
              </w:rPr>
              <w:t>MEMS</w:t>
            </w:r>
            <w:r>
              <w:rPr>
                <w:rFonts w:hint="eastAsia" w:ascii="宋体" w:hAnsi="宋体" w:eastAsia="宋体" w:cs="宋体"/>
                <w:sz w:val="24"/>
                <w:szCs w:val="24"/>
                <w:highlight w:val="none"/>
                <w:lang w:val="en-US" w:eastAsia="zh-CN"/>
              </w:rPr>
              <w:t>传感器等特色工艺芯片封装和存储器、处理器等数字芯片和模组封装测试。</w:t>
            </w:r>
          </w:p>
          <w:p w14:paraId="60CBA68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电子材料及元器件</w:t>
            </w:r>
            <w:r>
              <w:rPr>
                <w:rFonts w:hint="eastAsia" w:ascii="宋体" w:hAnsi="宋体" w:eastAsia="宋体" w:cs="宋体"/>
                <w:sz w:val="24"/>
                <w:szCs w:val="24"/>
                <w:highlight w:val="none"/>
                <w:lang w:val="en-US" w:eastAsia="zh-CN"/>
              </w:rPr>
              <w:t>。鼓励南砂晶圆等国内外领先企业在南沙布局</w:t>
            </w:r>
            <w:r>
              <w:rPr>
                <w:rFonts w:hint="eastAsia" w:ascii="Times New Roman" w:hAnsi="Times New Roman" w:eastAsia="宋体" w:cs="宋体"/>
                <w:sz w:val="24"/>
                <w:szCs w:val="24"/>
                <w:highlight w:val="none"/>
              </w:rPr>
              <w:t>SiC</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val="en-US" w:eastAsia="zh-CN"/>
              </w:rPr>
              <w:t>半导体材料</w:t>
            </w:r>
            <w:r>
              <w:rPr>
                <w:rFonts w:hint="eastAsia" w:ascii="宋体" w:hAnsi="宋体" w:eastAsia="宋体" w:cs="宋体"/>
                <w:sz w:val="24"/>
                <w:szCs w:val="24"/>
                <w:highlight w:val="none"/>
              </w:rPr>
              <w:t>合成制备技术</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开发大尺寸、低成本、高品质的衬底/外延材料和器件等重点产品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支持广钢气体等电子材料技术水平和供应能力，支持晶科电子、芯聚能、丰江电子等企业提升高端元器件性能及产业规模。</w:t>
            </w:r>
          </w:p>
          <w:p w14:paraId="3816D52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芯片设计</w:t>
            </w:r>
            <w:r>
              <w:rPr>
                <w:rFonts w:hint="eastAsia" w:ascii="宋体" w:hAnsi="宋体" w:eastAsia="宋体" w:cs="宋体"/>
                <w:sz w:val="24"/>
                <w:szCs w:val="24"/>
                <w:highlight w:val="none"/>
                <w:lang w:val="en-US" w:eastAsia="zh-CN"/>
              </w:rPr>
              <w:t>。支持香港科技大学（广州）等集成电路设计领域较为领先的研发团队在区内实现科技成果转化，形成就近服务能力。发展壮大奕行智能等一批智能网联汽车和人工智能应用领域的芯片设计企业。</w:t>
            </w:r>
          </w:p>
          <w:p w14:paraId="67DADEC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半导体设备</w:t>
            </w:r>
            <w:r>
              <w:rPr>
                <w:rFonts w:hint="eastAsia" w:ascii="宋体" w:hAnsi="宋体" w:eastAsia="宋体" w:cs="宋体"/>
                <w:sz w:val="24"/>
                <w:szCs w:val="24"/>
                <w:highlight w:val="none"/>
                <w:lang w:val="en-US" w:eastAsia="zh-CN"/>
              </w:rPr>
              <w:t>。持续推进先导装备、大族半导体、阿达半导体等重大项目建设，鼓励半导体设备企业在南沙设立生产基地，重点发展镀膜沉积设备、磁控溅射设备、离子蚀刻设备、引线机、划片机、量测设备、清洗设备、检测设备等产品。</w:t>
            </w:r>
          </w:p>
        </w:tc>
      </w:tr>
    </w:tbl>
    <w:p w14:paraId="7A82CFD7">
      <w:pPr>
        <w:keepNext w:val="0"/>
        <w:keepLines w:val="0"/>
        <w:widowControl w:val="0"/>
        <w:suppressLineNumbers w:val="0"/>
        <w:autoSpaceDE w:val="0"/>
        <w:autoSpaceDN w:val="0"/>
        <w:spacing w:line="560" w:lineRule="exact"/>
        <w:ind w:firstLine="643" w:firstLineChars="200"/>
        <w:jc w:val="left"/>
        <w:textAlignment w:val="bottom"/>
        <w:rPr>
          <w:rFonts w:hint="default" w:ascii="Times New Roman" w:hAnsi="Times New Roman" w:eastAsia="仿宋_GB2312" w:cs="Times New Roman"/>
          <w:i w:val="0"/>
          <w:iCs w:val="0"/>
          <w:caps w:val="0"/>
          <w:spacing w:val="0"/>
          <w:sz w:val="32"/>
          <w:szCs w:val="22"/>
          <w:highlight w:val="none"/>
          <w:shd w:val="clear" w:color="auto" w:fill="auto"/>
          <w:lang w:eastAsia="zh-CN"/>
        </w:rPr>
      </w:pPr>
      <w:r>
        <w:rPr>
          <w:rFonts w:hint="default" w:ascii="Times New Roman" w:hAnsi="Times New Roman" w:eastAsia="仿宋_GB2312" w:cs="Times New Roman"/>
          <w:b/>
          <w:bCs/>
          <w:sz w:val="32"/>
          <w:highlight w:val="none"/>
          <w:lang w:val="en-US" w:eastAsia="zh-CN"/>
        </w:rPr>
        <w:t>物联网与传感器</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rPr>
        <w:t>依托广州</w:t>
      </w:r>
      <w:r>
        <w:rPr>
          <w:rFonts w:hint="default" w:ascii="Times New Roman" w:hAnsi="Times New Roman" w:eastAsia="仿宋_GB2312" w:cs="Times New Roman"/>
          <w:sz w:val="32"/>
          <w:highlight w:val="none"/>
          <w:lang w:val="en-US" w:eastAsia="zh-CN"/>
        </w:rPr>
        <w:t>物联网研究院</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lang w:val="en-US" w:eastAsia="zh-CN"/>
        </w:rPr>
        <w:t>香港科技大学</w:t>
      </w:r>
      <w:r>
        <w:rPr>
          <w:rFonts w:hint="default" w:ascii="Times New Roman" w:hAnsi="Times New Roman" w:eastAsia="仿宋_GB2312" w:cs="Times New Roman"/>
          <w:sz w:val="32"/>
          <w:highlight w:val="none"/>
        </w:rPr>
        <w:t>霍英东研究院等</w:t>
      </w:r>
      <w:r>
        <w:rPr>
          <w:rFonts w:hint="default" w:ascii="Times New Roman" w:hAnsi="Times New Roman" w:eastAsia="仿宋_GB2312" w:cs="Times New Roman"/>
          <w:sz w:val="32"/>
          <w:highlight w:val="none"/>
          <w:lang w:val="en-US" w:eastAsia="zh-CN"/>
        </w:rPr>
        <w:t>科研单位</w:t>
      </w:r>
      <w:r>
        <w:rPr>
          <w:rFonts w:hint="default" w:ascii="Times New Roman" w:hAnsi="Times New Roman" w:eastAsia="仿宋_GB2312" w:cs="Times New Roman"/>
          <w:sz w:val="32"/>
          <w:highlight w:val="none"/>
        </w:rPr>
        <w:t>，加大高精度定位</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AIoT、无源物联网</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多源智能感知等关键技术</w:t>
      </w:r>
      <w:r>
        <w:rPr>
          <w:rFonts w:hint="default" w:ascii="Times New Roman" w:hAnsi="Times New Roman" w:eastAsia="仿宋_GB2312" w:cs="Times New Roman"/>
          <w:sz w:val="32"/>
          <w:highlight w:val="none"/>
          <w:lang w:eastAsia="zh-CN"/>
        </w:rPr>
        <w:t>攻关</w:t>
      </w:r>
      <w:r>
        <w:rPr>
          <w:rFonts w:hint="default" w:ascii="Times New Roman" w:hAnsi="Times New Roman" w:eastAsia="仿宋_GB2312" w:cs="Times New Roman"/>
          <w:sz w:val="32"/>
          <w:highlight w:val="none"/>
        </w:rPr>
        <w:t>力度</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i w:val="0"/>
          <w:iCs w:val="0"/>
          <w:caps w:val="0"/>
          <w:spacing w:val="0"/>
          <w:sz w:val="32"/>
          <w:szCs w:val="22"/>
          <w:highlight w:val="none"/>
          <w:shd w:val="clear" w:color="auto" w:fill="auto"/>
          <w:lang w:val="en-US" w:eastAsia="zh-CN"/>
        </w:rPr>
        <w:t>强化</w:t>
      </w:r>
      <w:r>
        <w:rPr>
          <w:rFonts w:hint="default" w:ascii="Times New Roman" w:hAnsi="Times New Roman" w:eastAsia="仿宋_GB2312" w:cs="Times New Roman"/>
          <w:sz w:val="32"/>
          <w:highlight w:val="none"/>
        </w:rPr>
        <w:t>窄带物联网（NB-IoT）、超宽带（UWB）、</w:t>
      </w:r>
      <w:r>
        <w:rPr>
          <w:rFonts w:hint="default" w:ascii="Times New Roman" w:hAnsi="Times New Roman" w:eastAsia="仿宋_GB2312" w:cs="Times New Roman"/>
          <w:sz w:val="32"/>
          <w:highlight w:val="none"/>
          <w:lang w:eastAsia="zh-CN"/>
        </w:rPr>
        <w:t>M</w:t>
      </w:r>
      <w:r>
        <w:rPr>
          <w:rFonts w:hint="default" w:ascii="Times New Roman" w:hAnsi="Times New Roman" w:eastAsia="仿宋_GB2312" w:cs="Times New Roman"/>
          <w:sz w:val="32"/>
          <w:highlight w:val="none"/>
          <w:lang w:val="en-US" w:eastAsia="zh-CN"/>
        </w:rPr>
        <w:t>EMS</w:t>
      </w:r>
      <w:r>
        <w:rPr>
          <w:rFonts w:hint="default" w:ascii="Times New Roman" w:hAnsi="Times New Roman" w:eastAsia="仿宋_GB2312" w:cs="Times New Roman"/>
          <w:sz w:val="32"/>
          <w:highlight w:val="none"/>
        </w:rPr>
        <w:t>传感器、物联网芯片、5G通信、物联网平台等</w:t>
      </w:r>
      <w:r>
        <w:rPr>
          <w:rFonts w:hint="default" w:ascii="Times New Roman" w:hAnsi="Times New Roman" w:eastAsia="仿宋_GB2312" w:cs="Times New Roman"/>
          <w:sz w:val="32"/>
          <w:highlight w:val="none"/>
          <w:lang w:val="en-US" w:eastAsia="zh-CN"/>
        </w:rPr>
        <w:t>产品开发，推进物联网技术与</w:t>
      </w:r>
      <w:r>
        <w:rPr>
          <w:rFonts w:hint="default" w:ascii="Times New Roman" w:hAnsi="Times New Roman" w:eastAsia="仿宋_GB2312" w:cs="Times New Roman"/>
          <w:sz w:val="32"/>
          <w:highlight w:val="none"/>
        </w:rPr>
        <w:t>智能传感器</w:t>
      </w:r>
      <w:r>
        <w:rPr>
          <w:rFonts w:hint="default" w:ascii="Times New Roman" w:hAnsi="Times New Roman" w:eastAsia="仿宋_GB2312" w:cs="Times New Roman"/>
          <w:sz w:val="32"/>
          <w:highlight w:val="none"/>
          <w:lang w:val="en-US" w:eastAsia="zh-CN"/>
        </w:rPr>
        <w:t>的</w:t>
      </w:r>
      <w:r>
        <w:rPr>
          <w:rFonts w:hint="default" w:ascii="Times New Roman" w:hAnsi="Times New Roman" w:eastAsia="仿宋_GB2312" w:cs="Times New Roman"/>
          <w:sz w:val="32"/>
          <w:highlight w:val="none"/>
        </w:rPr>
        <w:t>深度融合。依托国家物联网公共标识管理服务平台</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大力发展物联网安全设备，打造安全设备生产全产业链。发挥通则康威</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立功创新、联想懂的</w:t>
      </w:r>
      <w:r>
        <w:rPr>
          <w:rFonts w:hint="default" w:ascii="Times New Roman" w:hAnsi="Times New Roman" w:eastAsia="仿宋_GB2312" w:cs="Times New Roman"/>
          <w:sz w:val="32"/>
          <w:highlight w:val="none"/>
        </w:rPr>
        <w:t>等</w:t>
      </w:r>
      <w:r>
        <w:rPr>
          <w:rFonts w:hint="default" w:ascii="Times New Roman" w:hAnsi="Times New Roman" w:eastAsia="仿宋_GB2312" w:cs="Times New Roman"/>
          <w:sz w:val="32"/>
          <w:highlight w:val="none"/>
          <w:lang w:val="en-US" w:eastAsia="zh-CN"/>
        </w:rPr>
        <w:t>骨干</w:t>
      </w:r>
      <w:r>
        <w:rPr>
          <w:rFonts w:hint="default" w:ascii="Times New Roman" w:hAnsi="Times New Roman" w:eastAsia="仿宋_GB2312" w:cs="Times New Roman"/>
          <w:sz w:val="32"/>
          <w:highlight w:val="none"/>
        </w:rPr>
        <w:t>企业的引领带动作用</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i w:val="0"/>
          <w:iCs w:val="0"/>
          <w:caps w:val="0"/>
          <w:spacing w:val="0"/>
          <w:sz w:val="32"/>
          <w:szCs w:val="22"/>
          <w:highlight w:val="none"/>
          <w:shd w:val="clear" w:color="auto" w:fill="auto"/>
        </w:rPr>
        <w:t>推进5G工业</w:t>
      </w:r>
      <w:r>
        <w:rPr>
          <w:rFonts w:hint="default" w:ascii="Times New Roman" w:hAnsi="Times New Roman" w:eastAsia="仿宋_GB2312" w:cs="Times New Roman"/>
          <w:i w:val="0"/>
          <w:iCs w:val="0"/>
          <w:caps w:val="0"/>
          <w:spacing w:val="0"/>
          <w:sz w:val="32"/>
          <w:szCs w:val="22"/>
          <w:highlight w:val="none"/>
          <w:shd w:val="clear" w:color="auto" w:fill="auto"/>
          <w:lang w:eastAsia="zh-CN"/>
        </w:rPr>
        <w:t>路由器、</w:t>
      </w:r>
      <w:r>
        <w:rPr>
          <w:rFonts w:hint="default" w:ascii="Times New Roman" w:hAnsi="Times New Roman" w:eastAsia="仿宋_GB2312" w:cs="Times New Roman"/>
          <w:i w:val="0"/>
          <w:iCs w:val="0"/>
          <w:caps w:val="0"/>
          <w:spacing w:val="0"/>
          <w:sz w:val="32"/>
          <w:szCs w:val="22"/>
          <w:highlight w:val="none"/>
          <w:shd w:val="clear" w:color="auto" w:fill="auto"/>
        </w:rPr>
        <w:t>新型网关</w:t>
      </w:r>
      <w:r>
        <w:rPr>
          <w:rFonts w:hint="default" w:ascii="Times New Roman" w:hAnsi="Times New Roman" w:eastAsia="仿宋_GB2312" w:cs="Times New Roman"/>
          <w:i w:val="0"/>
          <w:iCs w:val="0"/>
          <w:caps w:val="0"/>
          <w:spacing w:val="0"/>
          <w:sz w:val="32"/>
          <w:szCs w:val="22"/>
          <w:highlight w:val="none"/>
          <w:shd w:val="clear" w:color="auto" w:fill="auto"/>
          <w:lang w:eastAsia="zh-CN"/>
        </w:rPr>
        <w:t>、</w:t>
      </w:r>
      <w:r>
        <w:rPr>
          <w:rFonts w:hint="default" w:ascii="Times New Roman" w:hAnsi="Times New Roman" w:eastAsia="仿宋_GB2312" w:cs="Times New Roman"/>
          <w:i w:val="0"/>
          <w:iCs w:val="0"/>
          <w:caps w:val="0"/>
          <w:spacing w:val="0"/>
          <w:sz w:val="32"/>
          <w:szCs w:val="22"/>
          <w:highlight w:val="none"/>
          <w:shd w:val="clear" w:color="auto" w:fill="auto"/>
          <w:lang w:val="en-US" w:eastAsia="zh-CN"/>
        </w:rPr>
        <w:t>嵌入式</w:t>
      </w:r>
      <w:r>
        <w:rPr>
          <w:rFonts w:hint="default" w:ascii="Times New Roman" w:hAnsi="Times New Roman" w:eastAsia="仿宋_GB2312" w:cs="Times New Roman"/>
          <w:sz w:val="32"/>
          <w:highlight w:val="none"/>
        </w:rPr>
        <w:t>芯片</w:t>
      </w:r>
      <w:r>
        <w:rPr>
          <w:rFonts w:hint="default" w:ascii="Times New Roman" w:hAnsi="Times New Roman" w:eastAsia="仿宋_GB2312" w:cs="Times New Roman"/>
          <w:sz w:val="32"/>
          <w:highlight w:val="none"/>
          <w:lang w:val="en-US" w:eastAsia="zh-CN"/>
        </w:rPr>
        <w:t>模组</w:t>
      </w:r>
      <w:r>
        <w:rPr>
          <w:rFonts w:hint="default" w:ascii="Times New Roman" w:hAnsi="Times New Roman" w:eastAsia="仿宋_GB2312" w:cs="Times New Roman"/>
          <w:sz w:val="32"/>
          <w:highlight w:val="none"/>
          <w:lang w:eastAsia="zh-CN"/>
        </w:rPr>
        <w:t>及</w:t>
      </w:r>
      <w:r>
        <w:rPr>
          <w:rFonts w:hint="default" w:ascii="Times New Roman" w:hAnsi="Times New Roman" w:eastAsia="仿宋_GB2312" w:cs="Times New Roman"/>
          <w:sz w:val="32"/>
          <w:highlight w:val="none"/>
          <w:lang w:val="en-US" w:eastAsia="zh-CN"/>
        </w:rPr>
        <w:t>行业</w:t>
      </w:r>
      <w:r>
        <w:rPr>
          <w:rFonts w:hint="default" w:ascii="Times New Roman" w:hAnsi="Times New Roman" w:eastAsia="仿宋_GB2312" w:cs="Times New Roman"/>
          <w:sz w:val="32"/>
          <w:highlight w:val="none"/>
        </w:rPr>
        <w:t>解决方案</w:t>
      </w:r>
      <w:r>
        <w:rPr>
          <w:rFonts w:hint="default" w:ascii="Times New Roman" w:hAnsi="Times New Roman" w:eastAsia="仿宋_GB2312" w:cs="Times New Roman"/>
          <w:i w:val="0"/>
          <w:iCs w:val="0"/>
          <w:caps w:val="0"/>
          <w:spacing w:val="0"/>
          <w:sz w:val="32"/>
          <w:szCs w:val="22"/>
          <w:highlight w:val="none"/>
          <w:shd w:val="clear" w:color="auto" w:fill="auto"/>
          <w:lang w:val="en-US" w:eastAsia="zh-CN"/>
        </w:rPr>
        <w:t>在智能制造、智慧城市、智能交通等领域的融合</w:t>
      </w:r>
      <w:r>
        <w:rPr>
          <w:rFonts w:hint="default" w:ascii="Times New Roman" w:hAnsi="Times New Roman" w:eastAsia="仿宋_GB2312" w:cs="Times New Roman"/>
          <w:i w:val="0"/>
          <w:iCs w:val="0"/>
          <w:caps w:val="0"/>
          <w:spacing w:val="0"/>
          <w:sz w:val="32"/>
          <w:szCs w:val="22"/>
          <w:highlight w:val="none"/>
          <w:shd w:val="clear" w:color="auto" w:fill="auto"/>
        </w:rPr>
        <w:t>应用</w:t>
      </w:r>
      <w:r>
        <w:rPr>
          <w:rFonts w:hint="default" w:ascii="Times New Roman" w:hAnsi="Times New Roman" w:eastAsia="仿宋_GB2312" w:cs="Times New Roman"/>
          <w:i w:val="0"/>
          <w:iCs w:val="0"/>
          <w:caps w:val="0"/>
          <w:spacing w:val="0"/>
          <w:sz w:val="32"/>
          <w:szCs w:val="22"/>
          <w:highlight w:val="none"/>
          <w:shd w:val="clear" w:color="auto" w:fill="auto"/>
          <w:lang w:eastAsia="zh-CN"/>
        </w:rPr>
        <w:t>。</w:t>
      </w:r>
    </w:p>
    <w:p w14:paraId="082445A4">
      <w:pPr>
        <w:widowControl w:val="0"/>
        <w:autoSpaceDE w:val="0"/>
        <w:autoSpaceDN w:val="0"/>
        <w:spacing w:line="560" w:lineRule="exact"/>
        <w:ind w:firstLine="643" w:firstLineChars="200"/>
        <w:jc w:val="left"/>
        <w:textAlignment w:val="bottom"/>
        <w:rPr>
          <w:rFonts w:hint="default" w:ascii="Times New Roman" w:hAnsi="Times New Roman" w:eastAsia="仿宋_GB2312" w:cs="Times New Roman"/>
          <w:sz w:val="32"/>
          <w:highlight w:val="none"/>
        </w:rPr>
      </w:pPr>
      <w:r>
        <w:rPr>
          <w:rFonts w:hint="default" w:ascii="Times New Roman" w:hAnsi="Times New Roman" w:eastAsia="仿宋_GB2312" w:cs="Times New Roman"/>
          <w:b/>
          <w:bCs/>
          <w:sz w:val="32"/>
          <w:highlight w:val="none"/>
          <w:lang w:val="en-US" w:eastAsia="zh-CN"/>
        </w:rPr>
        <w:t>消费电子终端</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rPr>
        <w:t>大力推动平板电脑、电</w:t>
      </w:r>
      <w:r>
        <w:rPr>
          <w:rFonts w:hint="default" w:ascii="Times New Roman" w:hAnsi="Times New Roman" w:eastAsia="仿宋_GB2312" w:cs="Times New Roman"/>
          <w:sz w:val="32"/>
          <w:szCs w:val="32"/>
          <w:highlight w:val="none"/>
        </w:rPr>
        <w:t>子阅读器</w:t>
      </w:r>
      <w:r>
        <w:rPr>
          <w:rFonts w:hint="default" w:ascii="Times New Roman" w:hAnsi="Times New Roman" w:eastAsia="仿宋_GB2312" w:cs="Times New Roman"/>
          <w:color w:val="000000"/>
          <w:kern w:val="0"/>
          <w:sz w:val="32"/>
          <w:szCs w:val="32"/>
          <w:highlight w:val="none"/>
          <w:lang w:val="en-US" w:eastAsia="zh-CN" w:bidi="ar"/>
        </w:rPr>
        <w:t>、数字</w:t>
      </w:r>
      <w:r>
        <w:rPr>
          <w:rFonts w:hint="default" w:ascii="Times New Roman" w:hAnsi="Times New Roman" w:eastAsia="仿宋_GB2312" w:cs="Times New Roman"/>
          <w:sz w:val="32"/>
          <w:highlight w:val="none"/>
          <w:lang w:val="en-US" w:eastAsia="zh-CN"/>
        </w:rPr>
        <w:t>电视</w:t>
      </w:r>
      <w:r>
        <w:rPr>
          <w:rFonts w:hint="default" w:ascii="Times New Roman" w:hAnsi="Times New Roman" w:eastAsia="仿宋_GB2312" w:cs="Times New Roman"/>
          <w:sz w:val="32"/>
          <w:highlight w:val="none"/>
        </w:rPr>
        <w:t>、可穿戴设备</w:t>
      </w:r>
      <w:r>
        <w:rPr>
          <w:rFonts w:hint="default" w:ascii="Times New Roman" w:hAnsi="Times New Roman" w:eastAsia="仿宋_GB2312" w:cs="Times New Roman"/>
          <w:color w:val="000000"/>
          <w:kern w:val="0"/>
          <w:sz w:val="32"/>
          <w:szCs w:val="32"/>
          <w:highlight w:val="none"/>
          <w:lang w:val="en-US" w:eastAsia="zh-CN" w:bidi="ar"/>
        </w:rPr>
        <w:t>等产业</w:t>
      </w:r>
      <w:r>
        <w:rPr>
          <w:rFonts w:hint="default" w:ascii="Times New Roman" w:hAnsi="Times New Roman" w:eastAsia="仿宋_GB2312" w:cs="Times New Roman"/>
          <w:sz w:val="32"/>
          <w:highlight w:val="none"/>
        </w:rPr>
        <w:t>集聚发展，</w:t>
      </w:r>
      <w:r>
        <w:rPr>
          <w:rFonts w:hint="default" w:ascii="Times New Roman" w:hAnsi="Times New Roman" w:eastAsia="仿宋_GB2312" w:cs="Times New Roman"/>
          <w:sz w:val="32"/>
          <w:highlight w:val="none"/>
          <w:lang w:val="en-US" w:eastAsia="zh-CN"/>
        </w:rPr>
        <w:t>加快酷比魔方产业园等重大项目建设</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鼓励企业加强高端创新</w:t>
      </w:r>
      <w:r>
        <w:rPr>
          <w:rFonts w:hint="default" w:ascii="Times New Roman" w:hAnsi="Times New Roman" w:eastAsia="仿宋_GB2312" w:cs="Times New Roman"/>
          <w:sz w:val="32"/>
          <w:highlight w:val="none"/>
        </w:rPr>
        <w:t>产品研发，加快人机交互、生物特征识别、计算机视觉、VR/AR</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大模型</w:t>
      </w:r>
      <w:r>
        <w:rPr>
          <w:rFonts w:hint="default" w:ascii="Times New Roman" w:hAnsi="Times New Roman" w:eastAsia="仿宋_GB2312" w:cs="Times New Roman"/>
          <w:sz w:val="32"/>
          <w:highlight w:val="none"/>
        </w:rPr>
        <w:t>等关键技术在消费</w:t>
      </w:r>
      <w:r>
        <w:rPr>
          <w:rFonts w:hint="default" w:ascii="Times New Roman" w:hAnsi="Times New Roman" w:eastAsia="仿宋_GB2312" w:cs="Times New Roman"/>
          <w:sz w:val="32"/>
          <w:highlight w:val="none"/>
          <w:lang w:eastAsia="zh-CN"/>
        </w:rPr>
        <w:t>电子</w:t>
      </w:r>
      <w:r>
        <w:rPr>
          <w:rFonts w:hint="default" w:ascii="Times New Roman" w:hAnsi="Times New Roman" w:eastAsia="仿宋_GB2312" w:cs="Times New Roman"/>
          <w:sz w:val="32"/>
          <w:highlight w:val="none"/>
          <w:lang w:val="en-US" w:eastAsia="zh-CN"/>
        </w:rPr>
        <w:t>终端</w:t>
      </w:r>
      <w:r>
        <w:rPr>
          <w:rFonts w:hint="default" w:ascii="Times New Roman" w:hAnsi="Times New Roman" w:eastAsia="仿宋_GB2312" w:cs="Times New Roman"/>
          <w:sz w:val="32"/>
          <w:highlight w:val="none"/>
        </w:rPr>
        <w:t>的应用</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提升终端智能化水平。支持文石信息、斯泰克</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长嘉电子等</w:t>
      </w:r>
      <w:r>
        <w:rPr>
          <w:rFonts w:hint="default" w:ascii="Times New Roman" w:hAnsi="Times New Roman" w:eastAsia="仿宋_GB2312" w:cs="Times New Roman"/>
          <w:sz w:val="32"/>
          <w:highlight w:val="none"/>
          <w:lang w:val="en-US" w:eastAsia="zh-CN"/>
        </w:rPr>
        <w:t>细分领域</w:t>
      </w:r>
      <w:r>
        <w:rPr>
          <w:rFonts w:hint="default" w:ascii="Times New Roman" w:hAnsi="Times New Roman" w:eastAsia="仿宋_GB2312" w:cs="Times New Roman"/>
          <w:sz w:val="32"/>
          <w:highlight w:val="none"/>
        </w:rPr>
        <w:t>企业做大做强</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鼓励企业从</w:t>
      </w:r>
      <w:r>
        <w:rPr>
          <w:rFonts w:hint="default" w:ascii="Times New Roman" w:hAnsi="Times New Roman" w:eastAsia="仿宋_GB2312" w:cs="Times New Roman"/>
          <w:sz w:val="32"/>
          <w:highlight w:val="none"/>
        </w:rPr>
        <w:t>OEM模式向ODM模式转</w:t>
      </w:r>
      <w:r>
        <w:rPr>
          <w:rFonts w:hint="default" w:ascii="Times New Roman" w:hAnsi="Times New Roman" w:eastAsia="仿宋_GB2312" w:cs="Times New Roman"/>
          <w:sz w:val="32"/>
          <w:highlight w:val="none"/>
          <w:lang w:val="en-US" w:eastAsia="zh-CN"/>
        </w:rPr>
        <w:t>型，强化</w:t>
      </w:r>
      <w:r>
        <w:rPr>
          <w:rFonts w:hint="default" w:ascii="Times New Roman" w:hAnsi="Times New Roman" w:eastAsia="仿宋_GB2312" w:cs="Times New Roman"/>
          <w:sz w:val="32"/>
          <w:highlight w:val="none"/>
        </w:rPr>
        <w:t>自主品牌建设。</w:t>
      </w:r>
      <w:r>
        <w:rPr>
          <w:rFonts w:hint="eastAsia" w:ascii="Times New Roman" w:hAnsi="Times New Roman" w:eastAsia="仿宋_GB2312" w:cs="Times New Roman"/>
          <w:sz w:val="32"/>
          <w:highlight w:val="none"/>
          <w:lang w:val="en-US" w:eastAsia="zh-CN"/>
        </w:rPr>
        <w:t>加强</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val="en-US" w:eastAsia="zh-CN"/>
        </w:rPr>
        <w:t>链主型</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消费电子终端</w:t>
      </w:r>
      <w:r>
        <w:rPr>
          <w:rFonts w:hint="eastAsia" w:ascii="Times New Roman" w:hAnsi="Times New Roman" w:eastAsia="仿宋_GB2312" w:cs="Times New Roman"/>
          <w:sz w:val="32"/>
          <w:highlight w:val="none"/>
          <w:lang w:val="en-US" w:eastAsia="zh-CN"/>
        </w:rPr>
        <w:t>企业招引力度</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highlight w:val="none"/>
          <w:lang w:val="en-US" w:eastAsia="zh-CN"/>
        </w:rPr>
        <w:t>延伸消费电子</w:t>
      </w:r>
      <w:r>
        <w:rPr>
          <w:rFonts w:hint="default" w:ascii="Times New Roman" w:hAnsi="Times New Roman" w:eastAsia="仿宋_GB2312" w:cs="Times New Roman"/>
          <w:sz w:val="32"/>
          <w:szCs w:val="32"/>
          <w:highlight w:val="none"/>
        </w:rPr>
        <w:t>上游</w:t>
      </w:r>
      <w:r>
        <w:rPr>
          <w:rFonts w:hint="default" w:ascii="Times New Roman" w:hAnsi="Times New Roman" w:eastAsia="仿宋_GB2312" w:cs="Times New Roman"/>
          <w:sz w:val="32"/>
          <w:szCs w:val="32"/>
          <w:highlight w:val="none"/>
          <w:lang w:val="en-US" w:eastAsia="zh-CN"/>
        </w:rPr>
        <w:t>产业链</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highlight w:val="none"/>
        </w:rPr>
        <w:t>着力引进上游结构件、</w:t>
      </w:r>
      <w:r>
        <w:rPr>
          <w:rFonts w:hint="default" w:ascii="Times New Roman" w:hAnsi="Times New Roman" w:eastAsia="仿宋_GB2312" w:cs="Times New Roman"/>
          <w:sz w:val="32"/>
          <w:highlight w:val="none"/>
          <w:lang w:val="en-US" w:eastAsia="zh-CN"/>
        </w:rPr>
        <w:t>新型显示面板、</w:t>
      </w:r>
      <w:r>
        <w:rPr>
          <w:rFonts w:hint="default" w:ascii="Times New Roman" w:hAnsi="Times New Roman" w:eastAsia="仿宋_GB2312" w:cs="Times New Roman"/>
          <w:sz w:val="32"/>
          <w:highlight w:val="none"/>
        </w:rPr>
        <w:t>触摸屏</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szCs w:val="32"/>
          <w:highlight w:val="none"/>
        </w:rPr>
        <w:t>功率模块</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应用</w:t>
      </w:r>
      <w:r>
        <w:rPr>
          <w:rFonts w:hint="default" w:ascii="Times New Roman" w:hAnsi="Times New Roman" w:eastAsia="仿宋_GB2312" w:cs="Times New Roman"/>
          <w:sz w:val="32"/>
          <w:szCs w:val="32"/>
          <w:highlight w:val="none"/>
          <w:lang w:val="en-US" w:eastAsia="zh-CN"/>
        </w:rPr>
        <w:t>软件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操作系统等</w:t>
      </w:r>
      <w:r>
        <w:rPr>
          <w:rFonts w:hint="default" w:ascii="Times New Roman" w:hAnsi="Times New Roman" w:eastAsia="仿宋_GB2312" w:cs="Times New Roman"/>
          <w:sz w:val="32"/>
          <w:szCs w:val="32"/>
          <w:highlight w:val="none"/>
          <w:lang w:val="en-US" w:eastAsia="zh-CN"/>
        </w:rPr>
        <w:t>相关配套</w:t>
      </w:r>
      <w:r>
        <w:rPr>
          <w:rFonts w:hint="default" w:ascii="Times New Roman" w:hAnsi="Times New Roman" w:eastAsia="仿宋_GB2312" w:cs="Times New Roman"/>
          <w:sz w:val="32"/>
          <w:szCs w:val="32"/>
          <w:highlight w:val="none"/>
        </w:rPr>
        <w:t>企业</w:t>
      </w:r>
      <w:r>
        <w:rPr>
          <w:rFonts w:hint="default" w:ascii="Times New Roman" w:hAnsi="Times New Roman" w:eastAsia="仿宋_GB2312" w:cs="Times New Roman"/>
          <w:sz w:val="32"/>
          <w:highlight w:val="none"/>
        </w:rPr>
        <w:t>。</w:t>
      </w:r>
    </w:p>
    <w:bookmarkEnd w:id="216"/>
    <w:bookmarkEnd w:id="217"/>
    <w:bookmarkEnd w:id="218"/>
    <w:p w14:paraId="3F92BAF6">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20" w:name="_Toc8245"/>
      <w:bookmarkStart w:id="221" w:name="_Toc7073"/>
      <w:bookmarkStart w:id="222" w:name="_Toc24908"/>
      <w:bookmarkStart w:id="223" w:name="_Toc15468"/>
      <w:r>
        <w:rPr>
          <w:rFonts w:hint="default" w:ascii="楷体_GB2312" w:hAnsi="楷体_GB2312" w:eastAsia="楷体_GB2312" w:cs="楷体_GB2312"/>
          <w:sz w:val="32"/>
          <w:highlight w:val="none"/>
          <w:lang w:val="en-US" w:eastAsia="zh-CN"/>
        </w:rPr>
        <w:t>（</w:t>
      </w:r>
      <w:r>
        <w:rPr>
          <w:rFonts w:hint="eastAsia" w:ascii="楷体_GB2312" w:hAnsi="楷体_GB2312" w:eastAsia="楷体_GB2312" w:cs="楷体_GB2312"/>
          <w:sz w:val="32"/>
          <w:highlight w:val="none"/>
          <w:lang w:val="en-US" w:eastAsia="zh-CN"/>
        </w:rPr>
        <w:t>二</w:t>
      </w:r>
      <w:r>
        <w:rPr>
          <w:rFonts w:hint="default" w:ascii="楷体_GB2312" w:hAnsi="楷体_GB2312" w:eastAsia="楷体_GB2312" w:cs="楷体_GB2312"/>
          <w:sz w:val="32"/>
          <w:highlight w:val="none"/>
          <w:lang w:val="en-US" w:eastAsia="zh-CN"/>
        </w:rPr>
        <w:t>）</w:t>
      </w:r>
      <w:r>
        <w:rPr>
          <w:rFonts w:hint="eastAsia" w:ascii="楷体_GB2312" w:hAnsi="楷体_GB2312" w:eastAsia="楷体_GB2312" w:cs="楷体_GB2312"/>
          <w:sz w:val="32"/>
          <w:highlight w:val="none"/>
          <w:lang w:val="en-US" w:eastAsia="zh-CN"/>
        </w:rPr>
        <w:t>发展</w:t>
      </w:r>
      <w:r>
        <w:rPr>
          <w:rFonts w:hint="default" w:ascii="楷体_GB2312" w:hAnsi="楷体_GB2312" w:eastAsia="楷体_GB2312" w:cs="楷体_GB2312"/>
          <w:sz w:val="32"/>
          <w:highlight w:val="none"/>
          <w:lang w:val="en-US" w:eastAsia="zh-CN"/>
        </w:rPr>
        <w:t>壮大</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软信数安</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数字技术应用</w:t>
      </w:r>
      <w:r>
        <w:rPr>
          <w:rFonts w:hint="eastAsia" w:ascii="楷体_GB2312" w:hAnsi="楷体_GB2312" w:eastAsia="楷体_GB2312" w:cs="楷体_GB2312"/>
          <w:sz w:val="32"/>
          <w:highlight w:val="none"/>
          <w:lang w:val="en-US" w:eastAsia="zh-CN"/>
        </w:rPr>
        <w:t>生态</w:t>
      </w:r>
      <w:bookmarkEnd w:id="220"/>
    </w:p>
    <w:p w14:paraId="2E046ADE">
      <w:pPr>
        <w:keepNext w:val="0"/>
        <w:keepLines w:val="0"/>
        <w:pageBreakBefore w:val="0"/>
        <w:widowControl w:val="0"/>
        <w:kinsoku/>
        <w:wordWrap/>
        <w:overflowPunct/>
        <w:topLinePunct w:val="0"/>
        <w:autoSpaceDE/>
        <w:autoSpaceDN/>
        <w:bidi w:val="0"/>
        <w:adjustRightInd/>
        <w:snapToGrid/>
        <w:spacing w:before="0" w:beforeAutospacing="0" w:after="639" w:afterLines="200" w:afterAutospacing="0" w:line="56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r>
        <w:rPr>
          <w:rFonts w:hint="default" w:ascii="Times New Roman" w:hAnsi="Times New Roman" w:eastAsia="仿宋_GB2312" w:cs="Times New Roman"/>
          <w:bCs w:val="0"/>
          <w:kern w:val="2"/>
          <w:sz w:val="32"/>
          <w:szCs w:val="22"/>
          <w:highlight w:val="none"/>
          <w:lang w:val="en-US" w:eastAsia="zh-CN" w:bidi="ar-SA"/>
        </w:rPr>
        <w:t>围绕基础软件、工业软件、行业应用软件、网络安全、数据服务等重点领域持续</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锻长板</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补短板</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，引进和</w:t>
      </w:r>
      <w:r>
        <w:rPr>
          <w:rFonts w:hint="default" w:ascii="Times New Roman" w:hAnsi="Times New Roman" w:eastAsia="仿宋_GB2312" w:cs="Times New Roman"/>
          <w:sz w:val="32"/>
          <w:highlight w:val="none"/>
        </w:rPr>
        <w:t>培育一批具有国际竞争力的大型软件企业和软件名品</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rPr>
        <w:t>支持智慧城市、金融财税、医疗教育、汽车服务等细分领域骨干</w:t>
      </w:r>
      <w:r>
        <w:rPr>
          <w:rFonts w:hint="default" w:ascii="Times New Roman" w:hAnsi="Times New Roman" w:eastAsia="仿宋_GB2312" w:cs="Times New Roman"/>
          <w:sz w:val="32"/>
          <w:highlight w:val="none"/>
          <w:lang w:val="en-US" w:eastAsia="zh-CN"/>
        </w:rPr>
        <w:t>软件与信息服务</w:t>
      </w:r>
      <w:r>
        <w:rPr>
          <w:rFonts w:hint="default" w:ascii="Times New Roman" w:hAnsi="Times New Roman" w:eastAsia="仿宋_GB2312" w:cs="Times New Roman"/>
          <w:sz w:val="32"/>
          <w:highlight w:val="none"/>
        </w:rPr>
        <w:t>企业</w:t>
      </w:r>
      <w:r>
        <w:rPr>
          <w:rFonts w:hint="default" w:ascii="Times New Roman" w:hAnsi="Times New Roman" w:eastAsia="仿宋_GB2312" w:cs="Times New Roman"/>
          <w:bCs w:val="0"/>
          <w:kern w:val="2"/>
          <w:sz w:val="32"/>
          <w:szCs w:val="22"/>
          <w:highlight w:val="none"/>
          <w:lang w:val="en-US" w:eastAsia="zh-CN" w:bidi="ar-SA"/>
        </w:rPr>
        <w:t>与中科院、香港科技大学（广州）等科研院所开展各类高端软件产品</w:t>
      </w:r>
      <w:r>
        <w:rPr>
          <w:rFonts w:hint="default" w:ascii="Times New Roman" w:hAnsi="Times New Roman" w:eastAsia="仿宋_GB2312" w:cs="Times New Roman"/>
          <w:sz w:val="32"/>
          <w:highlight w:val="none"/>
        </w:rPr>
        <w:t>技术研发和应用</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加快</w:t>
      </w:r>
      <w:r>
        <w:rPr>
          <w:rFonts w:hint="default" w:ascii="Times New Roman" w:hAnsi="Times New Roman" w:eastAsia="仿宋_GB2312" w:cs="Times New Roman"/>
          <w:sz w:val="32"/>
          <w:highlight w:val="none"/>
        </w:rPr>
        <w:t>基础软件、工业软件等关键核心技术自主可控</w:t>
      </w:r>
      <w:r>
        <w:rPr>
          <w:rFonts w:hint="default" w:ascii="Times New Roman" w:hAnsi="Times New Roman" w:eastAsia="仿宋_GB2312" w:cs="Times New Roman"/>
          <w:sz w:val="32"/>
          <w:highlight w:val="none"/>
          <w:lang w:eastAsia="zh-CN"/>
        </w:rPr>
        <w:t>，提升</w:t>
      </w:r>
      <w:r>
        <w:rPr>
          <w:rFonts w:hint="default" w:ascii="Times New Roman" w:hAnsi="Times New Roman" w:eastAsia="仿宋_GB2312" w:cs="Times New Roman"/>
          <w:sz w:val="32"/>
          <w:highlight w:val="none"/>
        </w:rPr>
        <w:t>大数据、人工智能等领域新兴软件创新能力</w:t>
      </w:r>
      <w:r>
        <w:rPr>
          <w:rFonts w:hint="default" w:ascii="Times New Roman" w:hAnsi="Times New Roman" w:eastAsia="仿宋_GB2312" w:cs="Times New Roman"/>
          <w:sz w:val="32"/>
          <w:highlight w:val="none"/>
          <w:lang w:val="en-US" w:eastAsia="zh-CN"/>
        </w:rPr>
        <w:t>，加快小程序、快应用、云化APP等轻量化平台推广</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szCs w:val="22"/>
          <w:highlight w:val="none"/>
          <w:lang w:val="en-US" w:eastAsia="zh-CN"/>
        </w:rPr>
        <w:t>积极融入广州软件名城建设，持续</w:t>
      </w:r>
      <w:r>
        <w:rPr>
          <w:rFonts w:hint="default" w:ascii="Times New Roman" w:hAnsi="Times New Roman" w:eastAsia="仿宋_GB2312" w:cs="Times New Roman"/>
          <w:sz w:val="32"/>
          <w:highlight w:val="none"/>
          <w:lang w:val="en-US" w:eastAsia="zh-CN"/>
        </w:rPr>
        <w:t>拓展产业链群发展空间，打造一批特色化、专业化、品牌化、高端化软件名园。持续</w:t>
      </w:r>
      <w:r>
        <w:rPr>
          <w:rFonts w:hint="default" w:ascii="Times New Roman" w:hAnsi="Times New Roman" w:eastAsia="仿宋_GB2312" w:cs="Times New Roman"/>
          <w:bCs w:val="0"/>
          <w:kern w:val="2"/>
          <w:sz w:val="32"/>
          <w:szCs w:val="22"/>
          <w:highlight w:val="none"/>
          <w:lang w:val="en-US" w:eastAsia="zh-CN" w:bidi="ar-SA"/>
        </w:rPr>
        <w:t>提升信息咨询设计、软件测试、信息系统维护等环节配套水平</w:t>
      </w:r>
      <w:r>
        <w:rPr>
          <w:rFonts w:hint="default" w:ascii="Times New Roman" w:hAnsi="Times New Roman" w:eastAsia="仿宋_GB2312" w:cs="Times New Roman"/>
          <w:sz w:val="32"/>
          <w:highlight w:val="none"/>
          <w:lang w:val="en-US" w:eastAsia="zh-CN"/>
        </w:rPr>
        <w:t>，</w:t>
      </w:r>
      <w:r>
        <w:rPr>
          <w:rFonts w:hint="default" w:ascii="Times New Roman" w:hAnsi="Times New Roman" w:eastAsia="仿宋_GB2312" w:cs="Times New Roman"/>
          <w:bCs w:val="0"/>
          <w:kern w:val="2"/>
          <w:sz w:val="32"/>
          <w:szCs w:val="22"/>
          <w:highlight w:val="none"/>
          <w:lang w:val="en-US" w:eastAsia="zh-CN" w:bidi="ar-SA"/>
        </w:rPr>
        <w:t>培育大湾区具有竞争力的软件与信息技术产业体系</w:t>
      </w:r>
      <w:r>
        <w:rPr>
          <w:rFonts w:hint="default" w:ascii="Times New Roman" w:hAnsi="Times New Roman" w:eastAsia="仿宋_GB2312" w:cs="Times New Roman"/>
          <w:sz w:val="32"/>
          <w:highlight w:val="none"/>
          <w:lang w:val="en-US"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626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7BF034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3</w:t>
            </w:r>
            <w:r>
              <w:rPr>
                <w:rFonts w:hint="eastAsia" w:ascii="黑体" w:hAnsi="黑体" w:eastAsia="黑体" w:cs="黑体"/>
                <w:b w:val="0"/>
                <w:bCs w:val="0"/>
                <w:sz w:val="24"/>
                <w:szCs w:val="24"/>
                <w:highlight w:val="none"/>
                <w:vertAlign w:val="baseline"/>
                <w:lang w:val="en-US" w:eastAsia="zh-CN"/>
              </w:rPr>
              <w:t xml:space="preserve">  软件与信息服务业重点发展方向</w:t>
            </w:r>
          </w:p>
        </w:tc>
      </w:tr>
      <w:tr w14:paraId="138C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46FC816">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基础软件</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依托</w:t>
            </w:r>
            <w:r>
              <w:rPr>
                <w:rFonts w:hint="eastAsia" w:ascii="宋体" w:hAnsi="宋体" w:eastAsia="宋体" w:cs="宋体"/>
                <w:b w:val="0"/>
                <w:bCs w:val="0"/>
                <w:sz w:val="24"/>
                <w:szCs w:val="24"/>
                <w:highlight w:val="none"/>
              </w:rPr>
              <w:t>广州智能软件产业研究院等科研单位</w:t>
            </w:r>
            <w:r>
              <w:rPr>
                <w:rFonts w:hint="eastAsia" w:ascii="宋体" w:hAnsi="宋体" w:eastAsia="宋体" w:cs="宋体"/>
                <w:sz w:val="24"/>
                <w:szCs w:val="24"/>
                <w:highlight w:val="none"/>
              </w:rPr>
              <w:t>打造软件公共技术平台</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加快</w:t>
            </w:r>
            <w:r>
              <w:rPr>
                <w:rFonts w:hint="eastAsia" w:ascii="宋体" w:hAnsi="宋体" w:eastAsia="宋体" w:cs="宋体"/>
                <w:b w:val="0"/>
                <w:bCs w:val="0"/>
                <w:sz w:val="24"/>
                <w:szCs w:val="24"/>
                <w:highlight w:val="none"/>
              </w:rPr>
              <w:t>培育一批</w:t>
            </w:r>
            <w:r>
              <w:rPr>
                <w:rFonts w:hint="eastAsia" w:ascii="宋体" w:hAnsi="宋体" w:eastAsia="宋体" w:cs="宋体"/>
                <w:sz w:val="24"/>
                <w:szCs w:val="24"/>
                <w:highlight w:val="none"/>
              </w:rPr>
              <w:t>操作系统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指令集、</w:t>
            </w:r>
            <w:r>
              <w:rPr>
                <w:rFonts w:hint="eastAsia" w:ascii="宋体" w:hAnsi="宋体" w:eastAsia="宋体" w:cs="宋体"/>
                <w:sz w:val="24"/>
                <w:szCs w:val="24"/>
                <w:highlight w:val="none"/>
                <w:lang w:val="en-US" w:eastAsia="zh-CN"/>
              </w:rPr>
              <w:t>中间件</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eastAsia="zh-CN"/>
              </w:rPr>
              <w:t>领域</w:t>
            </w:r>
            <w:r>
              <w:rPr>
                <w:rFonts w:hint="eastAsia" w:ascii="宋体" w:hAnsi="宋体" w:eastAsia="宋体" w:cs="宋体"/>
                <w:b w:val="0"/>
                <w:bCs w:val="0"/>
                <w:sz w:val="24"/>
                <w:szCs w:val="24"/>
                <w:highlight w:val="none"/>
                <w:lang w:val="en-US" w:eastAsia="zh-CN"/>
              </w:rPr>
              <w:t>基础软件</w:t>
            </w:r>
            <w:r>
              <w:rPr>
                <w:rFonts w:hint="eastAsia" w:ascii="宋体" w:hAnsi="宋体" w:eastAsia="宋体" w:cs="宋体"/>
                <w:b w:val="0"/>
                <w:bCs w:val="0"/>
                <w:sz w:val="24"/>
                <w:szCs w:val="24"/>
                <w:highlight w:val="none"/>
              </w:rPr>
              <w:t>企业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支持巨杉数据、软通动力等</w:t>
            </w:r>
            <w:r>
              <w:rPr>
                <w:rFonts w:hint="eastAsia" w:ascii="宋体" w:hAnsi="宋体" w:eastAsia="宋体" w:cs="宋体"/>
                <w:b w:val="0"/>
                <w:bCs w:val="0"/>
                <w:sz w:val="24"/>
                <w:szCs w:val="24"/>
                <w:highlight w:val="none"/>
                <w:lang w:val="en-US" w:eastAsia="zh-CN"/>
              </w:rPr>
              <w:t>基础软件</w:t>
            </w:r>
            <w:r>
              <w:rPr>
                <w:rFonts w:hint="eastAsia" w:ascii="宋体" w:hAnsi="宋体" w:eastAsia="宋体" w:cs="宋体"/>
                <w:b w:val="0"/>
                <w:bCs w:val="0"/>
                <w:sz w:val="24"/>
                <w:szCs w:val="24"/>
                <w:highlight w:val="none"/>
              </w:rPr>
              <w:t>企业</w:t>
            </w:r>
            <w:r>
              <w:rPr>
                <w:rFonts w:hint="eastAsia" w:ascii="宋体" w:hAnsi="宋体" w:eastAsia="宋体" w:cs="宋体"/>
                <w:b w:val="0"/>
                <w:bCs w:val="0"/>
                <w:sz w:val="24"/>
                <w:szCs w:val="24"/>
                <w:highlight w:val="none"/>
                <w:lang w:val="en-US" w:eastAsia="zh-CN"/>
              </w:rPr>
              <w:t>发展壮大，</w:t>
            </w:r>
            <w:r>
              <w:rPr>
                <w:rFonts w:hint="eastAsia" w:ascii="宋体" w:hAnsi="宋体" w:eastAsia="宋体" w:cs="宋体"/>
                <w:b w:val="0"/>
                <w:bCs w:val="0"/>
                <w:sz w:val="24"/>
                <w:szCs w:val="24"/>
                <w:highlight w:val="none"/>
              </w:rPr>
              <w:t>积极承担国家级重点软件项目</w:t>
            </w:r>
            <w:r>
              <w:rPr>
                <w:rFonts w:hint="eastAsia" w:ascii="宋体" w:hAnsi="宋体" w:eastAsia="宋体" w:cs="宋体"/>
                <w:b w:val="0"/>
                <w:bCs w:val="0"/>
                <w:sz w:val="24"/>
                <w:szCs w:val="24"/>
                <w:highlight w:val="none"/>
                <w:lang w:val="en-US" w:eastAsia="zh-CN"/>
              </w:rPr>
              <w:t>和</w:t>
            </w:r>
            <w:r>
              <w:rPr>
                <w:rFonts w:hint="eastAsia" w:ascii="宋体" w:hAnsi="宋体" w:eastAsia="宋体" w:cs="宋体"/>
                <w:sz w:val="24"/>
                <w:szCs w:val="24"/>
                <w:highlight w:val="none"/>
              </w:rPr>
              <w:t>核心软件攻关工程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鼓励</w:t>
            </w:r>
            <w:r>
              <w:rPr>
                <w:rFonts w:hint="eastAsia" w:ascii="宋体" w:hAnsi="宋体" w:eastAsia="宋体" w:cs="宋体"/>
                <w:b w:val="0"/>
                <w:bCs w:val="0"/>
                <w:sz w:val="24"/>
                <w:szCs w:val="24"/>
                <w:highlight w:val="none"/>
              </w:rPr>
              <w:t>开展首版次软件产品研发</w:t>
            </w:r>
            <w:r>
              <w:rPr>
                <w:rFonts w:hint="eastAsia" w:ascii="宋体" w:hAnsi="宋体" w:eastAsia="宋体" w:cs="宋体"/>
                <w:b w:val="0"/>
                <w:bCs w:val="0"/>
                <w:sz w:val="24"/>
                <w:szCs w:val="24"/>
                <w:highlight w:val="none"/>
                <w:lang w:eastAsia="zh-CN"/>
              </w:rPr>
              <w:t>，</w:t>
            </w:r>
            <w:r>
              <w:rPr>
                <w:rFonts w:hint="eastAsia" w:ascii="宋体" w:hAnsi="宋体" w:eastAsia="宋体" w:cs="宋体"/>
                <w:sz w:val="24"/>
                <w:szCs w:val="24"/>
                <w:highlight w:val="none"/>
              </w:rPr>
              <w:t>提升基础软件供给能力。</w:t>
            </w:r>
          </w:p>
          <w:p w14:paraId="6DA7B8B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行业软件</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依托</w:t>
            </w:r>
            <w:r>
              <w:rPr>
                <w:rFonts w:hint="eastAsia" w:ascii="宋体" w:hAnsi="宋体" w:eastAsia="宋体" w:cs="宋体"/>
                <w:sz w:val="24"/>
                <w:szCs w:val="24"/>
                <w:highlight w:val="none"/>
              </w:rPr>
              <w:t>广州软件应用技术研究院</w:t>
            </w:r>
            <w:r>
              <w:rPr>
                <w:rFonts w:hint="eastAsia" w:ascii="宋体" w:hAnsi="宋体" w:eastAsia="宋体" w:cs="宋体"/>
                <w:sz w:val="24"/>
                <w:szCs w:val="24"/>
                <w:highlight w:val="none"/>
                <w:lang w:val="en-US" w:eastAsia="zh-CN"/>
              </w:rPr>
              <w:t>等科研单位以及</w:t>
            </w:r>
            <w:r>
              <w:rPr>
                <w:rFonts w:hint="eastAsia" w:ascii="宋体" w:hAnsi="宋体" w:eastAsia="宋体" w:cs="宋体"/>
                <w:b w:val="0"/>
                <w:bCs w:val="0"/>
                <w:sz w:val="24"/>
                <w:szCs w:val="24"/>
                <w:highlight w:val="none"/>
              </w:rPr>
              <w:t>碧江信息、佳都软件、星河智联等骨干企业</w:t>
            </w:r>
            <w:r>
              <w:rPr>
                <w:rFonts w:hint="eastAsia" w:ascii="宋体" w:hAnsi="宋体" w:eastAsia="宋体" w:cs="宋体"/>
                <w:b w:val="0"/>
                <w:bCs w:val="0"/>
                <w:sz w:val="24"/>
                <w:szCs w:val="24"/>
                <w:highlight w:val="none"/>
                <w:lang w:eastAsia="zh-CN"/>
              </w:rPr>
              <w:t>，以</w:t>
            </w:r>
            <w:r>
              <w:rPr>
                <w:rFonts w:hint="eastAsia" w:ascii="宋体" w:hAnsi="宋体" w:eastAsia="宋体" w:cs="宋体"/>
                <w:b w:val="0"/>
                <w:bCs w:val="0"/>
                <w:sz w:val="24"/>
                <w:szCs w:val="24"/>
                <w:highlight w:val="none"/>
                <w:lang w:val="en-US" w:eastAsia="zh-CN"/>
              </w:rPr>
              <w:t>汽车、</w:t>
            </w:r>
            <w:r>
              <w:rPr>
                <w:rFonts w:hint="eastAsia" w:ascii="宋体" w:hAnsi="宋体" w:eastAsia="宋体" w:cs="宋体"/>
                <w:b w:val="0"/>
                <w:bCs w:val="0"/>
                <w:sz w:val="24"/>
                <w:szCs w:val="24"/>
                <w:highlight w:val="none"/>
              </w:rPr>
              <w:t>医疗、交通、教育、金融</w:t>
            </w:r>
            <w:r>
              <w:rPr>
                <w:rFonts w:hint="eastAsia" w:ascii="宋体" w:hAnsi="宋体" w:eastAsia="宋体" w:cs="宋体"/>
                <w:b w:val="0"/>
                <w:bCs w:val="0"/>
                <w:sz w:val="24"/>
                <w:szCs w:val="24"/>
                <w:highlight w:val="none"/>
                <w:lang w:val="en-US" w:eastAsia="zh-CN"/>
              </w:rPr>
              <w:t>财税</w:t>
            </w:r>
            <w:r>
              <w:rPr>
                <w:rFonts w:hint="eastAsia" w:ascii="宋体" w:hAnsi="宋体" w:eastAsia="宋体" w:cs="宋体"/>
                <w:b w:val="0"/>
                <w:bCs w:val="0"/>
                <w:sz w:val="24"/>
                <w:szCs w:val="24"/>
                <w:highlight w:val="none"/>
              </w:rPr>
              <w:t>等</w:t>
            </w:r>
            <w:r>
              <w:rPr>
                <w:rFonts w:hint="eastAsia" w:ascii="宋体" w:hAnsi="宋体" w:eastAsia="宋体" w:cs="宋体"/>
                <w:b w:val="0"/>
                <w:bCs w:val="0"/>
                <w:sz w:val="24"/>
                <w:szCs w:val="24"/>
                <w:highlight w:val="none"/>
                <w:lang w:val="en-US" w:eastAsia="zh-CN"/>
              </w:rPr>
              <w:t>领域</w:t>
            </w:r>
            <w:r>
              <w:rPr>
                <w:rFonts w:hint="eastAsia" w:ascii="宋体" w:hAnsi="宋体" w:eastAsia="宋体" w:cs="宋体"/>
                <w:sz w:val="24"/>
                <w:szCs w:val="24"/>
                <w:highlight w:val="none"/>
              </w:rPr>
              <w:t>应用场景为牵引，</w:t>
            </w:r>
            <w:r>
              <w:rPr>
                <w:rFonts w:hint="eastAsia" w:ascii="宋体" w:hAnsi="宋体" w:eastAsia="宋体" w:cs="宋体"/>
                <w:b w:val="0"/>
                <w:bCs w:val="0"/>
                <w:sz w:val="24"/>
                <w:szCs w:val="24"/>
                <w:highlight w:val="none"/>
              </w:rPr>
              <w:t>开发一批</w:t>
            </w:r>
            <w:r>
              <w:rPr>
                <w:rFonts w:hint="eastAsia" w:ascii="宋体" w:hAnsi="宋体" w:eastAsia="宋体" w:cs="宋体"/>
                <w:b w:val="0"/>
                <w:bCs w:val="0"/>
                <w:sz w:val="24"/>
                <w:szCs w:val="24"/>
                <w:highlight w:val="none"/>
                <w:lang w:val="en-US" w:eastAsia="zh-CN"/>
              </w:rPr>
              <w:t>推广性好、</w:t>
            </w:r>
            <w:r>
              <w:rPr>
                <w:rFonts w:hint="eastAsia" w:ascii="宋体" w:hAnsi="宋体" w:eastAsia="宋体" w:cs="宋体"/>
                <w:sz w:val="24"/>
                <w:szCs w:val="24"/>
                <w:highlight w:val="none"/>
              </w:rPr>
              <w:t>可靠性</w:t>
            </w:r>
            <w:r>
              <w:rPr>
                <w:rFonts w:hint="eastAsia" w:ascii="宋体" w:hAnsi="宋体" w:eastAsia="宋体" w:cs="宋体"/>
                <w:sz w:val="24"/>
                <w:szCs w:val="24"/>
                <w:highlight w:val="none"/>
                <w:lang w:eastAsia="zh-CN"/>
              </w:rPr>
              <w:t>强、</w:t>
            </w:r>
            <w:r>
              <w:rPr>
                <w:rFonts w:hint="eastAsia" w:ascii="宋体" w:hAnsi="宋体" w:eastAsia="宋体" w:cs="宋体"/>
                <w:sz w:val="24"/>
                <w:szCs w:val="24"/>
                <w:highlight w:val="none"/>
              </w:rPr>
              <w:t>安全性</w:t>
            </w:r>
            <w:r>
              <w:rPr>
                <w:rFonts w:hint="eastAsia" w:ascii="宋体" w:hAnsi="宋体" w:eastAsia="宋体" w:cs="宋体"/>
                <w:sz w:val="24"/>
                <w:szCs w:val="24"/>
                <w:highlight w:val="none"/>
                <w:lang w:val="en-US" w:eastAsia="zh-CN"/>
              </w:rPr>
              <w:t>高的行业</w:t>
            </w:r>
            <w:r>
              <w:rPr>
                <w:rFonts w:hint="eastAsia" w:ascii="宋体" w:hAnsi="宋体" w:eastAsia="宋体" w:cs="宋体"/>
                <w:b w:val="0"/>
                <w:bCs w:val="0"/>
                <w:sz w:val="24"/>
                <w:szCs w:val="24"/>
                <w:highlight w:val="none"/>
              </w:rPr>
              <w:t>应用软件。</w:t>
            </w:r>
            <w:r>
              <w:rPr>
                <w:rFonts w:hint="eastAsia" w:ascii="宋体" w:hAnsi="宋体" w:eastAsia="宋体" w:cs="宋体"/>
                <w:b w:val="0"/>
                <w:bCs w:val="0"/>
                <w:sz w:val="24"/>
                <w:szCs w:val="24"/>
                <w:highlight w:val="none"/>
                <w:lang w:val="en-US" w:eastAsia="zh-CN"/>
              </w:rPr>
              <w:t>鼓励</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云化</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应用</w:t>
            </w:r>
            <w:r>
              <w:rPr>
                <w:rFonts w:hint="eastAsia" w:ascii="宋体" w:hAnsi="宋体" w:eastAsia="宋体" w:cs="宋体"/>
                <w:b w:val="0"/>
                <w:bCs w:val="0"/>
                <w:sz w:val="24"/>
                <w:szCs w:val="24"/>
                <w:highlight w:val="none"/>
              </w:rPr>
              <w:t>软件</w:t>
            </w:r>
            <w:r>
              <w:rPr>
                <w:rFonts w:hint="eastAsia" w:ascii="宋体" w:hAnsi="宋体" w:eastAsia="宋体" w:cs="宋体"/>
                <w:b w:val="0"/>
                <w:bCs w:val="0"/>
                <w:sz w:val="24"/>
                <w:szCs w:val="24"/>
                <w:highlight w:val="none"/>
                <w:lang w:val="en-US" w:eastAsia="zh-CN"/>
              </w:rPr>
              <w:t>发展</w:t>
            </w:r>
            <w:r>
              <w:rPr>
                <w:rFonts w:hint="eastAsia" w:ascii="宋体" w:hAnsi="宋体" w:eastAsia="宋体" w:cs="宋体"/>
                <w:b w:val="0"/>
                <w:bCs w:val="0"/>
                <w:sz w:val="24"/>
                <w:szCs w:val="24"/>
                <w:highlight w:val="none"/>
              </w:rPr>
              <w:t>，构建智能软件生态体系。</w:t>
            </w:r>
          </w:p>
          <w:p w14:paraId="02154DD1">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工业软件</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面向新能源和智能网联汽车</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集成电路、航空航天、船舶</w:t>
            </w:r>
            <w:r>
              <w:rPr>
                <w:rFonts w:hint="eastAsia" w:ascii="宋体" w:hAnsi="宋体" w:eastAsia="宋体" w:cs="宋体"/>
                <w:sz w:val="24"/>
                <w:szCs w:val="24"/>
                <w:highlight w:val="none"/>
                <w:lang w:val="en-US" w:eastAsia="zh-CN"/>
              </w:rPr>
              <w:t>海工</w:t>
            </w:r>
            <w:r>
              <w:rPr>
                <w:rFonts w:hint="eastAsia" w:ascii="宋体" w:hAnsi="宋体" w:eastAsia="宋体" w:cs="宋体"/>
                <w:sz w:val="24"/>
                <w:szCs w:val="24"/>
                <w:highlight w:val="none"/>
              </w:rPr>
              <w:t>等重点领域需求，</w:t>
            </w:r>
            <w:r>
              <w:rPr>
                <w:rFonts w:hint="eastAsia" w:ascii="宋体" w:hAnsi="宋体" w:eastAsia="宋体" w:cs="宋体"/>
                <w:b w:val="0"/>
                <w:bCs w:val="0"/>
                <w:sz w:val="24"/>
                <w:szCs w:val="24"/>
                <w:highlight w:val="none"/>
              </w:rPr>
              <w:t>引进</w:t>
            </w:r>
            <w:r>
              <w:rPr>
                <w:rFonts w:hint="eastAsia" w:ascii="宋体" w:hAnsi="宋体" w:eastAsia="宋体" w:cs="宋体"/>
                <w:b w:val="0"/>
                <w:bCs w:val="0"/>
                <w:sz w:val="24"/>
                <w:szCs w:val="24"/>
                <w:highlight w:val="none"/>
                <w:lang w:val="en-US" w:eastAsia="zh-CN"/>
              </w:rPr>
              <w:t>和培育</w:t>
            </w:r>
            <w:r>
              <w:rPr>
                <w:rFonts w:hint="eastAsia" w:ascii="宋体" w:hAnsi="宋体" w:eastAsia="宋体" w:cs="宋体"/>
                <w:b w:val="0"/>
                <w:bCs w:val="0"/>
                <w:sz w:val="24"/>
                <w:szCs w:val="24"/>
                <w:highlight w:val="none"/>
              </w:rPr>
              <w:t>一批</w:t>
            </w:r>
            <w:r>
              <w:rPr>
                <w:rFonts w:hint="eastAsia" w:ascii="宋体" w:hAnsi="宋体" w:eastAsia="宋体" w:cs="宋体"/>
                <w:b w:val="0"/>
                <w:bCs w:val="0"/>
                <w:sz w:val="24"/>
                <w:szCs w:val="24"/>
                <w:highlight w:val="none"/>
                <w:lang w:val="en-US" w:eastAsia="zh-CN"/>
              </w:rPr>
              <w:t>智能制造仿真设计、运营管理、工业控制等关键工业</w:t>
            </w:r>
            <w:r>
              <w:rPr>
                <w:rFonts w:hint="eastAsia" w:ascii="宋体" w:hAnsi="宋体" w:eastAsia="宋体" w:cs="宋体"/>
                <w:b w:val="0"/>
                <w:bCs w:val="0"/>
                <w:sz w:val="24"/>
                <w:szCs w:val="24"/>
                <w:highlight w:val="none"/>
              </w:rPr>
              <w:t>软件</w:t>
            </w:r>
            <w:r>
              <w:rPr>
                <w:rFonts w:hint="eastAsia" w:ascii="宋体" w:hAnsi="宋体" w:eastAsia="宋体" w:cs="宋体"/>
                <w:b w:val="0"/>
                <w:bCs w:val="0"/>
                <w:sz w:val="24"/>
                <w:szCs w:val="24"/>
                <w:highlight w:val="none"/>
                <w:lang w:val="en-US" w:eastAsia="zh-CN"/>
              </w:rPr>
              <w:t>和</w:t>
            </w:r>
            <w:r>
              <w:rPr>
                <w:rFonts w:hint="eastAsia" w:ascii="宋体" w:hAnsi="宋体" w:eastAsia="宋体" w:cs="宋体"/>
                <w:sz w:val="24"/>
                <w:szCs w:val="24"/>
                <w:highlight w:val="none"/>
              </w:rPr>
              <w:t>嵌入式软件系统</w:t>
            </w:r>
            <w:r>
              <w:rPr>
                <w:rFonts w:hint="eastAsia" w:ascii="宋体" w:hAnsi="宋体" w:eastAsia="宋体" w:cs="宋体"/>
                <w:b w:val="0"/>
                <w:bCs w:val="0"/>
                <w:sz w:val="24"/>
                <w:szCs w:val="24"/>
                <w:highlight w:val="none"/>
              </w:rPr>
              <w:t>企业。</w:t>
            </w:r>
          </w:p>
          <w:p w14:paraId="5479624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数据服务</w:t>
            </w:r>
            <w:r>
              <w:rPr>
                <w:rFonts w:hint="eastAsia" w:ascii="宋体" w:hAnsi="宋体" w:eastAsia="宋体" w:cs="宋体"/>
                <w:b w:val="0"/>
                <w:bCs w:val="0"/>
                <w:sz w:val="24"/>
                <w:szCs w:val="24"/>
                <w:highlight w:val="none"/>
              </w:rPr>
              <w:t>。充分发挥广州数据交易所牵引作用，加强高质量数据集/训练集、数据加工等企业集聚，强化基础算法、核心算法等关键技术研发。加大数据服务企业引培力度，集聚一批</w:t>
            </w:r>
            <w:r>
              <w:rPr>
                <w:rFonts w:hint="eastAsia" w:ascii="宋体" w:hAnsi="宋体" w:eastAsia="宋体" w:cs="宋体"/>
                <w:b w:val="0"/>
                <w:bCs w:val="0"/>
                <w:sz w:val="24"/>
                <w:szCs w:val="24"/>
                <w:highlight w:val="none"/>
                <w:lang w:val="en-US" w:eastAsia="zh-CN"/>
              </w:rPr>
              <w:t>数据存储、</w:t>
            </w:r>
            <w:r>
              <w:rPr>
                <w:rFonts w:hint="eastAsia" w:ascii="宋体" w:hAnsi="宋体" w:eastAsia="宋体" w:cs="宋体"/>
                <w:b w:val="0"/>
                <w:bCs w:val="0"/>
                <w:sz w:val="24"/>
                <w:szCs w:val="24"/>
                <w:highlight w:val="none"/>
              </w:rPr>
              <w:t>数据运营、数据开发、数据交易等领域优质企业，着力引进、培育和支持数据商及第三方专业服务机构聚集发展，拓展数据服务应用场景，构建数据服务产业生态体系。</w:t>
            </w:r>
          </w:p>
          <w:p w14:paraId="79F06A82">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网络安全</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支持天融信、数智网络、竞恒智能等网络安全重点企业开展</w:t>
            </w:r>
            <w:r>
              <w:rPr>
                <w:rFonts w:hint="eastAsia" w:ascii="宋体" w:hAnsi="宋体" w:eastAsia="宋体" w:cs="宋体"/>
                <w:b w:val="0"/>
                <w:bCs w:val="0"/>
                <w:sz w:val="24"/>
                <w:szCs w:val="24"/>
                <w:highlight w:val="none"/>
              </w:rPr>
              <w:t>网络安全关键技术攻关，推动防火墙、安全网关等安全产品</w:t>
            </w:r>
            <w:r>
              <w:rPr>
                <w:rFonts w:hint="eastAsia" w:ascii="宋体" w:hAnsi="宋体" w:eastAsia="宋体" w:cs="宋体"/>
                <w:b w:val="0"/>
                <w:bCs w:val="0"/>
                <w:sz w:val="24"/>
                <w:szCs w:val="24"/>
                <w:highlight w:val="none"/>
                <w:lang w:eastAsia="zh-CN"/>
              </w:rPr>
              <w:t>智能</w:t>
            </w:r>
            <w:r>
              <w:rPr>
                <w:rFonts w:hint="eastAsia" w:ascii="宋体" w:hAnsi="宋体" w:eastAsia="宋体" w:cs="宋体"/>
                <w:b w:val="0"/>
                <w:bCs w:val="0"/>
                <w:sz w:val="24"/>
                <w:szCs w:val="24"/>
                <w:highlight w:val="none"/>
              </w:rPr>
              <w:t>化发展。鼓励</w:t>
            </w:r>
            <w:r>
              <w:rPr>
                <w:rFonts w:hint="eastAsia" w:ascii="宋体" w:hAnsi="宋体" w:eastAsia="宋体" w:cs="宋体"/>
                <w:b w:val="0"/>
                <w:bCs w:val="0"/>
                <w:sz w:val="24"/>
                <w:szCs w:val="24"/>
                <w:highlight w:val="none"/>
                <w:lang w:eastAsia="zh-CN"/>
              </w:rPr>
              <w:t>基础</w:t>
            </w:r>
            <w:r>
              <w:rPr>
                <w:rFonts w:hint="eastAsia" w:ascii="宋体" w:hAnsi="宋体" w:eastAsia="宋体" w:cs="宋体"/>
                <w:b w:val="0"/>
                <w:bCs w:val="0"/>
                <w:sz w:val="24"/>
                <w:szCs w:val="24"/>
                <w:highlight w:val="none"/>
              </w:rPr>
              <w:t>电信运营商、云服务提供商发挥资源优势，提供监测预警、攻击防护、应急保障等网络安全增值服务。支持举办网络安全周等主题活动，推进网络安全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政产融学研用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融合发展。</w:t>
            </w:r>
          </w:p>
        </w:tc>
      </w:tr>
    </w:tbl>
    <w:p w14:paraId="4BFDF88C">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24" w:name="_Toc9518"/>
      <w:r>
        <w:rPr>
          <w:rFonts w:hint="default" w:ascii="楷体_GB2312" w:hAnsi="楷体_GB2312" w:eastAsia="楷体_GB2312" w:cs="楷体_GB2312"/>
          <w:sz w:val="32"/>
          <w:highlight w:val="none"/>
          <w:lang w:val="en-US" w:eastAsia="zh-CN"/>
        </w:rPr>
        <w:t>（三）</w:t>
      </w:r>
      <w:r>
        <w:rPr>
          <w:rFonts w:hint="eastAsia" w:ascii="楷体_GB2312" w:hAnsi="楷体_GB2312" w:eastAsia="楷体_GB2312" w:cs="楷体_GB2312"/>
          <w:sz w:val="32"/>
          <w:highlight w:val="none"/>
          <w:lang w:val="en-US" w:eastAsia="zh-CN"/>
        </w:rPr>
        <w:t>全面</w:t>
      </w:r>
      <w:r>
        <w:rPr>
          <w:rFonts w:hint="default" w:ascii="楷体_GB2312" w:hAnsi="楷体_GB2312" w:eastAsia="楷体_GB2312" w:cs="楷体_GB2312"/>
          <w:sz w:val="32"/>
          <w:highlight w:val="none"/>
          <w:lang w:val="en-US" w:eastAsia="zh-CN"/>
        </w:rPr>
        <w:t>激活</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人工智能+</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产业发展新能级</w:t>
      </w:r>
      <w:bookmarkEnd w:id="221"/>
      <w:bookmarkEnd w:id="222"/>
      <w:bookmarkEnd w:id="224"/>
    </w:p>
    <w:bookmarkEnd w:id="223"/>
    <w:p w14:paraId="54165242">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lang w:val="en-US" w:eastAsia="zh-CN"/>
        </w:rPr>
        <w:t>AI大模型</w:t>
      </w:r>
      <w:r>
        <w:rPr>
          <w:rFonts w:hint="default" w:ascii="Times New Roman" w:hAnsi="Times New Roman" w:eastAsia="仿宋_GB2312" w:cs="Times New Roman"/>
          <w:sz w:val="32"/>
          <w:highlight w:val="none"/>
          <w:lang w:val="en-US" w:eastAsia="zh-CN"/>
        </w:rPr>
        <w:t>。依托香港科技大学（广州）、中科院</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一院五所</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等科研力量，加大通用人工智能基础理论、基础软件算法、类脑智能、具身智能等大模型领域前沿技术研究，研发新一代大模型架构和训练方法。发挥人工智能链主引领作用，招引和培育一批人工智能细分领域领军企业，提升大模型产品研发水平和行业赋能能力。支持云从科技、</w:t>
      </w:r>
      <w:r>
        <w:rPr>
          <w:rFonts w:hint="eastAsia" w:ascii="Times New Roman" w:hAnsi="Times New Roman" w:eastAsia="仿宋_GB2312" w:cs="Times New Roman"/>
          <w:sz w:val="32"/>
          <w:highlight w:val="none"/>
          <w:lang w:val="en-US" w:eastAsia="zh-CN"/>
        </w:rPr>
        <w:t>暗物智能</w:t>
      </w:r>
      <w:r>
        <w:rPr>
          <w:rFonts w:hint="default" w:ascii="Times New Roman" w:hAnsi="Times New Roman" w:eastAsia="仿宋_GB2312" w:cs="Times New Roman"/>
          <w:sz w:val="32"/>
          <w:highlight w:val="none"/>
          <w:lang w:val="en-US" w:eastAsia="zh-CN"/>
        </w:rPr>
        <w:t>等人工智能骨干企业在语音识别、生物特征识别、自然语言处理、新型人机交互、自主决策控制等人工智能全领域布局，建设一批拥有前沿技术、良好市场前景的多模态通用大模型和特色行业大模型。深入开展</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人工智能+</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行动，在工业、建筑、农业、医疗、健康、教育等领域持续拓展一批人工智能与数字技术应用场景。</w:t>
      </w:r>
    </w:p>
    <w:p w14:paraId="172E7324">
      <w:pPr>
        <w:pageBreakBefore w:val="0"/>
        <w:widowControl w:val="0"/>
        <w:kinsoku/>
        <w:wordWrap/>
        <w:overflowPunct/>
        <w:topLinePunct w:val="0"/>
        <w:autoSpaceDE/>
        <w:autoSpaceDN/>
        <w:bidi w:val="0"/>
        <w:adjustRightInd/>
        <w:snapToGrid/>
        <w:spacing w:afterLines="0" w:line="560" w:lineRule="exact"/>
        <w:ind w:firstLine="643"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lang w:val="en-US" w:eastAsia="zh-CN"/>
        </w:rPr>
        <w:t>智能装备与机器人</w:t>
      </w:r>
      <w:r>
        <w:rPr>
          <w:rFonts w:hint="default" w:ascii="Times New Roman" w:hAnsi="Times New Roman" w:eastAsia="仿宋_GB2312" w:cs="Times New Roman"/>
          <w:sz w:val="32"/>
          <w:highlight w:val="none"/>
          <w:lang w:val="en-US" w:eastAsia="zh-CN"/>
        </w:rPr>
        <w:t>。依托广东省数控机床及关键功能部件创新中心、香港科技大学（广州）等科研单位，加强智能装备与机器人多模态智能感知、智能控制、可靠性提升等关键前沿技术研究和产业化发展。鼓励敏嘉数控、</w:t>
      </w:r>
      <w:r>
        <w:rPr>
          <w:rFonts w:hint="default" w:ascii="Times New Roman" w:hAnsi="Times New Roman" w:eastAsia="仿宋_GB2312" w:cs="Times New Roman"/>
          <w:sz w:val="32"/>
          <w:highlight w:val="none"/>
        </w:rPr>
        <w:t>信源物流等</w:t>
      </w:r>
      <w:r>
        <w:rPr>
          <w:rFonts w:hint="default" w:ascii="Times New Roman" w:hAnsi="Times New Roman" w:eastAsia="仿宋_GB2312" w:cs="Times New Roman"/>
          <w:sz w:val="32"/>
          <w:highlight w:val="none"/>
          <w:lang w:val="en-US" w:eastAsia="zh-CN"/>
        </w:rPr>
        <w:t>骨干</w:t>
      </w:r>
      <w:r>
        <w:rPr>
          <w:rFonts w:hint="default" w:ascii="Times New Roman" w:hAnsi="Times New Roman" w:eastAsia="仿宋_GB2312" w:cs="Times New Roman"/>
          <w:sz w:val="32"/>
          <w:highlight w:val="none"/>
        </w:rPr>
        <w:t>企业</w:t>
      </w:r>
      <w:r>
        <w:rPr>
          <w:rFonts w:hint="default" w:ascii="Times New Roman" w:hAnsi="Times New Roman" w:eastAsia="仿宋_GB2312" w:cs="Times New Roman"/>
          <w:sz w:val="32"/>
          <w:highlight w:val="none"/>
          <w:lang w:val="en-US" w:eastAsia="zh-CN"/>
        </w:rPr>
        <w:t>提升机器视觉、自主决策深度感知、自主控制、精准执行、推理决策、人机交互、安全运维方面的能力水平。推动工业机器人和服务机器人在制造业、建筑、物流、医疗健康、教育服务等重点领域行业深度融合和推广应用。聚焦</w:t>
      </w:r>
      <w:r>
        <w:rPr>
          <w:rFonts w:hint="default" w:ascii="Times New Roman" w:hAnsi="Times New Roman" w:eastAsia="仿宋_GB2312" w:cs="Times New Roman"/>
          <w:sz w:val="32"/>
          <w:highlight w:val="none"/>
        </w:rPr>
        <w:t>工业机器人和智能</w:t>
      </w:r>
      <w:r>
        <w:rPr>
          <w:rFonts w:hint="default" w:ascii="Times New Roman" w:hAnsi="Times New Roman" w:eastAsia="仿宋_GB2312" w:cs="Times New Roman"/>
          <w:sz w:val="32"/>
          <w:highlight w:val="none"/>
          <w:lang w:eastAsia="zh-CN"/>
        </w:rPr>
        <w:t>装备</w:t>
      </w:r>
      <w:r>
        <w:rPr>
          <w:rFonts w:hint="default" w:ascii="Times New Roman" w:hAnsi="Times New Roman" w:eastAsia="仿宋_GB2312" w:cs="Times New Roman"/>
          <w:sz w:val="32"/>
          <w:highlight w:val="none"/>
          <w:lang w:val="en-US" w:eastAsia="zh-CN"/>
        </w:rPr>
        <w:t>领域，引入并推动建立相关国际标准认证组织机构，构建国际领先的行业标准和认证体系，开展检测认证服务。</w:t>
      </w:r>
    </w:p>
    <w:p w14:paraId="60D4F2B5">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25" w:name="_Toc7357"/>
      <w:bookmarkStart w:id="226" w:name="_Toc17833"/>
      <w:bookmarkStart w:id="227" w:name="_Toc13570"/>
      <w:bookmarkStart w:id="228" w:name="_Toc15895"/>
      <w:r>
        <w:rPr>
          <w:rFonts w:hint="default" w:ascii="楷体_GB2312" w:hAnsi="楷体_GB2312" w:eastAsia="楷体_GB2312" w:cs="楷体_GB2312"/>
          <w:sz w:val="32"/>
          <w:highlight w:val="none"/>
          <w:lang w:val="en-US" w:eastAsia="zh-CN"/>
        </w:rPr>
        <w:t>（四）</w:t>
      </w:r>
      <w:r>
        <w:rPr>
          <w:rFonts w:hint="eastAsia" w:ascii="楷体_GB2312" w:hAnsi="楷体_GB2312" w:eastAsia="楷体_GB2312" w:cs="楷体_GB2312"/>
          <w:sz w:val="32"/>
          <w:highlight w:val="none"/>
          <w:lang w:val="en-US" w:eastAsia="zh-CN"/>
        </w:rPr>
        <w:t>积极培育“</w:t>
      </w:r>
      <w:r>
        <w:rPr>
          <w:rFonts w:hint="default" w:ascii="楷体_GB2312" w:hAnsi="楷体_GB2312" w:eastAsia="楷体_GB2312" w:cs="楷体_GB2312"/>
          <w:sz w:val="32"/>
          <w:highlight w:val="none"/>
          <w:lang w:val="en-US" w:eastAsia="zh-CN"/>
        </w:rPr>
        <w:t>元宇宙+</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数字创意融合</w:t>
      </w:r>
      <w:bookmarkEnd w:id="225"/>
      <w:bookmarkEnd w:id="226"/>
      <w:bookmarkEnd w:id="227"/>
      <w:r>
        <w:rPr>
          <w:rFonts w:hint="eastAsia" w:ascii="楷体_GB2312" w:hAnsi="楷体_GB2312" w:eastAsia="楷体_GB2312" w:cs="楷体_GB2312"/>
          <w:sz w:val="32"/>
          <w:highlight w:val="none"/>
          <w:lang w:val="en-US" w:eastAsia="zh-CN"/>
        </w:rPr>
        <w:t>业态</w:t>
      </w:r>
      <w:bookmarkEnd w:id="228"/>
    </w:p>
    <w:p w14:paraId="3D289E51">
      <w:pPr>
        <w:widowControl w:val="0"/>
        <w:autoSpaceDE/>
        <w:autoSpaceDN/>
        <w:spacing w:line="560" w:lineRule="exact"/>
        <w:ind w:firstLine="643"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数字创意。</w:t>
      </w:r>
      <w:r>
        <w:rPr>
          <w:rFonts w:hint="default" w:ascii="Times New Roman" w:hAnsi="Times New Roman" w:eastAsia="仿宋_GB2312" w:cs="Times New Roman"/>
          <w:kern w:val="2"/>
          <w:sz w:val="32"/>
          <w:szCs w:val="32"/>
          <w:highlight w:val="none"/>
          <w:lang w:val="en-US" w:eastAsia="zh-CN" w:bidi="ar-SA"/>
        </w:rPr>
        <w:t>鼓励游戏引擎、3D建模、平面设计、动画制作等基础软件开发，支持摄影摄像、内容制作、交互体验等设备硬件高端化发展。推动数字创意设备和文化产品制造业深度融合，开发智能视听、柔性显示、可穿戴设备等智能化文化消费终端产品。推进生成式人工智能与文创产业融合创新，赋能推动</w:t>
      </w:r>
      <w:r>
        <w:rPr>
          <w:rFonts w:hint="eastAsia" w:ascii="Calibri" w:hAnsi="Calibri" w:eastAsia="仿宋_GB2312" w:cs="Times New Roman"/>
          <w:kern w:val="2"/>
          <w:sz w:val="32"/>
          <w:szCs w:val="32"/>
          <w:highlight w:val="none"/>
          <w:lang w:val="en-US" w:eastAsia="zh-CN" w:bidi="ar-SA"/>
        </w:rPr>
        <w:t>网络短剧</w:t>
      </w:r>
      <w:r>
        <w:rPr>
          <w:rFonts w:hint="default" w:ascii="Times New Roman" w:hAnsi="Times New Roman" w:eastAsia="仿宋_GB2312" w:cs="Times New Roman"/>
          <w:kern w:val="2"/>
          <w:sz w:val="32"/>
          <w:szCs w:val="32"/>
          <w:highlight w:val="none"/>
          <w:lang w:val="en-US" w:eastAsia="zh-CN" w:bidi="ar-SA"/>
        </w:rPr>
        <w:t>、动漫游戏、数字藏品</w:t>
      </w:r>
      <w:r>
        <w:rPr>
          <w:rFonts w:hint="eastAsia" w:ascii="Calibri" w:hAnsi="Calibri"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创意设计等产业链发展。支持</w:t>
      </w:r>
      <w:r>
        <w:rPr>
          <w:rFonts w:hint="eastAsia" w:ascii="Calibri" w:hAnsi="Calibri" w:eastAsia="仿宋_GB2312" w:cs="Times New Roman"/>
          <w:kern w:val="2"/>
          <w:sz w:val="32"/>
          <w:szCs w:val="32"/>
          <w:highlight w:val="none"/>
          <w:lang w:val="en-US" w:eastAsia="zh-CN" w:bidi="ar-SA"/>
        </w:rPr>
        <w:t>映宇宙等骨干企业</w:t>
      </w:r>
      <w:r>
        <w:rPr>
          <w:rFonts w:hint="default" w:ascii="Times New Roman" w:hAnsi="Times New Roman" w:eastAsia="仿宋_GB2312" w:cs="Times New Roman"/>
          <w:kern w:val="2"/>
          <w:sz w:val="32"/>
          <w:szCs w:val="32"/>
          <w:highlight w:val="none"/>
          <w:lang w:val="en-US" w:eastAsia="zh-CN" w:bidi="ar-SA"/>
        </w:rPr>
        <w:t>做大做强，以粤港澳大湾区短剧影视产业基地项目落地为契机，吸引影视</w:t>
      </w:r>
      <w:r>
        <w:rPr>
          <w:rFonts w:hint="eastAsia" w:ascii="Calibri" w:hAnsi="Calibri" w:eastAsia="仿宋_GB2312" w:cs="Times New Roman"/>
          <w:kern w:val="2"/>
          <w:sz w:val="32"/>
          <w:szCs w:val="32"/>
          <w:highlight w:val="none"/>
          <w:lang w:val="en-US" w:eastAsia="zh-CN" w:bidi="ar-SA"/>
        </w:rPr>
        <w:t>文化</w:t>
      </w:r>
      <w:r>
        <w:rPr>
          <w:rFonts w:hint="default" w:ascii="Times New Roman" w:hAnsi="Times New Roman" w:eastAsia="仿宋_GB2312" w:cs="Times New Roman"/>
          <w:kern w:val="2"/>
          <w:sz w:val="32"/>
          <w:szCs w:val="32"/>
          <w:highlight w:val="none"/>
          <w:lang w:val="en-US" w:eastAsia="zh-CN" w:bidi="ar-SA"/>
        </w:rPr>
        <w:t>上下游配套企业落地。支持建设各类特色数字创意基地，持续举办文创大赛等赛事活动，打造数字创意产业新高地，形成南沙文创产业核心发展新引擎。</w:t>
      </w:r>
    </w:p>
    <w:p w14:paraId="417EFEFC">
      <w:pPr>
        <w:pageBreakBefore w:val="0"/>
        <w:widowControl w:val="0"/>
        <w:kinsoku/>
        <w:wordWrap/>
        <w:overflowPunct/>
        <w:topLinePunct w:val="0"/>
        <w:autoSpaceDE/>
        <w:autoSpaceDN/>
        <w:bidi w:val="0"/>
        <w:adjustRightInd/>
        <w:snapToGrid/>
        <w:spacing w:afterLines="0" w:line="560" w:lineRule="exact"/>
        <w:ind w:firstLine="643" w:firstLineChars="200"/>
        <w:jc w:val="left"/>
        <w:textAlignment w:val="auto"/>
        <w:rPr>
          <w:rFonts w:hint="default" w:ascii="Times New Roman" w:hAnsi="Times New Roman" w:eastAsia="仿宋_GB2312" w:cs="Times New Roman"/>
          <w:sz w:val="32"/>
          <w:highlight w:val="none"/>
          <w:lang w:val="en-US" w:eastAsia="zh-CN"/>
        </w:rPr>
      </w:pPr>
      <w:bookmarkStart w:id="229" w:name="_Toc23350"/>
      <w:bookmarkStart w:id="230" w:name="_Toc10672"/>
      <w:bookmarkStart w:id="231" w:name="_Toc29352"/>
      <w:r>
        <w:rPr>
          <w:rFonts w:hint="default" w:ascii="Times New Roman" w:hAnsi="Times New Roman" w:eastAsia="仿宋_GB2312" w:cs="Times New Roman"/>
          <w:b/>
          <w:bCs/>
          <w:sz w:val="32"/>
          <w:highlight w:val="none"/>
          <w:lang w:val="en-US" w:eastAsia="zh-CN"/>
        </w:rPr>
        <w:t>元宇宙</w:t>
      </w:r>
      <w:r>
        <w:rPr>
          <w:rFonts w:hint="default" w:ascii="Times New Roman" w:hAnsi="Times New Roman" w:eastAsia="仿宋_GB2312" w:cs="Times New Roman"/>
          <w:sz w:val="32"/>
          <w:highlight w:val="none"/>
          <w:lang w:val="en-US" w:eastAsia="zh-CN"/>
        </w:rPr>
        <w:t>。引进和培育一批全息成像、裸眼3D、全息实时通讯、超高清视频等领域骨干企业和创新型中小企业。发挥广州市元宇宙创新产业协会等平台作用，加速元宇宙与传统领域的深度融合，推动南沙元宇宙产业健康有序发展。重点支持在城市管理、民生服务、会展、文化、旅游、体育、商业、制造业、教育等领域打造一批具有南沙特色元素的元宇宙应用场景，推动南沙区成为粤港澳大湾区元宇宙生态示范样板。</w:t>
      </w:r>
    </w:p>
    <w:p w14:paraId="5C70E460">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32" w:name="_Toc26127"/>
      <w:r>
        <w:rPr>
          <w:rFonts w:hint="eastAsia" w:ascii="楷体_GB2312" w:hAnsi="楷体_GB2312" w:eastAsia="楷体_GB2312" w:cs="楷体_GB2312"/>
          <w:sz w:val="32"/>
          <w:highlight w:val="none"/>
          <w:lang w:val="en-US" w:eastAsia="zh-CN"/>
        </w:rPr>
        <w:t>（五）前瞻布局“陆海空天”无人体系未来产业</w:t>
      </w:r>
      <w:bookmarkEnd w:id="229"/>
      <w:bookmarkEnd w:id="230"/>
      <w:bookmarkEnd w:id="231"/>
      <w:bookmarkEnd w:id="232"/>
    </w:p>
    <w:p w14:paraId="7375C8D3">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28"/>
          <w:highlight w:val="none"/>
          <w:lang w:val="en-US" w:eastAsia="zh-CN"/>
        </w:rPr>
      </w:pPr>
      <w:r>
        <w:rPr>
          <w:rFonts w:hint="default" w:ascii="Times New Roman" w:hAnsi="Times New Roman" w:eastAsia="仿宋_GB2312" w:cs="Times New Roman"/>
          <w:b/>
          <w:bCs/>
          <w:sz w:val="32"/>
          <w:highlight w:val="none"/>
          <w:lang w:val="en-US" w:eastAsia="zh-CN"/>
        </w:rPr>
        <w:t>智能网联汽车</w:t>
      </w:r>
      <w:r>
        <w:rPr>
          <w:rFonts w:hint="default" w:ascii="Times New Roman" w:hAnsi="Times New Roman" w:eastAsia="仿宋_GB2312" w:cs="Times New Roman"/>
          <w:sz w:val="32"/>
          <w:highlight w:val="none"/>
          <w:lang w:val="en-US" w:eastAsia="zh-CN"/>
        </w:rPr>
        <w:t>。支持</w:t>
      </w:r>
      <w:r>
        <w:rPr>
          <w:rFonts w:hint="default" w:ascii="Times New Roman" w:hAnsi="Times New Roman" w:eastAsia="仿宋_GB2312" w:cs="Times New Roman"/>
          <w:color w:val="auto"/>
          <w:sz w:val="32"/>
          <w:szCs w:val="28"/>
          <w:highlight w:val="none"/>
          <w:lang w:val="en-US" w:eastAsia="zh-CN"/>
        </w:rPr>
        <w:t>小马智行、星河智联、奕行智能等骨干企业</w:t>
      </w:r>
      <w:r>
        <w:rPr>
          <w:rFonts w:hint="default" w:ascii="Times New Roman" w:hAnsi="Times New Roman" w:eastAsia="仿宋_GB2312" w:cs="Times New Roman"/>
          <w:sz w:val="32"/>
          <w:highlight w:val="none"/>
          <w:lang w:val="en-US" w:eastAsia="zh-CN"/>
        </w:rPr>
        <w:t>开展智能汽车新型集中式电子电</w:t>
      </w:r>
      <w:r>
        <w:rPr>
          <w:rFonts w:hint="eastAsia" w:ascii="Times New Roman" w:hAnsi="Times New Roman" w:eastAsia="仿宋_GB2312" w:cs="Times New Roman"/>
          <w:sz w:val="32"/>
          <w:highlight w:val="none"/>
          <w:lang w:val="en-US" w:eastAsia="zh-CN"/>
        </w:rPr>
        <w:t>气</w:t>
      </w:r>
      <w:r>
        <w:rPr>
          <w:rFonts w:hint="default" w:ascii="Times New Roman" w:hAnsi="Times New Roman" w:eastAsia="仿宋_GB2312" w:cs="Times New Roman"/>
          <w:sz w:val="32"/>
          <w:highlight w:val="none"/>
          <w:lang w:val="en-US" w:eastAsia="zh-CN"/>
        </w:rPr>
        <w:t>架构、智能座舱、多源传感信息融合、信息辅助决策技术等领域关键技术攻关</w:t>
      </w:r>
      <w:r>
        <w:rPr>
          <w:rFonts w:hint="default" w:ascii="Times New Roman" w:hAnsi="Times New Roman" w:eastAsia="仿宋_GB2312" w:cs="Times New Roman"/>
          <w:color w:val="auto"/>
          <w:sz w:val="32"/>
          <w:szCs w:val="28"/>
          <w:highlight w:val="none"/>
          <w:lang w:val="en-US" w:eastAsia="zh-CN"/>
        </w:rPr>
        <w:t>。鼓励引进一批动力系统、智能底盘、智能座舱、自动驾驶、汽车软件等智能汽车电子和系统企业，</w:t>
      </w:r>
      <w:r>
        <w:rPr>
          <w:rFonts w:hint="eastAsia" w:ascii="Times New Roman" w:hAnsi="Times New Roman" w:eastAsia="仿宋_GB2312" w:cs="Times New Roman"/>
          <w:color w:val="auto"/>
          <w:sz w:val="32"/>
          <w:szCs w:val="28"/>
          <w:highlight w:val="none"/>
          <w:lang w:val="en-US" w:eastAsia="zh-CN"/>
        </w:rPr>
        <w:t>加快建设</w:t>
      </w:r>
      <w:r>
        <w:rPr>
          <w:rFonts w:hint="default" w:ascii="Times New Roman" w:hAnsi="Times New Roman" w:eastAsia="仿宋_GB2312" w:cs="Times New Roman"/>
          <w:color w:val="auto"/>
          <w:sz w:val="32"/>
          <w:szCs w:val="28"/>
          <w:highlight w:val="none"/>
          <w:lang w:val="en-US" w:eastAsia="zh-CN"/>
        </w:rPr>
        <w:t>智能网联汽车</w:t>
      </w:r>
      <w:r>
        <w:rPr>
          <w:rFonts w:hint="eastAsia" w:ascii="Times New Roman" w:hAnsi="Times New Roman" w:eastAsia="仿宋_GB2312" w:cs="Times New Roman"/>
          <w:color w:val="auto"/>
          <w:sz w:val="32"/>
          <w:szCs w:val="28"/>
          <w:highlight w:val="none"/>
          <w:lang w:val="en-US" w:eastAsia="zh-CN"/>
        </w:rPr>
        <w:t>产业园</w:t>
      </w:r>
      <w:r>
        <w:rPr>
          <w:rFonts w:hint="default" w:ascii="Times New Roman" w:hAnsi="Times New Roman" w:eastAsia="仿宋_GB2312" w:cs="Times New Roman"/>
          <w:color w:val="auto"/>
          <w:sz w:val="32"/>
          <w:szCs w:val="28"/>
          <w:highlight w:val="none"/>
          <w:lang w:val="en-US" w:eastAsia="zh-CN"/>
        </w:rPr>
        <w:t>。持续推进南沙城市出行服务自动驾驶先导应用试点工作，鼓励自动驾驶企业与整车制造企业深度合作，推动出租车、重卡等车型实现L3以上自动驾驶前装规模化量产。依托明珠湾灵山岛尖智能驾驶示范区、明珠湾智慧城市示范园、广州港南沙港区等载体，持续</w:t>
      </w:r>
      <w:r>
        <w:rPr>
          <w:rFonts w:hint="default" w:ascii="Times New Roman" w:hAnsi="Times New Roman" w:eastAsia="仿宋_GB2312" w:cs="Times New Roman"/>
          <w:b w:val="0"/>
          <w:bCs w:val="0"/>
          <w:sz w:val="32"/>
          <w:highlight w:val="none"/>
          <w:lang w:val="en-US" w:eastAsia="zh-CN"/>
        </w:rPr>
        <w:t>拓展无人驾驶汽车的测试运营场景，推动</w:t>
      </w:r>
      <w:r>
        <w:rPr>
          <w:rFonts w:hint="default" w:ascii="Times New Roman" w:hAnsi="Times New Roman" w:eastAsia="仿宋_GB2312" w:cs="Times New Roman"/>
          <w:color w:val="auto"/>
          <w:sz w:val="32"/>
          <w:szCs w:val="28"/>
          <w:highlight w:val="none"/>
          <w:lang w:val="en-US" w:eastAsia="zh-CN"/>
        </w:rPr>
        <w:t>在城市出行、高速公路、港口码头、环卫等特定场景的应用。</w:t>
      </w:r>
    </w:p>
    <w:p w14:paraId="5A8C06FA">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highlight w:val="none"/>
          <w:lang w:val="en-US" w:eastAsia="zh-CN"/>
        </w:rPr>
      </w:pPr>
      <w:r>
        <w:rPr>
          <w:rFonts w:hint="eastAsia" w:ascii="仿宋" w:hAnsi="仿宋" w:eastAsia="仿宋_GB2312" w:cs="仿宋"/>
          <w:b/>
          <w:bCs/>
          <w:sz w:val="32"/>
          <w:highlight w:val="none"/>
          <w:lang w:val="en-US" w:eastAsia="zh-CN"/>
        </w:rPr>
        <w:t>数字海洋</w:t>
      </w:r>
      <w:r>
        <w:rPr>
          <w:rFonts w:hint="eastAsia" w:ascii="仿宋" w:hAnsi="仿宋" w:eastAsia="仿宋_GB2312" w:cs="仿宋"/>
          <w:sz w:val="32"/>
          <w:highlight w:val="none"/>
          <w:lang w:val="en-US" w:eastAsia="zh-CN"/>
        </w:rPr>
        <w:t>。依托</w:t>
      </w:r>
      <w:r>
        <w:rPr>
          <w:rFonts w:hint="eastAsia" w:ascii="仿宋" w:hAnsi="仿宋" w:eastAsia="仿宋_GB2312" w:cs="仿宋"/>
          <w:b w:val="0"/>
          <w:bCs w:val="0"/>
          <w:sz w:val="32"/>
          <w:highlight w:val="none"/>
          <w:lang w:val="en-US" w:eastAsia="zh-CN"/>
        </w:rPr>
        <w:t>广东智能无人系统研究院等单位，强化新型海洋智能无人系统研制、智能载荷研发、平台运维保障、智能海洋传感器、海洋信息服务等智能化无人系统技术攻关及产业化。支持电子信息企业与船舶、海洋工程装备企业联合开发船舶海工电子设备，大力开展船载智能终端、船用导航雷达、海洋自动监测系统、遥感装备、水下机器人等高端海洋电子设备及系统研制开发。加强海洋地理信息与遥感探测系统、电子海图显示、水下通信</w:t>
      </w:r>
      <w:r>
        <w:rPr>
          <w:rFonts w:hint="default" w:ascii="Times New Roman" w:hAnsi="Times New Roman" w:eastAsia="仿宋_GB2312" w:cs="Times New Roman"/>
          <w:b w:val="0"/>
          <w:bCs w:val="0"/>
          <w:sz w:val="32"/>
          <w:highlight w:val="none"/>
          <w:lang w:val="en-US" w:eastAsia="zh-CN"/>
        </w:rPr>
        <w:t>定位等海洋信息系统数字化、网络化、智能化转型升级。</w:t>
      </w:r>
    </w:p>
    <w:p w14:paraId="7E31BCC8">
      <w:pPr>
        <w:autoSpaceDE w:val="0"/>
        <w:autoSpaceDN w:val="0"/>
        <w:spacing w:afterLines="0" w:line="560" w:lineRule="exact"/>
        <w:ind w:firstLine="643" w:firstLineChars="200"/>
        <w:jc w:val="left"/>
        <w:textAlignment w:val="bottom"/>
        <w:rPr>
          <w:rFonts w:hint="eastAsia" w:ascii="仿宋" w:hAnsi="仿宋" w:eastAsia="仿宋_GB2312" w:cs="仿宋"/>
          <w:b w:val="0"/>
          <w:bCs w:val="0"/>
          <w:sz w:val="32"/>
          <w:highlight w:val="none"/>
          <w:lang w:val="en-US" w:eastAsia="zh-CN"/>
        </w:rPr>
      </w:pPr>
      <w:r>
        <w:rPr>
          <w:rFonts w:hint="eastAsia" w:ascii="仿宋" w:hAnsi="仿宋" w:eastAsia="仿宋_GB2312" w:cs="仿宋"/>
          <w:b/>
          <w:bCs/>
          <w:sz w:val="32"/>
          <w:highlight w:val="none"/>
          <w:lang w:val="en-US" w:eastAsia="zh-CN"/>
        </w:rPr>
        <w:t>数字低空</w:t>
      </w:r>
      <w:r>
        <w:rPr>
          <w:rFonts w:hint="eastAsia" w:ascii="仿宋" w:hAnsi="仿宋" w:eastAsia="仿宋_GB2312" w:cs="仿宋"/>
          <w:sz w:val="32"/>
          <w:highlight w:val="none"/>
          <w:lang w:val="en-US" w:eastAsia="zh-CN"/>
        </w:rPr>
        <w:t>。深入落实</w:t>
      </w:r>
      <w:r>
        <w:rPr>
          <w:rFonts w:hint="eastAsia" w:ascii="仿宋" w:hAnsi="仿宋" w:eastAsia="仿宋_GB2312" w:cs="仿宋"/>
          <w:sz w:val="32"/>
          <w:highlight w:val="none"/>
        </w:rPr>
        <w:t>《关于支持广州南沙放宽市场准入与加强监管体制改革的意见》</w:t>
      </w:r>
      <w:r>
        <w:rPr>
          <w:rFonts w:hint="eastAsia" w:ascii="仿宋" w:hAnsi="仿宋" w:eastAsia="仿宋_GB2312" w:cs="仿宋"/>
          <w:sz w:val="32"/>
          <w:highlight w:val="none"/>
          <w:lang w:eastAsia="zh-CN"/>
        </w:rPr>
        <w:t>，</w:t>
      </w:r>
      <w:r>
        <w:rPr>
          <w:rFonts w:hint="eastAsia" w:ascii="仿宋" w:hAnsi="仿宋" w:eastAsia="仿宋_GB2312" w:cs="仿宋"/>
          <w:sz w:val="32"/>
          <w:highlight w:val="none"/>
          <w:lang w:val="en-US" w:eastAsia="zh-CN"/>
        </w:rPr>
        <w:t>先行推动制定</w:t>
      </w:r>
      <w:r>
        <w:rPr>
          <w:rFonts w:hint="eastAsia" w:ascii="仿宋" w:hAnsi="仿宋" w:eastAsia="仿宋_GB2312" w:cs="仿宋"/>
          <w:b w:val="0"/>
          <w:bCs w:val="0"/>
          <w:sz w:val="32"/>
          <w:highlight w:val="none"/>
          <w:lang w:val="en-US" w:eastAsia="zh-CN"/>
        </w:rPr>
        <w:t>全空间</w:t>
      </w:r>
      <w:r>
        <w:rPr>
          <w:rFonts w:hint="eastAsia" w:ascii="仿宋" w:hAnsi="仿宋" w:eastAsia="仿宋_GB2312" w:cs="仿宋"/>
          <w:sz w:val="32"/>
          <w:highlight w:val="none"/>
          <w:lang w:val="en-US" w:eastAsia="zh-CN"/>
        </w:rPr>
        <w:t>无人体系和低空经济技术标准、管理规则及</w:t>
      </w:r>
      <w:r>
        <w:rPr>
          <w:rFonts w:hint="eastAsia" w:ascii="仿宋" w:hAnsi="仿宋" w:eastAsia="仿宋_GB2312" w:cs="仿宋"/>
          <w:b w:val="0"/>
          <w:bCs w:val="0"/>
          <w:sz w:val="32"/>
          <w:highlight w:val="none"/>
          <w:lang w:val="en-US" w:eastAsia="zh-CN"/>
        </w:rPr>
        <w:t>顶层规划。</w:t>
      </w:r>
      <w:r>
        <w:rPr>
          <w:rFonts w:hint="eastAsia" w:ascii="仿宋" w:hAnsi="仿宋" w:eastAsia="仿宋_GB2312" w:cs="仿宋"/>
          <w:sz w:val="32"/>
          <w:highlight w:val="none"/>
          <w:lang w:val="en-US" w:eastAsia="zh-CN"/>
        </w:rPr>
        <w:t>支持建设高水平低空经济相关研发机构，围绕</w:t>
      </w:r>
      <w:r>
        <w:rPr>
          <w:rFonts w:hint="eastAsia" w:ascii="仿宋" w:hAnsi="仿宋" w:eastAsia="仿宋_GB2312" w:cs="仿宋"/>
          <w:color w:val="000000"/>
          <w:kern w:val="44"/>
          <w:sz w:val="32"/>
          <w:szCs w:val="32"/>
          <w:highlight w:val="none"/>
        </w:rPr>
        <w:t>低空智联网、低空边缘算力、无人立体协同物流、立体化交通数字孪生、低空飞行器</w:t>
      </w:r>
      <w:r>
        <w:rPr>
          <w:rFonts w:hint="eastAsia" w:ascii="仿宋" w:hAnsi="仿宋" w:eastAsia="仿宋_GB2312" w:cs="仿宋"/>
          <w:color w:val="000000"/>
          <w:kern w:val="44"/>
          <w:sz w:val="32"/>
          <w:szCs w:val="32"/>
          <w:highlight w:val="none"/>
          <w:lang w:val="en-US" w:eastAsia="zh-CN"/>
        </w:rPr>
        <w:t>等领域</w:t>
      </w:r>
      <w:r>
        <w:rPr>
          <w:rFonts w:hint="eastAsia" w:ascii="仿宋" w:hAnsi="仿宋" w:eastAsia="仿宋_GB2312" w:cs="仿宋"/>
          <w:sz w:val="32"/>
          <w:highlight w:val="none"/>
          <w:lang w:val="en-US" w:eastAsia="zh-CN"/>
        </w:rPr>
        <w:t>开展技术攻关，</w:t>
      </w:r>
      <w:r>
        <w:rPr>
          <w:rFonts w:hint="eastAsia" w:ascii="仿宋" w:hAnsi="仿宋" w:eastAsia="仿宋_GB2312" w:cs="仿宋"/>
          <w:color w:val="000000"/>
          <w:kern w:val="44"/>
          <w:sz w:val="32"/>
          <w:szCs w:val="32"/>
          <w:highlight w:val="none"/>
        </w:rPr>
        <w:t>形成一批可实际应用的成果</w:t>
      </w:r>
      <w:r>
        <w:rPr>
          <w:rFonts w:hint="eastAsia" w:ascii="仿宋" w:hAnsi="仿宋" w:eastAsia="仿宋_GB2312" w:cs="仿宋"/>
          <w:color w:val="000000"/>
          <w:kern w:val="44"/>
          <w:sz w:val="32"/>
          <w:szCs w:val="32"/>
          <w:highlight w:val="none"/>
          <w:lang w:eastAsia="zh-CN"/>
        </w:rPr>
        <w:t>。</w:t>
      </w:r>
      <w:r>
        <w:rPr>
          <w:rFonts w:hint="eastAsia" w:ascii="仿宋" w:hAnsi="仿宋" w:eastAsia="仿宋_GB2312" w:cs="仿宋"/>
          <w:sz w:val="32"/>
          <w:highlight w:val="none"/>
          <w:lang w:val="en-US" w:eastAsia="zh-CN"/>
        </w:rPr>
        <w:t>充分发挥明珠湾起步区</w:t>
      </w:r>
      <w:r>
        <w:rPr>
          <w:rFonts w:hint="eastAsia" w:ascii="仿宋" w:hAnsi="仿宋" w:eastAsia="仿宋_GB2312" w:cs="仿宋"/>
          <w:sz w:val="32"/>
          <w:highlight w:val="none"/>
        </w:rPr>
        <w:t>场景应用</w:t>
      </w:r>
      <w:r>
        <w:rPr>
          <w:rFonts w:hint="eastAsia" w:ascii="仿宋" w:hAnsi="仿宋" w:eastAsia="仿宋_GB2312" w:cs="仿宋"/>
          <w:sz w:val="32"/>
          <w:highlight w:val="none"/>
          <w:lang w:val="en-US" w:eastAsia="zh-CN"/>
        </w:rPr>
        <w:t>示范作用，引导低空经济产业链上下游企业集聚，大力引进和梯度培育低空飞行器、关键材料和核心零部件等专精特新“小巨人”、单项冠军、独角兽企业，打造大湾区无人体系及低空经济特色产业集群。</w:t>
      </w:r>
      <w:r>
        <w:rPr>
          <w:rFonts w:hint="eastAsia" w:ascii="仿宋" w:hAnsi="仿宋" w:eastAsia="仿宋_GB2312" w:cs="仿宋"/>
          <w:b w:val="0"/>
          <w:bCs w:val="0"/>
          <w:sz w:val="32"/>
          <w:highlight w:val="none"/>
          <w:lang w:val="en-US" w:eastAsia="zh-CN"/>
        </w:rPr>
        <w:t>高标准建设国际先进技术应用推进中心（大湾区）、大湾区无人体系产业孵化基地和场景创新中心，逐步</w:t>
      </w:r>
      <w:r>
        <w:rPr>
          <w:rFonts w:hint="eastAsia" w:ascii="仿宋" w:hAnsi="仿宋" w:eastAsia="仿宋_GB2312" w:cs="仿宋"/>
          <w:color w:val="000000"/>
          <w:kern w:val="44"/>
          <w:sz w:val="32"/>
          <w:szCs w:val="32"/>
          <w:highlight w:val="none"/>
        </w:rPr>
        <w:t>开放低空空域运行场景</w:t>
      </w:r>
      <w:r>
        <w:rPr>
          <w:rFonts w:hint="eastAsia" w:ascii="仿宋" w:hAnsi="仿宋" w:eastAsia="仿宋_GB2312" w:cs="仿宋"/>
          <w:color w:val="000000"/>
          <w:kern w:val="44"/>
          <w:sz w:val="32"/>
          <w:szCs w:val="32"/>
          <w:highlight w:val="none"/>
          <w:lang w:eastAsia="zh-CN"/>
        </w:rPr>
        <w:t>，</w:t>
      </w:r>
      <w:r>
        <w:rPr>
          <w:rFonts w:hint="eastAsia" w:ascii="仿宋" w:hAnsi="仿宋" w:eastAsia="仿宋_GB2312" w:cs="仿宋"/>
          <w:b w:val="0"/>
          <w:bCs w:val="0"/>
          <w:sz w:val="32"/>
          <w:highlight w:val="none"/>
          <w:lang w:val="en-US" w:eastAsia="zh-CN"/>
        </w:rPr>
        <w:t>探索无人机和电动垂直起降飞行器在应急救援、货运物流、海域监管、载人交通等场景的应用。</w:t>
      </w:r>
    </w:p>
    <w:p w14:paraId="7501F89E">
      <w:pPr>
        <w:autoSpaceDE w:val="0"/>
        <w:autoSpaceDN w:val="0"/>
        <w:spacing w:afterLines="0" w:line="560" w:lineRule="exact"/>
        <w:ind w:firstLine="643" w:firstLineChars="200"/>
        <w:jc w:val="left"/>
        <w:textAlignment w:val="bottom"/>
        <w:rPr>
          <w:rFonts w:hint="eastAsia" w:ascii="仿宋" w:hAnsi="仿宋" w:eastAsia="仿宋_GB2312" w:cs="仿宋"/>
          <w:sz w:val="32"/>
          <w:highlight w:val="none"/>
          <w:lang w:val="en-US" w:eastAsia="zh-CN"/>
        </w:rPr>
      </w:pPr>
      <w:r>
        <w:rPr>
          <w:rFonts w:hint="eastAsia" w:ascii="仿宋" w:hAnsi="仿宋" w:eastAsia="仿宋_GB2312" w:cs="仿宋"/>
          <w:b/>
          <w:bCs/>
          <w:sz w:val="32"/>
          <w:highlight w:val="none"/>
          <w:lang w:val="en-US" w:eastAsia="zh-CN"/>
        </w:rPr>
        <w:t>数字空天</w:t>
      </w:r>
      <w:r>
        <w:rPr>
          <w:rFonts w:hint="eastAsia" w:ascii="仿宋" w:hAnsi="仿宋" w:eastAsia="仿宋_GB2312" w:cs="仿宋"/>
          <w:sz w:val="32"/>
          <w:highlight w:val="none"/>
          <w:lang w:val="en-US" w:eastAsia="zh-CN"/>
        </w:rPr>
        <w:t>。</w:t>
      </w:r>
      <w:r>
        <w:rPr>
          <w:rFonts w:hint="eastAsia" w:ascii="仿宋" w:hAnsi="仿宋" w:eastAsia="仿宋_GB2312" w:cs="仿宋"/>
          <w:b w:val="0"/>
          <w:bCs w:val="0"/>
          <w:sz w:val="32"/>
          <w:highlight w:val="none"/>
          <w:lang w:val="en-US" w:eastAsia="zh-CN"/>
        </w:rPr>
        <w:t>依托广东空天科技研究院等科研机构以及中科宇航、吉利时空道宇等龙头企业</w:t>
      </w:r>
      <w:r>
        <w:rPr>
          <w:rFonts w:hint="eastAsia" w:ascii="仿宋" w:hAnsi="仿宋" w:eastAsia="仿宋_GB2312" w:cs="仿宋"/>
          <w:sz w:val="32"/>
          <w:highlight w:val="none"/>
          <w:lang w:val="en-US" w:eastAsia="zh-CN"/>
        </w:rPr>
        <w:t>，开展商业航天电子和装备领域关键技术研发。</w:t>
      </w:r>
      <w:r>
        <w:rPr>
          <w:rFonts w:hint="eastAsia" w:ascii="仿宋" w:hAnsi="仿宋" w:eastAsia="仿宋_GB2312" w:cs="仿宋"/>
          <w:b w:val="0"/>
          <w:bCs w:val="0"/>
          <w:sz w:val="32"/>
          <w:highlight w:val="none"/>
          <w:lang w:val="en-US" w:eastAsia="zh-CN"/>
        </w:rPr>
        <w:t>引进和培育一批</w:t>
      </w:r>
      <w:r>
        <w:rPr>
          <w:rFonts w:hint="eastAsia" w:ascii="仿宋" w:hAnsi="仿宋" w:eastAsia="仿宋_GB2312" w:cs="仿宋"/>
          <w:sz w:val="32"/>
          <w:highlight w:val="none"/>
          <w:lang w:val="en-US" w:eastAsia="zh-CN"/>
        </w:rPr>
        <w:t>空天航天器</w:t>
      </w:r>
      <w:r>
        <w:rPr>
          <w:rFonts w:hint="eastAsia" w:ascii="仿宋" w:hAnsi="仿宋" w:eastAsia="仿宋_GB2312" w:cs="仿宋"/>
          <w:b w:val="0"/>
          <w:bCs w:val="0"/>
          <w:sz w:val="32"/>
          <w:highlight w:val="none"/>
          <w:lang w:val="en-US" w:eastAsia="zh-CN"/>
        </w:rPr>
        <w:t>制造、关键零部件、北斗卫星导航和运营平台领域企业，</w:t>
      </w:r>
      <w:r>
        <w:rPr>
          <w:rFonts w:hint="eastAsia" w:ascii="仿宋" w:hAnsi="仿宋" w:eastAsia="仿宋_GB2312" w:cs="仿宋"/>
          <w:sz w:val="32"/>
          <w:highlight w:val="none"/>
          <w:lang w:val="en-US" w:eastAsia="zh-CN"/>
        </w:rPr>
        <w:t>推动空天产业和低空经济协同发展，</w:t>
      </w:r>
      <w:r>
        <w:rPr>
          <w:rFonts w:hint="eastAsia" w:ascii="仿宋" w:hAnsi="仿宋" w:eastAsia="仿宋_GB2312" w:cs="仿宋"/>
          <w:b w:val="0"/>
          <w:bCs w:val="0"/>
          <w:sz w:val="32"/>
          <w:highlight w:val="none"/>
          <w:lang w:val="en-US" w:eastAsia="zh-CN"/>
        </w:rPr>
        <w:t>打造空天产业集聚区。推动北斗导航技术研发和规模化应用，推进吉利未来出行星座等低轨卫星系统建设，融合通信、导航、遥感技术，提供卫星数据产品及服务，加速卫星应用商业化、规模化、全球化发展，形成“上游卫星+下游应用”的产业链力量。</w:t>
      </w:r>
    </w:p>
    <w:p w14:paraId="51A894F1">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0"/>
        <w:rPr>
          <w:rFonts w:hint="default" w:ascii="Times New Roman" w:hAnsi="Times New Roman" w:eastAsia="黑体" w:cs="Times New Roman"/>
          <w:b w:val="0"/>
          <w:bCs/>
          <w:i w:val="0"/>
          <w:kern w:val="44"/>
          <w:sz w:val="32"/>
          <w:szCs w:val="48"/>
          <w:highlight w:val="none"/>
          <w:lang w:val="en-US" w:eastAsia="zh-CN" w:bidi="ar"/>
        </w:rPr>
      </w:pPr>
      <w:bookmarkStart w:id="233" w:name="_Toc16477"/>
      <w:bookmarkStart w:id="234" w:name="_Toc28131"/>
      <w:bookmarkStart w:id="235" w:name="_Toc6017"/>
      <w:bookmarkStart w:id="236" w:name="_Toc17045"/>
      <w:r>
        <w:rPr>
          <w:rFonts w:hint="default" w:ascii="Times New Roman" w:hAnsi="Times New Roman" w:eastAsia="黑体" w:cs="Times New Roman"/>
          <w:b w:val="0"/>
          <w:bCs/>
          <w:i w:val="0"/>
          <w:kern w:val="44"/>
          <w:sz w:val="32"/>
          <w:szCs w:val="48"/>
          <w:highlight w:val="none"/>
          <w:lang w:val="en-US" w:eastAsia="zh-CN" w:bidi="ar"/>
        </w:rPr>
        <w:t>五、推进优势工业领域数字化转型</w:t>
      </w:r>
      <w:bookmarkEnd w:id="233"/>
      <w:bookmarkEnd w:id="234"/>
      <w:bookmarkEnd w:id="235"/>
      <w:bookmarkEnd w:id="236"/>
    </w:p>
    <w:p w14:paraId="10E9C96E">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bookmarkStart w:id="237" w:name="_Toc24192"/>
      <w:bookmarkStart w:id="238" w:name="_Toc19590"/>
      <w:bookmarkStart w:id="239" w:name="_Toc31844"/>
      <w:r>
        <w:rPr>
          <w:rFonts w:hint="default" w:ascii="Times New Roman" w:hAnsi="Times New Roman" w:eastAsia="仿宋_GB2312" w:cs="Times New Roman"/>
          <w:sz w:val="32"/>
          <w:highlight w:val="none"/>
          <w:lang w:val="en-US" w:eastAsia="zh-CN"/>
        </w:rPr>
        <w:t>夯实工业互联网、智能</w:t>
      </w:r>
      <w:r>
        <w:rPr>
          <w:rFonts w:hint="eastAsia" w:ascii="Times New Roman" w:hAnsi="Times New Roman" w:eastAsia="仿宋_GB2312" w:cs="Times New Roman"/>
          <w:sz w:val="32"/>
          <w:highlight w:val="none"/>
          <w:lang w:val="en-US" w:eastAsia="zh-CN"/>
        </w:rPr>
        <w:t>制造技术</w:t>
      </w:r>
      <w:r>
        <w:rPr>
          <w:rFonts w:hint="default" w:ascii="Times New Roman" w:hAnsi="Times New Roman" w:eastAsia="仿宋_GB2312" w:cs="Times New Roman"/>
          <w:sz w:val="32"/>
          <w:highlight w:val="none"/>
          <w:lang w:val="en-US" w:eastAsia="zh-CN"/>
        </w:rPr>
        <w:t>支撑</w:t>
      </w:r>
      <w:r>
        <w:rPr>
          <w:rFonts w:hint="eastAsia" w:ascii="Times New Roman" w:hAnsi="Times New Roman" w:eastAsia="仿宋_GB2312" w:cs="Times New Roman"/>
          <w:sz w:val="32"/>
          <w:highlight w:val="none"/>
          <w:lang w:val="en-US" w:eastAsia="zh-CN"/>
        </w:rPr>
        <w:t>和持续规模化应用，</w:t>
      </w:r>
      <w:r>
        <w:rPr>
          <w:rFonts w:hint="default" w:ascii="Times New Roman" w:hAnsi="Times New Roman" w:eastAsia="仿宋_GB2312" w:cs="Times New Roman"/>
          <w:bCs w:val="0"/>
          <w:kern w:val="2"/>
          <w:sz w:val="32"/>
          <w:szCs w:val="22"/>
          <w:highlight w:val="none"/>
          <w:lang w:val="en-US" w:eastAsia="zh-CN" w:bidi="ar-SA"/>
        </w:rPr>
        <w:t>重点支持汽车制造、装备制造、电子信息、生物健康、材料化工等基础较好的产业集群开展</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四化</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转型，</w:t>
      </w:r>
      <w:r>
        <w:rPr>
          <w:rFonts w:hint="default" w:ascii="Times New Roman" w:hAnsi="Times New Roman" w:eastAsia="仿宋_GB2312" w:cs="Times New Roman"/>
          <w:sz w:val="32"/>
          <w:highlight w:val="none"/>
          <w:lang w:val="en-US" w:eastAsia="zh-CN"/>
        </w:rPr>
        <w:t>加快推动龙头企业、中小企业、产业</w:t>
      </w:r>
      <w:r>
        <w:rPr>
          <w:rFonts w:hint="eastAsia" w:ascii="Times New Roman" w:hAnsi="Times New Roman" w:eastAsia="仿宋_GB2312" w:cs="Times New Roman"/>
          <w:sz w:val="32"/>
          <w:highlight w:val="none"/>
          <w:lang w:val="en-US" w:eastAsia="zh-CN"/>
        </w:rPr>
        <w:t>集群</w:t>
      </w:r>
      <w:r>
        <w:rPr>
          <w:rFonts w:hint="default" w:ascii="Times New Roman" w:hAnsi="Times New Roman" w:eastAsia="仿宋_GB2312" w:cs="Times New Roman"/>
          <w:sz w:val="32"/>
          <w:highlight w:val="none"/>
          <w:lang w:val="en-US" w:eastAsia="zh-CN"/>
        </w:rPr>
        <w:t>智改数转网联，</w:t>
      </w:r>
      <w:r>
        <w:rPr>
          <w:rFonts w:hint="default" w:ascii="Times New Roman" w:hAnsi="Times New Roman" w:eastAsia="仿宋_GB2312" w:cs="Times New Roman"/>
          <w:bCs w:val="0"/>
          <w:kern w:val="2"/>
          <w:sz w:val="32"/>
          <w:szCs w:val="22"/>
          <w:highlight w:val="none"/>
          <w:lang w:val="en-US" w:eastAsia="zh-CN" w:bidi="ar-SA"/>
        </w:rPr>
        <w:t>打造一批智慧园区，促进服务型制造新模式新业态加快发展。</w:t>
      </w:r>
    </w:p>
    <w:p w14:paraId="294207DF">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40" w:name="_Toc17098"/>
      <w:r>
        <w:rPr>
          <w:rFonts w:hint="default" w:ascii="楷体_GB2312" w:hAnsi="楷体_GB2312" w:eastAsia="楷体_GB2312" w:cs="楷体_GB2312"/>
          <w:sz w:val="32"/>
          <w:highlight w:val="none"/>
          <w:lang w:val="en-US" w:eastAsia="zh-CN"/>
        </w:rPr>
        <w:t>（一）</w:t>
      </w:r>
      <w:bookmarkEnd w:id="237"/>
      <w:bookmarkEnd w:id="238"/>
      <w:r>
        <w:rPr>
          <w:rFonts w:hint="default" w:ascii="楷体_GB2312" w:hAnsi="楷体_GB2312" w:eastAsia="楷体_GB2312" w:cs="楷体_GB2312"/>
          <w:sz w:val="32"/>
          <w:highlight w:val="none"/>
          <w:lang w:val="en-US" w:eastAsia="zh-CN"/>
        </w:rPr>
        <w:t>强化数字化转型支撑及能力</w:t>
      </w:r>
      <w:bookmarkEnd w:id="240"/>
    </w:p>
    <w:bookmarkEnd w:id="239"/>
    <w:p w14:paraId="2BC6FA01">
      <w:pPr>
        <w:keepNext w:val="0"/>
        <w:keepLines w:val="0"/>
        <w:widowControl/>
        <w:suppressLineNumbers w:val="0"/>
        <w:autoSpaceDE w:val="0"/>
        <w:autoSpaceDN w:val="0"/>
        <w:spacing w:line="560" w:lineRule="exact"/>
        <w:ind w:firstLine="640" w:firstLineChars="200"/>
        <w:jc w:val="left"/>
        <w:textAlignment w:val="bottom"/>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积极落实广州市</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四化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平台赋能行动，鼓励蘑菇物联、广州工业智能研究院等区内</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四化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重点赋能平台，</w:t>
      </w:r>
      <w:r>
        <w:rPr>
          <w:rFonts w:hint="default" w:ascii="Times New Roman" w:hAnsi="Times New Roman" w:eastAsia="仿宋_GB2312" w:cs="Times New Roman"/>
          <w:color w:val="000000"/>
          <w:kern w:val="0"/>
          <w:sz w:val="32"/>
          <w:szCs w:val="32"/>
          <w:highlight w:val="none"/>
          <w:lang w:val="en-US" w:eastAsia="zh-CN" w:bidi="ar"/>
        </w:rPr>
        <w:t>推动大数据、互联网、云计算、区块链、人工智能等数字技术在</w:t>
      </w:r>
      <w:r>
        <w:rPr>
          <w:rFonts w:hint="default" w:ascii="Times New Roman" w:hAnsi="Times New Roman" w:eastAsia="仿宋_GB2312" w:cs="Times New Roman"/>
          <w:sz w:val="32"/>
          <w:szCs w:val="32"/>
          <w:highlight w:val="none"/>
          <w:lang w:val="en-US" w:eastAsia="zh-CN"/>
        </w:rPr>
        <w:t>制造全生命周期中的</w:t>
      </w:r>
      <w:r>
        <w:rPr>
          <w:rFonts w:hint="default" w:ascii="Times New Roman" w:hAnsi="Times New Roman" w:eastAsia="仿宋_GB2312" w:cs="Times New Roman"/>
          <w:color w:val="000000"/>
          <w:kern w:val="0"/>
          <w:sz w:val="32"/>
          <w:szCs w:val="32"/>
          <w:highlight w:val="none"/>
          <w:lang w:val="en-US" w:eastAsia="zh-CN" w:bidi="ar"/>
        </w:rPr>
        <w:t>融合应用</w:t>
      </w:r>
      <w:r>
        <w:rPr>
          <w:rFonts w:hint="default" w:ascii="Times New Roman" w:hAnsi="Times New Roman" w:eastAsia="仿宋_GB2312" w:cs="Times New Roman"/>
          <w:sz w:val="32"/>
          <w:szCs w:val="32"/>
          <w:highlight w:val="none"/>
          <w:lang w:val="en-US" w:eastAsia="zh-CN"/>
        </w:rPr>
        <w:t>。大力引进和建设国家级跨行业、跨领域和特色专业型工业互联网平台，分类分级培育和壮大一批数字化、网络化、智能化、绿色化赋能平台。</w:t>
      </w:r>
      <w:r>
        <w:rPr>
          <w:rFonts w:hint="default" w:ascii="Times New Roman" w:hAnsi="Times New Roman" w:eastAsia="仿宋_GB2312" w:cs="Times New Roman"/>
          <w:color w:val="000000"/>
          <w:kern w:val="0"/>
          <w:sz w:val="32"/>
          <w:szCs w:val="32"/>
          <w:highlight w:val="none"/>
          <w:lang w:val="en-US" w:eastAsia="zh-CN" w:bidi="ar"/>
        </w:rPr>
        <w:t>鼓励区内智能制造领域企业联合中科院、港澳科研院所等技术力量，</w:t>
      </w:r>
      <w:r>
        <w:rPr>
          <w:rFonts w:hint="default" w:ascii="Times New Roman" w:hAnsi="Times New Roman" w:eastAsia="仿宋_GB2312" w:cs="Times New Roman"/>
          <w:sz w:val="32"/>
          <w:szCs w:val="32"/>
          <w:highlight w:val="none"/>
          <w:lang w:val="en-US" w:eastAsia="zh-CN"/>
        </w:rPr>
        <w:t>开展设计仿真、离线编程、混合建模、智能感知、人机协作、精益管控等关键共性技术攻关和成套解决方案研发。大力推动企业开展数字化转型相关诊断评测工作，完善工业互联网标识解析体系，增强数字化转型服务商产业和技术支撑能力。</w:t>
      </w:r>
    </w:p>
    <w:p w14:paraId="2E6AA7C4">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41" w:name="_Toc3845"/>
      <w:bookmarkStart w:id="242" w:name="_Toc30292"/>
      <w:bookmarkStart w:id="243" w:name="_Toc24139"/>
      <w:bookmarkStart w:id="244" w:name="_Toc14614"/>
      <w:r>
        <w:rPr>
          <w:rFonts w:hint="default" w:ascii="楷体_GB2312" w:hAnsi="楷体_GB2312" w:eastAsia="楷体_GB2312" w:cs="楷体_GB2312"/>
          <w:sz w:val="32"/>
          <w:highlight w:val="none"/>
          <w:lang w:val="en-US" w:eastAsia="zh-CN"/>
        </w:rPr>
        <w:t>（二）推动集群数智转型示范引领</w:t>
      </w:r>
      <w:bookmarkEnd w:id="241"/>
      <w:bookmarkEnd w:id="242"/>
      <w:bookmarkEnd w:id="243"/>
      <w:bookmarkEnd w:id="244"/>
    </w:p>
    <w:p w14:paraId="2614A760">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面向汽车、装备、电子信息、生物健康、材料化工等重点产业集群实施数字化转型提升行动，推动传统行业向高端化、智能化、绿色化转型。深入推进</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5G+工业互联网</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赋能工程，鼓励开展智能工厂、无人生产线和智慧供应链等应用创新，通过数字技术与产业链各环节紧密协同，促进生产、质量控制和运营管理</w:t>
      </w:r>
      <w:r>
        <w:rPr>
          <w:rFonts w:hint="eastAsia" w:ascii="Times New Roman" w:hAnsi="Times New Roman" w:eastAsia="仿宋_GB2312" w:cs="Times New Roman"/>
          <w:sz w:val="32"/>
          <w:highlight w:val="none"/>
          <w:lang w:val="en-US" w:eastAsia="zh-CN"/>
        </w:rPr>
        <w:t>等</w:t>
      </w:r>
      <w:r>
        <w:rPr>
          <w:rFonts w:hint="default" w:ascii="Times New Roman" w:hAnsi="Times New Roman" w:eastAsia="仿宋_GB2312" w:cs="Times New Roman"/>
          <w:sz w:val="32"/>
          <w:highlight w:val="none"/>
          <w:lang w:val="en-US" w:eastAsia="zh-CN"/>
        </w:rPr>
        <w:t>系统全面互联，</w:t>
      </w:r>
      <w:r>
        <w:rPr>
          <w:rFonts w:hint="default" w:ascii="Times New Roman" w:hAnsi="Times New Roman" w:eastAsia="仿宋_GB2312" w:cs="Times New Roman"/>
          <w:sz w:val="32"/>
          <w:highlight w:val="none"/>
        </w:rPr>
        <w:t>打通工序</w:t>
      </w:r>
      <w:r>
        <w:rPr>
          <w:rFonts w:hint="default" w:ascii="仿宋_GB2312" w:hAnsi="仿宋_GB2312" w:eastAsia="仿宋_GB2312" w:cs="Times New Roman"/>
          <w:sz w:val="32"/>
          <w:highlight w:val="none"/>
        </w:rPr>
        <w:t>-</w:t>
      </w:r>
      <w:r>
        <w:rPr>
          <w:rFonts w:hint="default" w:ascii="Times New Roman" w:hAnsi="Times New Roman" w:eastAsia="仿宋_GB2312" w:cs="Times New Roman"/>
          <w:sz w:val="32"/>
          <w:highlight w:val="none"/>
        </w:rPr>
        <w:t>产线</w:t>
      </w:r>
      <w:r>
        <w:rPr>
          <w:rFonts w:hint="default" w:ascii="仿宋_GB2312" w:hAnsi="仿宋_GB2312" w:eastAsia="仿宋_GB2312" w:cs="Times New Roman"/>
          <w:sz w:val="32"/>
          <w:highlight w:val="none"/>
        </w:rPr>
        <w:t>-</w:t>
      </w:r>
      <w:r>
        <w:rPr>
          <w:rFonts w:hint="default" w:ascii="Times New Roman" w:hAnsi="Times New Roman" w:eastAsia="仿宋_GB2312" w:cs="Times New Roman"/>
          <w:sz w:val="32"/>
          <w:highlight w:val="none"/>
        </w:rPr>
        <w:t>车间</w:t>
      </w:r>
      <w:r>
        <w:rPr>
          <w:rFonts w:hint="default" w:ascii="仿宋_GB2312" w:hAnsi="仿宋_GB2312" w:eastAsia="仿宋_GB2312" w:cs="Times New Roman"/>
          <w:sz w:val="32"/>
          <w:highlight w:val="none"/>
        </w:rPr>
        <w:t>-</w:t>
      </w:r>
      <w:r>
        <w:rPr>
          <w:rFonts w:hint="default" w:ascii="Times New Roman" w:hAnsi="Times New Roman" w:eastAsia="仿宋_GB2312" w:cs="Times New Roman"/>
          <w:sz w:val="32"/>
          <w:highlight w:val="none"/>
        </w:rPr>
        <w:t>工厂之间数据链条</w:t>
      </w:r>
      <w:r>
        <w:rPr>
          <w:rFonts w:hint="default" w:ascii="Times New Roman" w:hAnsi="Times New Roman" w:eastAsia="仿宋_GB2312" w:cs="Times New Roman"/>
          <w:sz w:val="32"/>
          <w:highlight w:val="none"/>
          <w:lang w:val="en-US" w:eastAsia="zh-CN"/>
        </w:rPr>
        <w:t>。依托广汽丰田、华凌制冷、芬尼克兹等数字化标杆企业，探索工业企业数字化升级经验，为工业企业数字化升级提供实践经验。推动中小企业科学高效数字化转型，推出一批小型化、快速化、轻量化、精准化数字化解决方案和产品，引导企业</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上云用数赋智</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w:t>
      </w:r>
    </w:p>
    <w:p w14:paraId="3D964D3D">
      <w:pPr>
        <w:pStyle w:val="3"/>
        <w:rPr>
          <w:rFonts w:hint="default" w:ascii="Times New Roman" w:hAnsi="Times New Roman" w:eastAsia="仿宋_GB2312" w:cs="Times New Roman"/>
          <w:sz w:val="32"/>
          <w:highlight w:val="none"/>
          <w:lang w:val="en-US" w:eastAsia="zh-CN"/>
        </w:rPr>
      </w:pPr>
    </w:p>
    <w:p w14:paraId="0A9A2904">
      <w:pPr>
        <w:rPr>
          <w:rFonts w:hint="default"/>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66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FD8998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4</w:t>
            </w:r>
            <w:r>
              <w:rPr>
                <w:rFonts w:hint="eastAsia" w:ascii="黑体" w:hAnsi="黑体" w:eastAsia="黑体" w:cs="黑体"/>
                <w:b w:val="0"/>
                <w:bCs w:val="0"/>
                <w:sz w:val="24"/>
                <w:szCs w:val="24"/>
                <w:highlight w:val="none"/>
                <w:vertAlign w:val="baseline"/>
                <w:lang w:val="en-US" w:eastAsia="zh-CN"/>
              </w:rPr>
              <w:t xml:space="preserve">  制造业数字化转型重点集群</w:t>
            </w:r>
          </w:p>
        </w:tc>
      </w:tr>
      <w:tr w14:paraId="44C2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38A567E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汽车制造。</w:t>
            </w:r>
            <w:r>
              <w:rPr>
                <w:rFonts w:hint="eastAsia" w:ascii="宋体" w:hAnsi="宋体" w:eastAsia="宋体" w:cs="宋体"/>
                <w:b w:val="0"/>
                <w:bCs w:val="0"/>
                <w:sz w:val="24"/>
                <w:szCs w:val="24"/>
                <w:highlight w:val="none"/>
                <w:lang w:val="en-US" w:eastAsia="zh-CN"/>
              </w:rPr>
              <w:t>围绕汽车整车及零部件制造领域，鼓励广汽丰田、大圣科技等骨干企业输出汽车行业数字化转型经验及共性解决方案，带动区内企业围绕生产精益化、研发敏捷化、管理智能化、营销精准化开展转型提升。</w:t>
            </w:r>
          </w:p>
          <w:p w14:paraId="31BC4958">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装备制造</w:t>
            </w:r>
            <w:r>
              <w:rPr>
                <w:rFonts w:hint="eastAsia" w:ascii="宋体" w:hAnsi="宋体" w:eastAsia="宋体" w:cs="宋体"/>
                <w:b w:val="0"/>
                <w:bCs w:val="0"/>
                <w:sz w:val="24"/>
                <w:szCs w:val="24"/>
                <w:highlight w:val="none"/>
                <w:lang w:val="en-US" w:eastAsia="zh-CN"/>
              </w:rPr>
              <w:t>。围绕高端装备、船舶海工、家电等装备制造行业，发挥华凌制冷、广船国际、东方重机等企业的带动作用，推动产业链企业数字化技术与装备研发设计、生产制造、仓储物流、运维服务等环节深度融合。依托大岗穗港智造基地、龙穴造船基地、黄阁汽车产业园等载体，全力打造一批高端装备制造基地。</w:t>
            </w:r>
          </w:p>
          <w:p w14:paraId="5EDB8E24">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生物医药</w:t>
            </w:r>
            <w:r>
              <w:rPr>
                <w:rFonts w:hint="eastAsia" w:ascii="宋体" w:hAnsi="宋体" w:eastAsia="宋体" w:cs="宋体"/>
                <w:b w:val="0"/>
                <w:bCs w:val="0"/>
                <w:sz w:val="24"/>
                <w:szCs w:val="24"/>
                <w:highlight w:val="none"/>
                <w:lang w:val="en-US" w:eastAsia="zh-CN"/>
              </w:rPr>
              <w:t>。鼓励王老吉、沃森生物等龙头企业大力推广面向生产工序优化的智能装备和工业机器人，提升智能型自动化生产水平。鼓励区内企业开展药品食品生产全过程的实时监控系统，完善产品质量和流通追溯体系，提高供应链运营效率。</w:t>
            </w:r>
          </w:p>
          <w:p w14:paraId="073E426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材料化工</w:t>
            </w:r>
            <w:r>
              <w:rPr>
                <w:rFonts w:hint="eastAsia" w:ascii="宋体" w:hAnsi="宋体" w:eastAsia="宋体" w:cs="宋体"/>
                <w:b w:val="0"/>
                <w:bCs w:val="0"/>
                <w:sz w:val="24"/>
                <w:szCs w:val="24"/>
                <w:highlight w:val="none"/>
                <w:lang w:val="en-US" w:eastAsia="zh-CN"/>
              </w:rPr>
              <w:t>。围绕钢铁、化工、电子材料等行业，依托</w:t>
            </w:r>
            <w:r>
              <w:rPr>
                <w:rFonts w:hint="eastAsia" w:ascii="Times New Roman" w:hAnsi="Times New Roman" w:eastAsia="宋体" w:cs="宋体"/>
                <w:b w:val="0"/>
                <w:bCs w:val="0"/>
                <w:sz w:val="24"/>
                <w:szCs w:val="24"/>
                <w:highlight w:val="none"/>
                <w:lang w:val="en-US" w:eastAsia="zh-CN"/>
              </w:rPr>
              <w:t>JFE</w:t>
            </w:r>
            <w:r>
              <w:rPr>
                <w:rFonts w:hint="eastAsia" w:ascii="宋体" w:hAnsi="宋体" w:eastAsia="宋体" w:cs="宋体"/>
                <w:b w:val="0"/>
                <w:bCs w:val="0"/>
                <w:sz w:val="24"/>
                <w:szCs w:val="24"/>
                <w:highlight w:val="none"/>
                <w:lang w:val="en-US" w:eastAsia="zh-CN"/>
              </w:rPr>
              <w:t>钢板、巴斯夫等龙头企业，提升生产自动化、资源配置优化、实时在线优化、生产管理精细化和智能决策水平，推进企业能源管控、污染物管控、资源回收和安全监控智能化系统建设。</w:t>
            </w:r>
          </w:p>
          <w:p w14:paraId="544A305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电子信息</w:t>
            </w:r>
            <w:r>
              <w:rPr>
                <w:rFonts w:hint="eastAsia" w:ascii="宋体" w:hAnsi="宋体" w:eastAsia="宋体" w:cs="宋体"/>
                <w:b w:val="0"/>
                <w:bCs w:val="0"/>
                <w:sz w:val="24"/>
                <w:szCs w:val="24"/>
                <w:highlight w:val="none"/>
                <w:lang w:val="en-US" w:eastAsia="zh-CN"/>
              </w:rPr>
              <w:t>。围绕集成电路、电子元器件、智能终端等重点电子信息制造领域，发挥安捷利、芯聚能等龙头企业带动作用，聚焦仿真设计、生产制造、经营管理等关键生产环节，加强专用智能制造装备的基础工艺研究和基于数字技术的集成系统应用。</w:t>
            </w:r>
          </w:p>
          <w:p w14:paraId="29AF804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pacing w:val="0"/>
                <w:kern w:val="2"/>
                <w:sz w:val="32"/>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新能源</w:t>
            </w:r>
            <w:r>
              <w:rPr>
                <w:rFonts w:hint="eastAsia" w:ascii="宋体" w:hAnsi="宋体" w:eastAsia="宋体" w:cs="宋体"/>
                <w:b w:val="0"/>
                <w:bCs w:val="0"/>
                <w:spacing w:val="0"/>
                <w:kern w:val="2"/>
                <w:sz w:val="24"/>
                <w:szCs w:val="24"/>
                <w:highlight w:val="none"/>
                <w:lang w:val="en-US" w:eastAsia="zh-CN" w:bidi="ar-SA"/>
              </w:rPr>
              <w:t>。围绕储能产业领域，持续推进融捷能源锂离子电池制造基地与研发中心、</w:t>
            </w:r>
            <w:r>
              <w:rPr>
                <w:rFonts w:hint="eastAsia" w:ascii="宋体" w:hAnsi="宋体" w:eastAsia="宋体" w:cs="宋体"/>
                <w:spacing w:val="0"/>
                <w:kern w:val="2"/>
                <w:sz w:val="24"/>
                <w:szCs w:val="24"/>
                <w:highlight w:val="none"/>
                <w:lang w:val="en-US" w:eastAsia="zh-CN" w:bidi="ar-SA"/>
              </w:rPr>
              <w:t>巨湾技研储能器件与系统总部及生产基地项目</w:t>
            </w:r>
            <w:r>
              <w:rPr>
                <w:rFonts w:hint="eastAsia" w:ascii="宋体" w:hAnsi="宋体" w:eastAsia="宋体" w:cs="宋体"/>
                <w:b w:val="0"/>
                <w:bCs w:val="0"/>
                <w:spacing w:val="0"/>
                <w:kern w:val="2"/>
                <w:sz w:val="24"/>
                <w:szCs w:val="24"/>
                <w:highlight w:val="none"/>
                <w:lang w:val="en-US" w:eastAsia="zh-CN" w:bidi="ar-SA"/>
              </w:rPr>
              <w:t>等重大项目建设，建立一批新能源产业先进数字工厂，打造数字化制造和管理新标杆。</w:t>
            </w:r>
          </w:p>
        </w:tc>
      </w:tr>
    </w:tbl>
    <w:p w14:paraId="5B4A471E">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45" w:name="_Toc22854"/>
      <w:bookmarkStart w:id="246" w:name="_Toc31594"/>
      <w:bookmarkStart w:id="247" w:name="_Toc11597"/>
      <w:bookmarkStart w:id="248" w:name="_Toc13"/>
      <w:r>
        <w:rPr>
          <w:rFonts w:hint="default" w:ascii="楷体_GB2312" w:hAnsi="楷体_GB2312" w:eastAsia="楷体_GB2312" w:cs="楷体_GB2312"/>
          <w:sz w:val="32"/>
          <w:highlight w:val="none"/>
          <w:lang w:val="en-US" w:eastAsia="zh-CN"/>
        </w:rPr>
        <w:t>（三）强化数字赋能园区提质升级</w:t>
      </w:r>
      <w:bookmarkEnd w:id="245"/>
      <w:bookmarkEnd w:id="246"/>
    </w:p>
    <w:p w14:paraId="1474ABD3">
      <w:pPr>
        <w:pageBreakBefore w:val="0"/>
        <w:widowControl w:val="0"/>
        <w:kinsoku/>
        <w:wordWrap/>
        <w:overflowPunct/>
        <w:topLinePunct w:val="0"/>
        <w:autoSpaceDE/>
        <w:autoSpaceDN/>
        <w:bidi w:val="0"/>
        <w:adjustRightInd/>
        <w:snapToGrid/>
        <w:spacing w:afterLines="0" w:line="560" w:lineRule="exact"/>
        <w:ind w:left="0" w:leftChars="0"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加快产业园区</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双千兆</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网络等数字基础设施建设，重点推动大岗穗港智造基地、万顷沙集成电路产业园，黄阁汽车产业园、龙穴造船基地、小虎岛化工区、珠江创新谷等现有成熟工业园区开展园区数字化升级，高标准推进数字谷、生物谷和健康谷等工业园区建设，打造一批制造业数字化转型示范园区。鼓励园区利用5G、大数据、区块链等数字技术，赋能综合管理、安全环保、智慧物流、产业招商等园区管理和服务能力效用提升。支持产业园区与数字化服务平台企业合作运营模式探索，持续丰富技术、数据、平台、供应链等服务能力供给，打造一批智慧园区。</w:t>
      </w:r>
    </w:p>
    <w:p w14:paraId="34E3E8A5">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49" w:name="_Toc30742"/>
      <w:bookmarkStart w:id="250" w:name="_Toc25115"/>
      <w:r>
        <w:rPr>
          <w:rFonts w:hint="default" w:ascii="楷体_GB2312" w:hAnsi="楷体_GB2312" w:eastAsia="楷体_GB2312" w:cs="楷体_GB2312"/>
          <w:sz w:val="32"/>
          <w:highlight w:val="none"/>
          <w:lang w:val="en-US" w:eastAsia="zh-CN"/>
        </w:rPr>
        <w:t>（四）</w:t>
      </w:r>
      <w:bookmarkEnd w:id="247"/>
      <w:r>
        <w:rPr>
          <w:rFonts w:hint="default" w:ascii="楷体_GB2312" w:hAnsi="楷体_GB2312" w:eastAsia="楷体_GB2312" w:cs="楷体_GB2312"/>
          <w:sz w:val="32"/>
          <w:highlight w:val="none"/>
          <w:lang w:val="en-US" w:eastAsia="zh-CN"/>
        </w:rPr>
        <w:t>创新发展服务型制造新模式</w:t>
      </w:r>
      <w:bookmarkEnd w:id="248"/>
      <w:bookmarkEnd w:id="249"/>
      <w:bookmarkEnd w:id="250"/>
    </w:p>
    <w:p w14:paraId="0255776A">
      <w:pPr>
        <w:pageBreakBefore w:val="0"/>
        <w:widowControl w:val="0"/>
        <w:kinsoku/>
        <w:wordWrap/>
        <w:overflowPunct/>
        <w:topLinePunct w:val="0"/>
        <w:autoSpaceDE/>
        <w:autoSpaceDN/>
        <w:bidi w:val="0"/>
        <w:adjustRightInd/>
        <w:snapToGrid/>
        <w:spacing w:afterLines="0" w:line="560" w:lineRule="exact"/>
        <w:ind w:left="0" w:leftChars="0"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发挥南沙区高端装备、电子信息、生物医药等产业基础优势，鼓励华凌制冷、芬尼科技、广钢气体等服务型制造示范企业和第三代半导体创新中心、广东医谷等研发创新平台，通过平台孵化和牵引配套等模式，为区内外企业提供工业设计、定制化服务、供应链管理、共享制造、全生命周期管理等端到端集成服务。鼓励构建以自身为核心节点的服务型制造网络，发展</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平台接单、按工序分解、多工厂协同</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的共享制造模式，加速向</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制造+服务</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和</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产品+服务</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转型。</w:t>
      </w:r>
    </w:p>
    <w:p w14:paraId="65FAC081">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0"/>
        <w:rPr>
          <w:rFonts w:hint="default" w:ascii="Times New Roman" w:hAnsi="Times New Roman" w:eastAsia="黑体" w:cs="Times New Roman"/>
          <w:b w:val="0"/>
          <w:bCs/>
          <w:i w:val="0"/>
          <w:kern w:val="44"/>
          <w:sz w:val="32"/>
          <w:szCs w:val="48"/>
          <w:highlight w:val="none"/>
          <w:lang w:val="en-US" w:eastAsia="zh-CN" w:bidi="ar"/>
        </w:rPr>
      </w:pPr>
      <w:bookmarkStart w:id="251" w:name="_Toc16004"/>
      <w:bookmarkStart w:id="252" w:name="_Toc29559"/>
      <w:bookmarkStart w:id="253" w:name="_Toc25613"/>
      <w:bookmarkStart w:id="254" w:name="_Toc29569"/>
      <w:r>
        <w:rPr>
          <w:rFonts w:hint="default" w:ascii="Times New Roman" w:hAnsi="Times New Roman" w:eastAsia="黑体" w:cs="Times New Roman"/>
          <w:b w:val="0"/>
          <w:bCs/>
          <w:i w:val="0"/>
          <w:kern w:val="44"/>
          <w:sz w:val="32"/>
          <w:szCs w:val="48"/>
          <w:highlight w:val="none"/>
          <w:lang w:val="en-US" w:eastAsia="zh-CN" w:bidi="ar"/>
        </w:rPr>
        <w:t>六、加快特色服务业数字化发展</w:t>
      </w:r>
      <w:bookmarkEnd w:id="251"/>
      <w:bookmarkEnd w:id="252"/>
      <w:bookmarkEnd w:id="253"/>
      <w:bookmarkEnd w:id="254"/>
    </w:p>
    <w:p w14:paraId="42CE69F6">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bookmarkStart w:id="255" w:name="_Toc13153"/>
      <w:bookmarkStart w:id="256" w:name="_Toc24656"/>
      <w:bookmarkStart w:id="257" w:name="_Toc6888"/>
      <w:r>
        <w:rPr>
          <w:rFonts w:hint="default" w:ascii="Times New Roman" w:hAnsi="Times New Roman" w:eastAsia="仿宋_GB2312" w:cs="Times New Roman"/>
          <w:bCs w:val="0"/>
          <w:kern w:val="2"/>
          <w:sz w:val="32"/>
          <w:szCs w:val="22"/>
          <w:highlight w:val="none"/>
          <w:lang w:val="en-US" w:eastAsia="zh-CN" w:bidi="ar-SA"/>
        </w:rPr>
        <w:t>聚焦南沙国际航运中心、国际新型贸易中心、国际创新金融中心的建设，大力推动智慧港航、数字贸易、数字金融等特色</w:t>
      </w:r>
      <w:r>
        <w:rPr>
          <w:rFonts w:hint="eastAsia" w:ascii="Times New Roman" w:hAnsi="Times New Roman" w:eastAsia="仿宋_GB2312" w:cs="Times New Roman"/>
          <w:bCs w:val="0"/>
          <w:kern w:val="2"/>
          <w:sz w:val="32"/>
          <w:szCs w:val="22"/>
          <w:highlight w:val="none"/>
          <w:lang w:val="en-US" w:eastAsia="zh-CN" w:bidi="ar-SA"/>
        </w:rPr>
        <w:t>生产性</w:t>
      </w:r>
      <w:r>
        <w:rPr>
          <w:rFonts w:hint="default" w:ascii="Times New Roman" w:hAnsi="Times New Roman" w:eastAsia="仿宋_GB2312" w:cs="Times New Roman"/>
          <w:bCs w:val="0"/>
          <w:kern w:val="2"/>
          <w:sz w:val="32"/>
          <w:szCs w:val="22"/>
          <w:highlight w:val="none"/>
          <w:lang w:val="en-US" w:eastAsia="zh-CN" w:bidi="ar-SA"/>
        </w:rPr>
        <w:t>服务业发展，深化数字技术赋能教育、医疗、文旅等重点生活服务业高质量发展。</w:t>
      </w:r>
    </w:p>
    <w:p w14:paraId="0970CD63">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58" w:name="_Toc21390"/>
      <w:r>
        <w:rPr>
          <w:rFonts w:hint="default" w:ascii="楷体_GB2312" w:hAnsi="楷体_GB2312" w:eastAsia="楷体_GB2312" w:cs="楷体_GB2312"/>
          <w:sz w:val="32"/>
          <w:highlight w:val="none"/>
          <w:lang w:val="en-US" w:eastAsia="zh-CN"/>
        </w:rPr>
        <w:t>（一）加快建设世界一流智慧</w:t>
      </w:r>
      <w:bookmarkEnd w:id="255"/>
      <w:bookmarkEnd w:id="256"/>
      <w:bookmarkEnd w:id="257"/>
      <w:r>
        <w:rPr>
          <w:rFonts w:hint="default" w:ascii="楷体_GB2312" w:hAnsi="楷体_GB2312" w:eastAsia="楷体_GB2312" w:cs="楷体_GB2312"/>
          <w:sz w:val="32"/>
          <w:highlight w:val="none"/>
          <w:lang w:val="en-US" w:eastAsia="zh-CN"/>
        </w:rPr>
        <w:t>港航</w:t>
      </w:r>
      <w:bookmarkEnd w:id="258"/>
    </w:p>
    <w:p w14:paraId="7CB91FC3">
      <w:pPr>
        <w:widowControl w:val="0"/>
        <w:autoSpaceDE/>
        <w:autoSpaceDN/>
        <w:spacing w:line="560" w:lineRule="exact"/>
        <w:ind w:firstLine="640" w:firstLineChars="200"/>
        <w:jc w:val="both"/>
        <w:textAlignment w:val="auto"/>
        <w:outlineLvl w:val="9"/>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以南沙港区为核心，持续提升广州港南沙港区四期全自动化码头、南沙国际物流中心等项目智慧化水平，加快国际通用码头、南沙港五期等项目建设。围绕</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大数据、大系统、大平台</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方向，加快建设统一的数字底座和数字化平台。推进5G、人工智能、自动驾驶、数字孪生、北斗定位等技术的融合应用，推进作业单证</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无纸化</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和业务线上办理，发展</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通关+物流</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一体化联动服务，实现生产调度精细化、港口运作无人化和通关放行智能化。持续推进智慧航道建设，推广无人机、无人船等技术在航道巡查中的应用，鼓励发展以数据资源作为生产要素的新模式，促进港口运营数字化转型升级。</w:t>
      </w:r>
    </w:p>
    <w:p w14:paraId="4BEF016E">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59" w:name="_Toc8022"/>
      <w:bookmarkStart w:id="260" w:name="_Toc28376"/>
      <w:bookmarkStart w:id="261" w:name="_Toc8230"/>
      <w:bookmarkStart w:id="262" w:name="_Toc17722"/>
      <w:r>
        <w:rPr>
          <w:rFonts w:hint="default" w:ascii="楷体_GB2312" w:hAnsi="楷体_GB2312" w:eastAsia="楷体_GB2312" w:cs="楷体_GB2312"/>
          <w:sz w:val="32"/>
          <w:highlight w:val="none"/>
          <w:lang w:val="en-US" w:eastAsia="zh-CN"/>
        </w:rPr>
        <w:t>（二）</w:t>
      </w:r>
      <w:bookmarkEnd w:id="259"/>
      <w:r>
        <w:rPr>
          <w:rFonts w:hint="default" w:ascii="楷体_GB2312" w:hAnsi="楷体_GB2312" w:eastAsia="楷体_GB2312" w:cs="楷体_GB2312"/>
          <w:sz w:val="32"/>
          <w:highlight w:val="none"/>
          <w:lang w:val="en-US" w:eastAsia="zh-CN"/>
        </w:rPr>
        <w:t>多点发力数字商贸服务发展</w:t>
      </w:r>
      <w:bookmarkEnd w:id="260"/>
      <w:bookmarkEnd w:id="261"/>
      <w:bookmarkEnd w:id="262"/>
    </w:p>
    <w:p w14:paraId="5B57465A">
      <w:pPr>
        <w:widowControl w:val="0"/>
        <w:autoSpaceDE/>
        <w:autoSpaceDN/>
        <w:spacing w:line="560" w:lineRule="exact"/>
        <w:ind w:firstLine="640" w:firstLineChars="200"/>
        <w:jc w:val="both"/>
        <w:textAlignment w:val="auto"/>
        <w:outlineLvl w:val="9"/>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依托中国（广东）自由贸易试验区南沙片区对外开放优势，持续引进和培育一批具有重要影响力的电商企业。大力发展数字贸易、跨境电商、直播经济、平台经济等新业态新模式，培育一批平台、物流、仓储、服务出口等数字贸易和电商平台企业。鼓励汽车、美妆药品等商贸服务企业和电商平台拓展人工智能、大数据等技术在物流、仓储、交易等领域的应用。积极培育新型消费和智慧商业，推动蕉门河、明珠湾、南沙湾等重点商圈商街基础设施智能化升级</w:t>
      </w:r>
      <w:r>
        <w:rPr>
          <w:rFonts w:hint="eastAsia" w:ascii="Times New Roman" w:hAnsi="Times New Roman" w:eastAsia="仿宋_GB2312" w:cs="Times New Roman"/>
          <w:kern w:val="2"/>
          <w:sz w:val="32"/>
          <w:szCs w:val="22"/>
          <w:highlight w:val="none"/>
          <w:lang w:val="en-US" w:eastAsia="zh-CN" w:bidi="ar-SA"/>
        </w:rPr>
        <w:t>以及</w:t>
      </w:r>
      <w:r>
        <w:rPr>
          <w:rFonts w:hint="default" w:ascii="Times New Roman" w:hAnsi="Times New Roman" w:eastAsia="仿宋_GB2312" w:cs="Times New Roman"/>
          <w:kern w:val="2"/>
          <w:sz w:val="32"/>
          <w:szCs w:val="22"/>
          <w:highlight w:val="none"/>
          <w:lang w:val="en-US" w:eastAsia="zh-CN" w:bidi="ar-SA"/>
        </w:rPr>
        <w:t>无人配送</w:t>
      </w:r>
      <w:r>
        <w:rPr>
          <w:rFonts w:hint="eastAsia" w:ascii="Times New Roman" w:hAnsi="Times New Roman" w:eastAsia="仿宋_GB2312" w:cs="Times New Roman"/>
          <w:kern w:val="2"/>
          <w:sz w:val="32"/>
          <w:szCs w:val="22"/>
          <w:highlight w:val="none"/>
          <w:lang w:val="en-US" w:eastAsia="zh-CN" w:bidi="ar-SA"/>
        </w:rPr>
        <w:t>等</w:t>
      </w:r>
      <w:r>
        <w:rPr>
          <w:rFonts w:hint="default" w:ascii="Times New Roman" w:hAnsi="Times New Roman" w:eastAsia="仿宋_GB2312" w:cs="Times New Roman"/>
          <w:kern w:val="2"/>
          <w:sz w:val="32"/>
          <w:szCs w:val="22"/>
          <w:highlight w:val="none"/>
          <w:lang w:val="en-US" w:eastAsia="zh-CN" w:bidi="ar-SA"/>
        </w:rPr>
        <w:t>智慧化应用，打造一批智慧商圈、智慧商店和智慧餐厅。加强智能服务终端和推动新一代信息技术在线上线下消费应用，打造沉浸式、体验式、交互式消费场景。鼓励引入各类数字创意元素，不断扩大信息消费、数字消费和绿色消费。</w:t>
      </w:r>
    </w:p>
    <w:p w14:paraId="6AC84D98">
      <w:pPr>
        <w:pStyle w:val="3"/>
        <w:rPr>
          <w:rFonts w:hint="default" w:ascii="Times New Roman" w:hAnsi="Times New Roman" w:eastAsia="仿宋_GB2312" w:cs="Times New Roman"/>
          <w:kern w:val="2"/>
          <w:sz w:val="32"/>
          <w:szCs w:val="22"/>
          <w:highlight w:val="none"/>
          <w:lang w:val="en-US" w:eastAsia="zh-CN" w:bidi="ar-SA"/>
        </w:rPr>
      </w:pPr>
    </w:p>
    <w:p w14:paraId="10B4485B">
      <w:pPr>
        <w:rPr>
          <w:rFonts w:hint="default"/>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8D0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09E1865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5</w:t>
            </w:r>
            <w:r>
              <w:rPr>
                <w:rFonts w:hint="eastAsia" w:ascii="黑体" w:hAnsi="黑体" w:eastAsia="黑体" w:cs="黑体"/>
                <w:b w:val="0"/>
                <w:bCs w:val="0"/>
                <w:sz w:val="24"/>
                <w:szCs w:val="24"/>
                <w:highlight w:val="none"/>
                <w:vertAlign w:val="baseline"/>
                <w:lang w:val="en-US" w:eastAsia="zh-CN"/>
              </w:rPr>
              <w:t xml:space="preserve">  数字商贸创新发展方向</w:t>
            </w:r>
          </w:p>
        </w:tc>
      </w:tr>
      <w:tr w14:paraId="79BA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62510D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数字贸易。</w:t>
            </w:r>
            <w:r>
              <w:rPr>
                <w:rFonts w:hint="eastAsia" w:ascii="宋体" w:hAnsi="宋体" w:eastAsia="宋体" w:cs="宋体"/>
                <w:b w:val="0"/>
                <w:bCs w:val="0"/>
                <w:sz w:val="24"/>
                <w:szCs w:val="24"/>
                <w:highlight w:val="none"/>
                <w:lang w:val="en-US" w:eastAsia="zh-CN"/>
              </w:rPr>
              <w:t>积极对接和参与制定国际新规则，打造全国性数字贸易公共服务平台。探索打造数字贸易特区，支持企业不断提升贸易数字化和智能化管理能力。加强与港澳及第三方在溯源、采信等互认合作。大力促进数字产品、数字服务、数字技术贸易，打造数字贸易枢纽港。</w:t>
            </w:r>
          </w:p>
          <w:p w14:paraId="1BE87AC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跨境电商</w:t>
            </w:r>
            <w:r>
              <w:rPr>
                <w:rFonts w:hint="eastAsia" w:ascii="宋体" w:hAnsi="宋体" w:eastAsia="宋体" w:cs="宋体"/>
                <w:b w:val="0"/>
                <w:bCs w:val="0"/>
                <w:sz w:val="24"/>
                <w:szCs w:val="24"/>
                <w:highlight w:val="none"/>
                <w:lang w:val="en-US" w:eastAsia="zh-CN"/>
              </w:rPr>
              <w:t>。依托全球溯源中心、全球优品分拨中心和全球报关服务系统等平台，持续优化跨境电商产业生态，重点引入报关清关、支付结算、税务保险等服务型企业。与国内外知名跨境电商企业全面深化合作，引进和壮大一批跨境电商龙头企业，持续建设跨境电商产业园，打造全国领先的跨境电商示范基地。</w:t>
            </w:r>
          </w:p>
          <w:p w14:paraId="752C85DA">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32"/>
                <w:highlight w:val="none"/>
                <w:lang w:val="en-US" w:eastAsia="zh-CN"/>
              </w:rPr>
            </w:pPr>
            <w:r>
              <w:rPr>
                <w:rFonts w:hint="eastAsia" w:ascii="宋体" w:hAnsi="宋体" w:eastAsia="宋体" w:cs="宋体"/>
                <w:b/>
                <w:bCs/>
                <w:sz w:val="24"/>
                <w:szCs w:val="24"/>
                <w:highlight w:val="none"/>
                <w:lang w:val="en-US" w:eastAsia="zh-CN"/>
              </w:rPr>
              <w:t>直播经济</w:t>
            </w:r>
            <w:r>
              <w:rPr>
                <w:rFonts w:hint="eastAsia" w:ascii="宋体" w:hAnsi="宋体" w:eastAsia="宋体" w:cs="宋体"/>
                <w:b w:val="0"/>
                <w:bCs w:val="0"/>
                <w:sz w:val="24"/>
                <w:szCs w:val="24"/>
                <w:highlight w:val="none"/>
                <w:lang w:val="en-US" w:eastAsia="zh-CN"/>
              </w:rPr>
              <w:t>。推进南沙区电商直播培训基地建设，大力发展直播、网红经济，培育一批具有影响力的</w:t>
            </w:r>
            <w:r>
              <w:rPr>
                <w:rFonts w:hint="eastAsia" w:ascii="Times New Roman" w:hAnsi="Times New Roman" w:eastAsia="宋体" w:cs="宋体"/>
                <w:b w:val="0"/>
                <w:bCs w:val="0"/>
                <w:sz w:val="24"/>
                <w:szCs w:val="24"/>
                <w:highlight w:val="none"/>
                <w:lang w:val="en-US" w:eastAsia="zh-CN"/>
              </w:rPr>
              <w:t>MCN</w:t>
            </w:r>
            <w:r>
              <w:rPr>
                <w:rFonts w:hint="eastAsia" w:ascii="宋体" w:hAnsi="宋体" w:eastAsia="宋体" w:cs="宋体"/>
                <w:b w:val="0"/>
                <w:bCs w:val="0"/>
                <w:sz w:val="24"/>
                <w:szCs w:val="24"/>
                <w:highlight w:val="none"/>
                <w:lang w:val="en-US" w:eastAsia="zh-CN"/>
              </w:rPr>
              <w:t>机构、直播电商经纪公司、直播电商服务机构，孵化一批网红品牌，打造直播电商产业集群。支持重点商圈引入电商直播基地，打造“品牌直播间</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与“网红梦工厂”。依托南沙跨境电商的优势，鼓励“网红+保税”、“网红+跨境”等商业模式创新。</w:t>
            </w:r>
          </w:p>
        </w:tc>
      </w:tr>
    </w:tbl>
    <w:p w14:paraId="5308099C">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63" w:name="_Toc16925"/>
      <w:bookmarkStart w:id="264" w:name="_Toc19525"/>
      <w:bookmarkStart w:id="265" w:name="_Toc19449"/>
      <w:bookmarkStart w:id="266" w:name="_Toc13119"/>
      <w:r>
        <w:rPr>
          <w:rFonts w:hint="default" w:ascii="楷体_GB2312" w:hAnsi="楷体_GB2312" w:eastAsia="楷体_GB2312" w:cs="楷体_GB2312"/>
          <w:sz w:val="32"/>
          <w:highlight w:val="none"/>
          <w:lang w:val="en-US" w:eastAsia="zh-CN"/>
        </w:rPr>
        <w:t>（三）积极推进数字金融创新发展</w:t>
      </w:r>
      <w:bookmarkEnd w:id="263"/>
      <w:bookmarkEnd w:id="264"/>
      <w:bookmarkEnd w:id="265"/>
      <w:bookmarkEnd w:id="266"/>
    </w:p>
    <w:p w14:paraId="204EB25E">
      <w:pPr>
        <w:widowControl w:val="0"/>
        <w:autoSpaceDE/>
        <w:autoSpaceDN/>
        <w:spacing w:line="560" w:lineRule="exact"/>
        <w:ind w:firstLine="640" w:firstLineChars="200"/>
        <w:jc w:val="both"/>
        <w:textAlignment w:val="auto"/>
        <w:outlineLvl w:val="9"/>
        <w:rPr>
          <w:rFonts w:hint="default" w:ascii="Times New Roman" w:hAnsi="Times New Roman" w:eastAsia="仿宋_GB2312" w:cs="Times New Roman"/>
          <w:kern w:val="2"/>
          <w:sz w:val="32"/>
          <w:szCs w:val="22"/>
          <w:highlight w:val="none"/>
          <w:lang w:val="en-US" w:eastAsia="zh-CN" w:bidi="ar-SA"/>
        </w:rPr>
      </w:pPr>
      <w:r>
        <w:rPr>
          <w:rFonts w:hint="default" w:ascii="Times New Roman" w:hAnsi="Times New Roman" w:eastAsia="仿宋_GB2312" w:cs="Times New Roman"/>
          <w:kern w:val="2"/>
          <w:sz w:val="32"/>
          <w:szCs w:val="22"/>
          <w:highlight w:val="none"/>
          <w:lang w:val="en-US" w:eastAsia="zh-CN" w:bidi="ar-SA"/>
        </w:rPr>
        <w:t>探索数字人民币的创新应用，推动数字人民币扩大使用规模和应用领域，实现日常消费、教育医疗、政务服务等应用场景领域全覆盖。推进南沙国际金融岛、广州期货产业园等载体和创新平台建设，支持金融机构在区内设立科技子公司、数据中心和金融科技研发中心，提供交易结算、风控管理等基础服务和供应链金融、消费金融、智能投研等业务领域，形成金融科技产业集群。鼓励区内金融机构与人工智能、大数据、区块链等领域企业开展深度合作，探索发展</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数字金融+产业</w:t>
      </w:r>
      <w:r>
        <w:rPr>
          <w:rFonts w:hint="eastAsia" w:ascii="Times New Roman" w:hAnsi="Times New Roman" w:eastAsia="仿宋_GB2312" w:cs="Times New Roman"/>
          <w:kern w:val="2"/>
          <w:sz w:val="32"/>
          <w:szCs w:val="22"/>
          <w:highlight w:val="none"/>
          <w:lang w:val="en-US" w:eastAsia="zh-CN" w:bidi="ar-SA"/>
        </w:rPr>
        <w:t>”</w:t>
      </w:r>
      <w:r>
        <w:rPr>
          <w:rFonts w:hint="default" w:ascii="Times New Roman" w:hAnsi="Times New Roman" w:eastAsia="仿宋_GB2312" w:cs="Times New Roman"/>
          <w:kern w:val="2"/>
          <w:sz w:val="32"/>
          <w:szCs w:val="22"/>
          <w:highlight w:val="none"/>
          <w:lang w:val="en-US" w:eastAsia="zh-CN" w:bidi="ar-SA"/>
        </w:rPr>
        <w:t>等金融服务新模式。创新搭建供应链金融服务平台，推动供应链金融智能化、电子化发展。</w:t>
      </w:r>
    </w:p>
    <w:p w14:paraId="22FC00D7">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67" w:name="_Toc17440"/>
      <w:bookmarkStart w:id="268" w:name="_Toc4756"/>
      <w:bookmarkStart w:id="269" w:name="_Toc10385"/>
      <w:bookmarkStart w:id="270" w:name="_Toc30063"/>
      <w:r>
        <w:rPr>
          <w:rFonts w:hint="default" w:ascii="楷体_GB2312" w:hAnsi="楷体_GB2312" w:eastAsia="楷体_GB2312" w:cs="楷体_GB2312"/>
          <w:sz w:val="32"/>
          <w:highlight w:val="none"/>
          <w:lang w:val="en-US" w:eastAsia="zh-CN"/>
        </w:rPr>
        <w:t>（四）全面发展数字化生活服务</w:t>
      </w:r>
      <w:bookmarkEnd w:id="267"/>
      <w:r>
        <w:rPr>
          <w:rFonts w:hint="default" w:ascii="楷体_GB2312" w:hAnsi="楷体_GB2312" w:eastAsia="楷体_GB2312" w:cs="楷体_GB2312"/>
          <w:sz w:val="32"/>
          <w:highlight w:val="none"/>
          <w:lang w:val="en-US" w:eastAsia="zh-CN"/>
        </w:rPr>
        <w:t>业</w:t>
      </w:r>
      <w:bookmarkEnd w:id="268"/>
      <w:bookmarkEnd w:id="269"/>
      <w:bookmarkEnd w:id="270"/>
    </w:p>
    <w:p w14:paraId="2F5A111F">
      <w:pPr>
        <w:keepNext w:val="0"/>
        <w:keepLines w:val="0"/>
        <w:widowControl/>
        <w:suppressLineNumbers w:val="0"/>
        <w:autoSpaceDE w:val="0"/>
        <w:autoSpaceDN w:val="0"/>
        <w:spacing w:line="560" w:lineRule="exact"/>
        <w:ind w:firstLine="643" w:firstLineChars="200"/>
        <w:jc w:val="left"/>
        <w:textAlignment w:val="bottom"/>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color w:val="000000"/>
          <w:kern w:val="0"/>
          <w:sz w:val="32"/>
          <w:szCs w:val="32"/>
          <w:highlight w:val="none"/>
          <w:lang w:val="en-US" w:eastAsia="zh-CN"/>
        </w:rPr>
        <w:t>智慧教育</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深化南沙区智慧教育云平台和大数据平台建设，拓展教、学、</w:t>
      </w:r>
      <w:r>
        <w:rPr>
          <w:rFonts w:hint="eastAsia" w:ascii="Times New Roman" w:hAnsi="Times New Roman" w:eastAsia="仿宋_GB2312" w:cs="Times New Roman"/>
          <w:kern w:val="2"/>
          <w:sz w:val="32"/>
          <w:szCs w:val="32"/>
          <w:highlight w:val="none"/>
          <w:lang w:val="en-US" w:eastAsia="zh-CN" w:bidi="ar-SA"/>
        </w:rPr>
        <w:t>研、</w:t>
      </w:r>
      <w:r>
        <w:rPr>
          <w:rFonts w:hint="default" w:ascii="Times New Roman" w:hAnsi="Times New Roman" w:eastAsia="仿宋_GB2312" w:cs="Times New Roman"/>
          <w:kern w:val="2"/>
          <w:sz w:val="32"/>
          <w:szCs w:val="32"/>
          <w:highlight w:val="none"/>
          <w:lang w:val="en-US" w:eastAsia="zh-CN" w:bidi="ar-SA"/>
        </w:rPr>
        <w:t>管、评各环节数字化教育新模式新应用。加强智慧校园建设，推进校园新型网络建设和智能导学、教育机器人等</w:t>
      </w:r>
      <w:r>
        <w:rPr>
          <w:rFonts w:hint="eastAsia" w:ascii="Times New Roman" w:hAnsi="Times New Roman" w:eastAsia="仿宋_GB2312" w:cs="Times New Roman"/>
          <w:kern w:val="2"/>
          <w:sz w:val="32"/>
          <w:szCs w:val="32"/>
          <w:highlight w:val="none"/>
          <w:lang w:val="en-US" w:eastAsia="zh-CN" w:bidi="ar-SA"/>
        </w:rPr>
        <w:t>AI教育</w:t>
      </w:r>
      <w:r>
        <w:rPr>
          <w:rFonts w:hint="default" w:ascii="Times New Roman" w:hAnsi="Times New Roman" w:eastAsia="仿宋_GB2312" w:cs="Times New Roman"/>
          <w:kern w:val="2"/>
          <w:sz w:val="32"/>
          <w:szCs w:val="32"/>
          <w:highlight w:val="none"/>
          <w:lang w:val="en-US" w:eastAsia="zh-CN" w:bidi="ar-SA"/>
        </w:rPr>
        <w:t>应用部署，进一步拓展智能教室、智能实验室、智能图书馆等智能学习空间覆盖面。以广州市人工智能课程改革实验学校为重点，加快部署云化智慧课堂应用，推动线上线下混合教学，推进共享课堂在教学中的常态化应用，实现师生教与学双向实时反馈。加强教师和学生数字技术应用能力培训，持续开展人工智能教育主题工作坊实践研修，不断提升应用信息技术、人工智能等创新教学和学习方式的能力。</w:t>
      </w:r>
    </w:p>
    <w:p w14:paraId="10CD24DB">
      <w:pPr>
        <w:widowControl w:val="0"/>
        <w:autoSpaceDE/>
        <w:autoSpaceDN/>
        <w:spacing w:line="56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智慧医疗</w:t>
      </w:r>
      <w:r>
        <w:rPr>
          <w:rFonts w:hint="default" w:ascii="Times New Roman" w:hAnsi="Times New Roman" w:eastAsia="仿宋_GB2312" w:cs="Times New Roman"/>
          <w:kern w:val="2"/>
          <w:sz w:val="32"/>
          <w:szCs w:val="32"/>
          <w:highlight w:val="none"/>
          <w:lang w:val="en-US" w:eastAsia="zh-CN" w:bidi="ar-SA"/>
        </w:rPr>
        <w:t>。以中山大学附属第一医院南沙院区等医院为试点，打造可复用的智慧医疗中台，发展远程诊疗、移动互联网医院等新模式。持续完善全区人口、电子病历、居民电子健康档案等基础数据库，积极推动全区统一的互联网医疗服务业务平台和智慧服务自助医院建设。鼓励精准医疗、智慧医疗先进技术落地，探索生物认证、自我健康管理、可穿戴生理监测系统应用推广。大力发展</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互联网+大健康</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产业，推动互联网医疗在南沙</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药+医+险+养</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一体化闭环集聚发展。鼓励医疗机构与人工智能企业合作，推动诊疗技术、人工智能技术与医学设备深度融合。推进医学人工智能在智能临床辅助诊疗、智能医院管理、智能医疗设备管理、智能医学教育等领域应用试点。</w:t>
      </w:r>
    </w:p>
    <w:p w14:paraId="7184C37E">
      <w:pPr>
        <w:widowControl w:val="0"/>
        <w:autoSpaceDE/>
        <w:autoSpaceDN/>
        <w:spacing w:line="560" w:lineRule="exact"/>
        <w:ind w:firstLine="643"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智慧文旅。</w:t>
      </w:r>
      <w:r>
        <w:rPr>
          <w:rFonts w:hint="default" w:ascii="Times New Roman" w:hAnsi="Times New Roman" w:eastAsia="仿宋_GB2312" w:cs="Times New Roman"/>
          <w:kern w:val="2"/>
          <w:sz w:val="32"/>
          <w:szCs w:val="32"/>
          <w:highlight w:val="none"/>
          <w:lang w:val="en-US" w:eastAsia="zh-CN" w:bidi="ar-SA"/>
        </w:rPr>
        <w:t>全面升级全区文化旅游数据采集方式，进一步提升客流统计、流量预警、消费分析与预测等分析能力。利用北斗导航、全景地图、大数据和人工智能等新一代技术手段，全面推进天后宫、湿地公园、东涌镇农业生态旅游等景区以及图书馆、文化馆、科技馆、档案馆等场馆的智能化建设和改造，为公众提供</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一站式</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文创服务。加快推进南沙全民文化体育综合体项目建设，充分利用人脸识别、智能监控、视频布控、场馆环境监测、智能讲解和虚拟仿真等技术手段，实现南沙文创相关景点或场馆设施智能化管理。</w:t>
      </w:r>
    </w:p>
    <w:p w14:paraId="63197BE2">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0"/>
        <w:rPr>
          <w:rFonts w:hint="default" w:ascii="Times New Roman" w:hAnsi="Times New Roman" w:eastAsia="黑体" w:cs="Times New Roman"/>
          <w:b w:val="0"/>
          <w:bCs/>
          <w:i w:val="0"/>
          <w:kern w:val="44"/>
          <w:sz w:val="32"/>
          <w:szCs w:val="32"/>
          <w:highlight w:val="none"/>
          <w:lang w:val="en-US" w:eastAsia="zh-CN" w:bidi="ar"/>
        </w:rPr>
      </w:pPr>
      <w:bookmarkStart w:id="271" w:name="_Toc28648"/>
      <w:bookmarkStart w:id="272" w:name="_Toc20626"/>
      <w:bookmarkStart w:id="273" w:name="_Toc21831"/>
      <w:bookmarkStart w:id="274" w:name="_Toc2531"/>
      <w:r>
        <w:rPr>
          <w:rFonts w:hint="default" w:ascii="Times New Roman" w:hAnsi="Times New Roman" w:eastAsia="黑体" w:cs="Times New Roman"/>
          <w:b w:val="0"/>
          <w:bCs/>
          <w:i w:val="0"/>
          <w:kern w:val="44"/>
          <w:sz w:val="32"/>
          <w:szCs w:val="32"/>
          <w:highlight w:val="none"/>
          <w:lang w:val="en-US" w:eastAsia="zh-CN" w:bidi="ar"/>
        </w:rPr>
        <w:t>七、推动建筑业多场景智能化</w:t>
      </w:r>
      <w:bookmarkEnd w:id="271"/>
      <w:r>
        <w:rPr>
          <w:rFonts w:hint="default" w:ascii="Times New Roman" w:hAnsi="Times New Roman" w:eastAsia="黑体" w:cs="Times New Roman"/>
          <w:b w:val="0"/>
          <w:bCs/>
          <w:i w:val="0"/>
          <w:kern w:val="44"/>
          <w:sz w:val="32"/>
          <w:szCs w:val="32"/>
          <w:highlight w:val="none"/>
          <w:lang w:val="en-US" w:eastAsia="zh-CN" w:bidi="ar"/>
        </w:rPr>
        <w:t>升级</w:t>
      </w:r>
      <w:bookmarkEnd w:id="272"/>
      <w:bookmarkEnd w:id="273"/>
      <w:bookmarkEnd w:id="274"/>
    </w:p>
    <w:p w14:paraId="611887CA">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bCs w:val="0"/>
          <w:kern w:val="2"/>
          <w:sz w:val="32"/>
          <w:szCs w:val="32"/>
          <w:highlight w:val="none"/>
          <w:lang w:val="en-US" w:eastAsia="zh-CN" w:bidi="ar-SA"/>
        </w:rPr>
      </w:pPr>
      <w:bookmarkStart w:id="275" w:name="_Toc31417"/>
      <w:bookmarkStart w:id="276" w:name="_Toc18111"/>
      <w:bookmarkStart w:id="277" w:name="_Toc17544"/>
      <w:r>
        <w:rPr>
          <w:rFonts w:hint="default" w:ascii="Times New Roman" w:hAnsi="Times New Roman" w:eastAsia="仿宋_GB2312" w:cs="Times New Roman"/>
          <w:bCs w:val="0"/>
          <w:kern w:val="2"/>
          <w:sz w:val="32"/>
          <w:szCs w:val="32"/>
          <w:highlight w:val="none"/>
          <w:lang w:val="en-US" w:eastAsia="zh-CN" w:bidi="ar-SA"/>
        </w:rPr>
        <w:t>抢抓南沙开发建设加速推进的势头，市政基建、产业配套、水利工程、房建工程等领域大项目集中开工的契机，同步推动新型城市基础设施建设，提升智能建造能力，打造一批建筑业数字化转型典型场景。</w:t>
      </w:r>
    </w:p>
    <w:p w14:paraId="0BBF407C">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bookmarkStart w:id="278" w:name="_Toc30743"/>
      <w:r>
        <w:rPr>
          <w:rFonts w:hint="default" w:ascii="楷体_GB2312" w:hAnsi="楷体_GB2312" w:eastAsia="楷体_GB2312" w:cs="楷体_GB2312"/>
          <w:sz w:val="32"/>
          <w:szCs w:val="32"/>
          <w:highlight w:val="none"/>
          <w:lang w:val="en-US" w:eastAsia="zh-CN"/>
        </w:rPr>
        <w:t>（一）夯实数字化建筑基础底座</w:t>
      </w:r>
      <w:bookmarkEnd w:id="275"/>
      <w:bookmarkEnd w:id="276"/>
      <w:bookmarkEnd w:id="277"/>
      <w:bookmarkEnd w:id="278"/>
    </w:p>
    <w:p w14:paraId="23CEB7B5">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加快推动新型城市基础设施建设，鼓励建筑骨干企业与软件企业合作研发自主可控的BIM技术，构建数字设计基础平台和集成系统，搭建统一的BIM全生命周期管理平台，推广BIM技术在设计、施工等环节的集成应用，在政府投资和国有资金投资建设工程项目全面实施BIM技术应用。推进城市信息模型（CIM）平台建设，建立BIM数据、物联网数据等基础数据汇集机制，拓展</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CIM+</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在城市基础设施、智能建造、智慧社区等领域的应用。</w:t>
      </w:r>
    </w:p>
    <w:p w14:paraId="58BCFC22">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bookmarkStart w:id="279" w:name="_Toc17286"/>
      <w:bookmarkStart w:id="280" w:name="_Toc31071"/>
      <w:bookmarkStart w:id="281" w:name="_Toc18280"/>
      <w:bookmarkStart w:id="282" w:name="_Toc16560"/>
      <w:r>
        <w:rPr>
          <w:rFonts w:hint="default" w:ascii="楷体_GB2312" w:hAnsi="楷体_GB2312" w:eastAsia="楷体_GB2312" w:cs="楷体_GB2312"/>
          <w:sz w:val="32"/>
          <w:szCs w:val="32"/>
          <w:highlight w:val="none"/>
          <w:lang w:val="en-US" w:eastAsia="zh-CN"/>
        </w:rPr>
        <w:t>（二）加快关键建造技术攻关</w:t>
      </w:r>
      <w:bookmarkEnd w:id="279"/>
      <w:bookmarkEnd w:id="280"/>
      <w:bookmarkEnd w:id="281"/>
      <w:bookmarkEnd w:id="282"/>
    </w:p>
    <w:p w14:paraId="02FFD8FB">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依托广东省隧道结构智能监控与维护企业重点实验室等科研机构，加强新型传感、智能控制和优化、多机协同、人机协作等核心技术研究，探索人工智能技术在智能建造、监控系统和智能运维中的应用。支持科研院所创建技术创新中心、院士工作站、博士后工作站等创新平台，搭建房屋建筑和市政工程工业化建造关键技术体系，开展标准化设计、装配化施工、工业化装修、智能化检测等技术研究。支持开展碳排放核查核算、绿色施工、绿色低碳建材的创新研发。</w:t>
      </w:r>
    </w:p>
    <w:p w14:paraId="126AB5A1">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szCs w:val="32"/>
          <w:highlight w:val="none"/>
          <w:lang w:val="en-US" w:eastAsia="zh-CN"/>
        </w:rPr>
      </w:pPr>
      <w:bookmarkStart w:id="283" w:name="_Toc30991"/>
      <w:bookmarkStart w:id="284" w:name="_Toc28176"/>
      <w:bookmarkStart w:id="285" w:name="_Toc18975"/>
      <w:bookmarkStart w:id="286" w:name="_Toc6223"/>
      <w:r>
        <w:rPr>
          <w:rFonts w:hint="default" w:ascii="楷体_GB2312" w:hAnsi="楷体_GB2312" w:eastAsia="楷体_GB2312" w:cs="楷体_GB2312"/>
          <w:sz w:val="32"/>
          <w:szCs w:val="32"/>
          <w:highlight w:val="none"/>
          <w:lang w:val="en-US" w:eastAsia="zh-CN"/>
        </w:rPr>
        <w:t>（三）智能建造与建筑工业化协同发展</w:t>
      </w:r>
      <w:bookmarkEnd w:id="283"/>
      <w:bookmarkEnd w:id="284"/>
      <w:bookmarkEnd w:id="285"/>
      <w:bookmarkEnd w:id="286"/>
    </w:p>
    <w:p w14:paraId="605B9CE3">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落实《新城建联动赋能南沙智慧城市建设 打造标杆应用场景工作方案》，支持大型骨干企业构建建筑产业互联网平台，提供跨界产业资源整合、数字技术与共性业务支撑服务。支持中小设计、生产、施工企业和劳务分包企业使用建筑产业互联网平台提供的应用服务，提升智能建造实施能力。支持发展工程建造软件、建筑业大数据以及建筑业电商等产业，形成涵盖科研、设计、生产加工、施工装配、运营等全产业链融合一体的智能建造产业体系。加快市政、商业楼宇、住宅、桥梁隧道等</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智慧工地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应用场景建设，推进5G、VR/AR、无人机、建筑机器人、智能穿戴设备等技术在施工现场的应用，实现数字技术与现场监管的深度融合。</w:t>
      </w:r>
    </w:p>
    <w:p w14:paraId="769E25F5">
      <w:pPr>
        <w:pageBreakBefore w:val="0"/>
        <w:widowControl w:val="0"/>
        <w:kinsoku/>
        <w:wordWrap/>
        <w:overflowPunct/>
        <w:topLinePunct w:val="0"/>
        <w:autoSpaceDE/>
        <w:autoSpaceDN/>
        <w:bidi w:val="0"/>
        <w:adjustRightInd/>
        <w:snapToGrid/>
        <w:spacing w:before="0" w:beforeAutospacing="0" w:after="0" w:afterAutospacing="0" w:line="240" w:lineRule="auto"/>
        <w:ind w:firstLine="40" w:firstLineChars="200"/>
        <w:jc w:val="left"/>
        <w:textAlignment w:val="auto"/>
        <w:outlineLvl w:val="9"/>
        <w:rPr>
          <w:rFonts w:hint="default" w:ascii="Times New Roman" w:hAnsi="Times New Roman" w:eastAsia="仿宋_GB2312" w:cs="Times New Roman"/>
          <w:bCs w:val="0"/>
          <w:kern w:val="2"/>
          <w:sz w:val="2"/>
          <w:szCs w:val="2"/>
          <w:highlight w:val="none"/>
          <w:lang w:val="en-US" w:eastAsia="zh-CN" w:bidi="ar-SA"/>
        </w:rPr>
      </w:pPr>
    </w:p>
    <w:p w14:paraId="03C83457">
      <w:pPr>
        <w:pageBreakBefore w:val="0"/>
        <w:widowControl w:val="0"/>
        <w:kinsoku/>
        <w:wordWrap/>
        <w:overflowPunct/>
        <w:topLinePunct w:val="0"/>
        <w:autoSpaceDE/>
        <w:autoSpaceDN/>
        <w:bidi w:val="0"/>
        <w:adjustRightInd/>
        <w:snapToGrid/>
        <w:spacing w:before="0" w:beforeAutospacing="0" w:after="0" w:afterAutospacing="0" w:line="240" w:lineRule="auto"/>
        <w:ind w:firstLine="40" w:firstLineChars="200"/>
        <w:jc w:val="left"/>
        <w:textAlignment w:val="auto"/>
        <w:outlineLvl w:val="9"/>
        <w:rPr>
          <w:rFonts w:hint="default" w:ascii="Times New Roman" w:hAnsi="Times New Roman" w:eastAsia="仿宋_GB2312" w:cs="Times New Roman"/>
          <w:bCs w:val="0"/>
          <w:kern w:val="2"/>
          <w:sz w:val="2"/>
          <w:szCs w:val="2"/>
          <w:highlight w:val="none"/>
          <w:lang w:val="en-US" w:eastAsia="zh-CN" w:bidi="ar-SA"/>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7B1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68C3C2CA">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6</w:t>
            </w:r>
            <w:r>
              <w:rPr>
                <w:rFonts w:hint="eastAsia" w:ascii="黑体" w:hAnsi="黑体" w:eastAsia="黑体" w:cs="黑体"/>
                <w:b w:val="0"/>
                <w:bCs w:val="0"/>
                <w:sz w:val="24"/>
                <w:szCs w:val="24"/>
                <w:highlight w:val="none"/>
                <w:vertAlign w:val="baseline"/>
                <w:lang w:val="en-US" w:eastAsia="zh-CN"/>
              </w:rPr>
              <w:t xml:space="preserve">  建筑业数字化转型应用场景</w:t>
            </w:r>
          </w:p>
        </w:tc>
      </w:tr>
      <w:tr w14:paraId="7A7E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7C156BD">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打造智慧建造应用场景</w:t>
            </w:r>
            <w:r>
              <w:rPr>
                <w:rFonts w:hint="eastAsia" w:ascii="宋体" w:hAnsi="宋体" w:eastAsia="宋体" w:cs="宋体"/>
                <w:b w:val="0"/>
                <w:bCs w:val="0"/>
                <w:sz w:val="24"/>
                <w:szCs w:val="24"/>
                <w:highlight w:val="none"/>
                <w:lang w:val="en-US" w:eastAsia="zh-CN"/>
              </w:rPr>
              <w:t>。以广州南沙体育馆片区项目为载体，推行全过程</w:t>
            </w:r>
            <w:r>
              <w:rPr>
                <w:rFonts w:hint="eastAsia" w:ascii="Times New Roman" w:hAnsi="Times New Roman" w:eastAsia="宋体" w:cs="宋体"/>
                <w:b w:val="0"/>
                <w:bCs w:val="0"/>
                <w:sz w:val="24"/>
                <w:szCs w:val="24"/>
                <w:highlight w:val="none"/>
                <w:lang w:val="en-US" w:eastAsia="zh-CN"/>
              </w:rPr>
              <w:t>BIM</w:t>
            </w:r>
            <w:r>
              <w:rPr>
                <w:rFonts w:hint="eastAsia" w:ascii="宋体" w:hAnsi="宋体" w:eastAsia="宋体" w:cs="宋体"/>
                <w:b w:val="0"/>
                <w:bCs w:val="0"/>
                <w:sz w:val="24"/>
                <w:szCs w:val="24"/>
                <w:highlight w:val="none"/>
                <w:lang w:val="en-US" w:eastAsia="zh-CN"/>
              </w:rPr>
              <w:t>技术应用，推动建筑设计生产施工智慧协同，探索应用自主可控</w:t>
            </w:r>
            <w:r>
              <w:rPr>
                <w:rFonts w:hint="eastAsia" w:ascii="Times New Roman" w:hAnsi="Times New Roman" w:eastAsia="宋体" w:cs="宋体"/>
                <w:b w:val="0"/>
                <w:bCs w:val="0"/>
                <w:sz w:val="24"/>
                <w:szCs w:val="24"/>
                <w:highlight w:val="none"/>
                <w:lang w:val="en-US" w:eastAsia="zh-CN"/>
              </w:rPr>
              <w:t>BIM</w:t>
            </w:r>
            <w:r>
              <w:rPr>
                <w:rFonts w:hint="eastAsia" w:ascii="宋体" w:hAnsi="宋体" w:eastAsia="宋体" w:cs="宋体"/>
                <w:b w:val="0"/>
                <w:bCs w:val="0"/>
                <w:sz w:val="24"/>
                <w:szCs w:val="24"/>
                <w:highlight w:val="none"/>
                <w:lang w:val="en-US" w:eastAsia="zh-CN"/>
              </w:rPr>
              <w:t>软件。在建造过程中充分利用智能技术和相关设备，通过应用智能化系统，提高建造过程的智能化水平，减少人工依赖。</w:t>
            </w:r>
          </w:p>
          <w:p w14:paraId="64E2095B">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打造智慧工地应用场景</w:t>
            </w:r>
            <w:r>
              <w:rPr>
                <w:rFonts w:hint="eastAsia" w:ascii="宋体" w:hAnsi="宋体" w:eastAsia="宋体" w:cs="宋体"/>
                <w:b w:val="0"/>
                <w:bCs w:val="0"/>
                <w:sz w:val="24"/>
                <w:szCs w:val="24"/>
                <w:highlight w:val="none"/>
                <w:lang w:val="en-US" w:eastAsia="zh-CN"/>
              </w:rPr>
              <w:t>。通过三维设计平台对工程项目进行精确设计和施工模拟，建立互联协同、智能生产、科学管理的施工项目过程管理生态圈。通过南沙庆盛枢纽站场综合体、明珠湾区跨江通道工程等项目应用示范，利用人工智能、传感技术、虚拟现实等技术，实现建筑、机械、人员穿戴、工地进出口等设施设备中互联，实现项目现场人员与设施设备的有效交互。</w:t>
            </w:r>
          </w:p>
          <w:p w14:paraId="1B30F13A">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打造低碳建筑应用场景</w:t>
            </w:r>
            <w:r>
              <w:rPr>
                <w:rFonts w:hint="eastAsia" w:ascii="宋体" w:hAnsi="宋体" w:eastAsia="宋体" w:cs="宋体"/>
                <w:b w:val="0"/>
                <w:bCs w:val="0"/>
                <w:sz w:val="24"/>
                <w:szCs w:val="24"/>
                <w:highlight w:val="none"/>
                <w:lang w:val="en-US" w:eastAsia="zh-CN"/>
              </w:rPr>
              <w:t>。新建建筑全面执行绿色建筑标准，大力推广绿色建筑，重点推进零能耗、超低能耗建筑建设，深入推进节能降耗和资源循环利用。推进建筑物节能智能化监控和服务，通过智能基础设施和信息化手段实现运营节能降本、管理提质增效、提升建筑能源智慧利用水平。</w:t>
            </w:r>
          </w:p>
        </w:tc>
      </w:tr>
    </w:tbl>
    <w:p w14:paraId="7FACC85B">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0"/>
        <w:rPr>
          <w:rFonts w:hint="default" w:ascii="Times New Roman" w:hAnsi="Times New Roman" w:eastAsia="黑体" w:cs="Times New Roman"/>
          <w:b w:val="0"/>
          <w:bCs/>
          <w:i w:val="0"/>
          <w:kern w:val="44"/>
          <w:sz w:val="32"/>
          <w:szCs w:val="48"/>
          <w:highlight w:val="none"/>
          <w:lang w:val="en-US" w:eastAsia="zh-CN" w:bidi="ar"/>
        </w:rPr>
      </w:pPr>
      <w:bookmarkStart w:id="287" w:name="_Toc16032"/>
      <w:bookmarkStart w:id="288" w:name="_Toc27993"/>
      <w:bookmarkStart w:id="289" w:name="_Toc18846"/>
      <w:bookmarkStart w:id="290" w:name="_Toc14982"/>
      <w:r>
        <w:rPr>
          <w:rFonts w:hint="default" w:ascii="Times New Roman" w:hAnsi="Times New Roman" w:eastAsia="黑体" w:cs="Times New Roman"/>
          <w:b w:val="0"/>
          <w:bCs/>
          <w:i w:val="0"/>
          <w:kern w:val="44"/>
          <w:sz w:val="32"/>
          <w:szCs w:val="48"/>
          <w:highlight w:val="none"/>
          <w:lang w:val="en-US" w:eastAsia="zh-CN" w:bidi="ar"/>
        </w:rPr>
        <w:t>八、加快推进农业农村数字化</w:t>
      </w:r>
      <w:bookmarkEnd w:id="287"/>
      <w:r>
        <w:rPr>
          <w:rFonts w:hint="default" w:ascii="Times New Roman" w:hAnsi="Times New Roman" w:eastAsia="黑体" w:cs="Times New Roman"/>
          <w:b w:val="0"/>
          <w:bCs/>
          <w:i w:val="0"/>
          <w:kern w:val="44"/>
          <w:sz w:val="32"/>
          <w:szCs w:val="48"/>
          <w:highlight w:val="none"/>
          <w:lang w:val="en-US" w:eastAsia="zh-CN" w:bidi="ar"/>
        </w:rPr>
        <w:t>转型</w:t>
      </w:r>
      <w:bookmarkEnd w:id="288"/>
      <w:bookmarkEnd w:id="289"/>
      <w:bookmarkEnd w:id="290"/>
    </w:p>
    <w:p w14:paraId="44B555CA">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bookmarkStart w:id="291" w:name="_Toc10032"/>
      <w:bookmarkStart w:id="292" w:name="_Toc11286"/>
      <w:bookmarkStart w:id="293" w:name="_Toc20431"/>
      <w:r>
        <w:rPr>
          <w:rFonts w:hint="default" w:ascii="Times New Roman" w:hAnsi="Times New Roman" w:eastAsia="仿宋_GB2312" w:cs="Times New Roman"/>
          <w:bCs w:val="0"/>
          <w:kern w:val="2"/>
          <w:sz w:val="32"/>
          <w:szCs w:val="22"/>
          <w:highlight w:val="none"/>
          <w:lang w:val="en-US" w:eastAsia="zh-CN" w:bidi="ar-SA"/>
        </w:rPr>
        <w:t>依托南沙</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百千万工程</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深入实施以及农业总产值全市第一的基础，充分发挥农业对外开放合作试验区等一批</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国字号</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平台作用，大力推动种业、渔业、畜牧业数字化转型，发展</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互联网+农业</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，打造一批数字乡村试点项目。</w:t>
      </w:r>
    </w:p>
    <w:p w14:paraId="086B75C0">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94" w:name="_Toc31896"/>
      <w:r>
        <w:rPr>
          <w:rFonts w:hint="default" w:ascii="楷体_GB2312" w:hAnsi="楷体_GB2312" w:eastAsia="楷体_GB2312" w:cs="楷体_GB2312"/>
          <w:sz w:val="32"/>
          <w:highlight w:val="none"/>
          <w:lang w:val="en-US" w:eastAsia="zh-CN"/>
        </w:rPr>
        <w:t>（一）推进种牧渔业数字化转型</w:t>
      </w:r>
      <w:bookmarkEnd w:id="291"/>
      <w:bookmarkEnd w:id="292"/>
      <w:bookmarkEnd w:id="293"/>
      <w:bookmarkEnd w:id="294"/>
    </w:p>
    <w:p w14:paraId="3C07F680">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依托华南现代化海洋牧场产业科技创新中心、农业对外开放合作试验区等重大平台，推动区内外科研机构和骨干企业在南沙打造智慧农业样板，围绕现代种业、智慧渔业、生物信息和智能装备等多领域进行联合科技研发攻关和产业示范，助力打造海洋牧场种业产业集聚区。推动物联网、无人机及卫星遥感形成的空天地一体化大数据、人工智能等技术在农业生产环境监测、生产管理、智能决策、物流运输、产品质量安全与溯源等领域的应用。开展智能农场、智能化植物工厂、智能牧场、智能渔场、智能果园、农产品精准加工与质量安全控制、农产品绿色智能供应链等集成应用示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941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E9B5E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7</w:t>
            </w:r>
            <w:r>
              <w:rPr>
                <w:rFonts w:hint="eastAsia" w:ascii="黑体" w:hAnsi="黑体" w:eastAsia="黑体" w:cs="黑体"/>
                <w:b w:val="0"/>
                <w:bCs w:val="0"/>
                <w:sz w:val="24"/>
                <w:szCs w:val="24"/>
                <w:highlight w:val="none"/>
                <w:vertAlign w:val="baseline"/>
                <w:lang w:val="en-US" w:eastAsia="zh-CN"/>
              </w:rPr>
              <w:t xml:space="preserve">  农业生产数字化转型方向</w:t>
            </w:r>
          </w:p>
        </w:tc>
      </w:tr>
      <w:tr w14:paraId="5542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4D5494B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推动种业数字化</w:t>
            </w:r>
            <w:r>
              <w:rPr>
                <w:rFonts w:hint="eastAsia" w:ascii="宋体" w:hAnsi="宋体" w:eastAsia="宋体" w:cs="宋体"/>
                <w:b w:val="0"/>
                <w:bCs w:val="0"/>
                <w:sz w:val="24"/>
                <w:szCs w:val="24"/>
                <w:highlight w:val="none"/>
                <w:lang w:val="en-US" w:eastAsia="zh-CN"/>
              </w:rPr>
              <w:t>。依托成丰农场开展“广东省级智慧农业（岭南水果）标准化试点项目”，利用数字图像处理技术进行病害诊断、子粒发芽监测等方面，精准地获得农作物的形貌特征等数据。构建制种实时监测能力，基于监测数据开展动态分析和形势研判。引导绿亨科技等种业龙头企业或产业联盟构建育繁推全产业链大数据平台，探索形成商业化育种信息系统与设备的技术升级解决方案。</w:t>
            </w:r>
          </w:p>
          <w:p w14:paraId="302231BD">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推动渔业数字化</w:t>
            </w:r>
            <w:r>
              <w:rPr>
                <w:rFonts w:hint="eastAsia" w:ascii="宋体" w:hAnsi="宋体" w:eastAsia="宋体" w:cs="宋体"/>
                <w:b w:val="0"/>
                <w:bCs w:val="0"/>
                <w:sz w:val="24"/>
                <w:szCs w:val="24"/>
                <w:highlight w:val="none"/>
                <w:lang w:val="en-US" w:eastAsia="zh-CN"/>
              </w:rPr>
              <w:t>。鼓励发展数字渔业，依托南沙渔业产业园持续建设智慧渔场系统，持续融合生态设计和人工智能等技术，加快推进鱼菜共生</w:t>
            </w:r>
            <w:r>
              <w:rPr>
                <w:rFonts w:hint="eastAsia" w:ascii="Times New Roman" w:hAnsi="Times New Roman" w:eastAsia="宋体" w:cs="宋体"/>
                <w:b w:val="0"/>
                <w:bCs w:val="0"/>
                <w:sz w:val="24"/>
                <w:szCs w:val="24"/>
                <w:highlight w:val="none"/>
                <w:lang w:val="en-US" w:eastAsia="zh-CN"/>
              </w:rPr>
              <w:t>4.0</w:t>
            </w:r>
            <w:r>
              <w:rPr>
                <w:rFonts w:hint="eastAsia" w:ascii="宋体" w:hAnsi="宋体" w:eastAsia="宋体" w:cs="宋体"/>
                <w:b w:val="0"/>
                <w:bCs w:val="0"/>
                <w:sz w:val="24"/>
                <w:szCs w:val="24"/>
                <w:highlight w:val="none"/>
                <w:lang w:val="en-US" w:eastAsia="zh-CN"/>
              </w:rPr>
              <w:t>项目实施。构建基于物联网的水产养殖生产和管理系统，推进饵料精准投喂、病害监测预警、循环水装备控制、网箱自动升降控制、无人机巡航等数字技术装备普及应用。</w:t>
            </w:r>
          </w:p>
          <w:p w14:paraId="46AA122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推动畜牧业数字化</w:t>
            </w:r>
            <w:r>
              <w:rPr>
                <w:rFonts w:hint="eastAsia" w:ascii="宋体" w:hAnsi="宋体" w:eastAsia="宋体" w:cs="宋体"/>
                <w:b w:val="0"/>
                <w:bCs w:val="0"/>
                <w:sz w:val="24"/>
                <w:szCs w:val="24"/>
                <w:highlight w:val="none"/>
                <w:lang w:val="en-US" w:eastAsia="zh-CN"/>
              </w:rPr>
              <w:t>。依托动物防疫监督所建设动物疫病监测数字化平台，对疫病的发生、发展及流行趋势进行分析、模拟和风险评估。依托大岗立体化生猪养殖项目，持续建设打造“数字化食品全产业链中央厨房”。</w:t>
            </w:r>
          </w:p>
        </w:tc>
      </w:tr>
    </w:tbl>
    <w:p w14:paraId="3DBFF77E">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95" w:name="_Toc14908"/>
      <w:bookmarkStart w:id="296" w:name="_Toc11468"/>
      <w:bookmarkStart w:id="297" w:name="_Toc30709"/>
      <w:bookmarkStart w:id="298" w:name="_Toc2111"/>
      <w:r>
        <w:rPr>
          <w:rFonts w:hint="default" w:ascii="楷体_GB2312" w:hAnsi="楷体_GB2312" w:eastAsia="楷体_GB2312" w:cs="楷体_GB2312"/>
          <w:sz w:val="32"/>
          <w:highlight w:val="none"/>
          <w:lang w:val="en-US" w:eastAsia="zh-CN"/>
        </w:rPr>
        <w:t>（二）完善农业电商流通体系</w:t>
      </w:r>
      <w:bookmarkEnd w:id="295"/>
      <w:bookmarkEnd w:id="296"/>
      <w:bookmarkEnd w:id="297"/>
      <w:bookmarkEnd w:id="298"/>
    </w:p>
    <w:p w14:paraId="5235AF26">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完善农产品网络销售、运营服务和支撑保障体系，支持企业开发利用电商平台，以及与网上商城等现代化农产品销售平台的合作，引导南沙区域的优质水产、水果、蔬菜与网购市场对接，发展</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互联网+农业</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的农产品市场流通体系。健全市场信息采集、分析和发布的服务体系，完善农业信息发布制度，用市场信息引导农户按市场需求调整优化种养结构、合理安排农业生产。建设平台型口岸大型农产品综合批发市场，促进成立湾区农产品物流中心、现代农产品交易公共信息平台和电子商务平台。</w:t>
      </w:r>
    </w:p>
    <w:p w14:paraId="5D60DE4A">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299" w:name="_Toc577"/>
      <w:bookmarkStart w:id="300" w:name="_Toc19820"/>
      <w:bookmarkStart w:id="301" w:name="_Toc3542"/>
      <w:bookmarkStart w:id="302" w:name="_Toc28750"/>
      <w:r>
        <w:rPr>
          <w:rFonts w:hint="default" w:ascii="楷体_GB2312" w:hAnsi="楷体_GB2312" w:eastAsia="楷体_GB2312" w:cs="楷体_GB2312"/>
          <w:sz w:val="32"/>
          <w:highlight w:val="none"/>
          <w:lang w:val="en-US" w:eastAsia="zh-CN"/>
        </w:rPr>
        <w:t>（三）推动数字乡村高质量发展</w:t>
      </w:r>
      <w:bookmarkEnd w:id="299"/>
      <w:bookmarkEnd w:id="300"/>
      <w:bookmarkEnd w:id="301"/>
      <w:bookmarkEnd w:id="302"/>
    </w:p>
    <w:p w14:paraId="67ECCFDB">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聚焦实施</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百县千镇万村高质量发展工程</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，推进数字乡村建设，利用大数据采集、分析、可视化技术、5G和物联网等新一代信息技术，建立健全线上线下相结合的农村信息服务和高效快捷的数据采集治理体系，推动</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 xml:space="preserve">互联网+ </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教育、医疗、法律、金融、科技、文化等向农村延伸。持续开展农民手机应用技能培训，加快培育高素质农民，全面提升农民数字素养。推动美丽休闲乡村（渔村）、农家乐、乡村康养和文创基地等开展在线宣传与经营，加强乡村传统文化资源数字化保护和开发利用。</w:t>
      </w:r>
    </w:p>
    <w:p w14:paraId="1341E920">
      <w:pPr>
        <w:widowControl w:val="0"/>
        <w:autoSpaceDE/>
        <w:autoSpaceDN/>
        <w:spacing w:line="560" w:lineRule="exact"/>
        <w:ind w:firstLine="640" w:firstLineChars="200"/>
        <w:jc w:val="both"/>
        <w:textAlignment w:val="auto"/>
        <w:outlineLvl w:val="0"/>
        <w:rPr>
          <w:rFonts w:hint="default" w:ascii="Times New Roman" w:hAnsi="Times New Roman" w:eastAsia="黑体" w:cs="Times New Roman"/>
          <w:b w:val="0"/>
          <w:i w:val="0"/>
          <w:kern w:val="2"/>
          <w:sz w:val="32"/>
          <w:szCs w:val="32"/>
          <w:highlight w:val="none"/>
          <w:lang w:val="en-US" w:eastAsia="zh-CN" w:bidi="ar-SA"/>
        </w:rPr>
      </w:pPr>
      <w:bookmarkStart w:id="303" w:name="_Toc26870"/>
      <w:bookmarkStart w:id="304" w:name="_Toc18745"/>
      <w:bookmarkStart w:id="305" w:name="_Toc26876"/>
      <w:bookmarkStart w:id="306" w:name="_Toc18215"/>
      <w:r>
        <w:rPr>
          <w:rFonts w:hint="default" w:ascii="Times New Roman" w:hAnsi="Times New Roman" w:eastAsia="黑体" w:cs="Times New Roman"/>
          <w:b w:val="0"/>
          <w:i w:val="0"/>
          <w:kern w:val="2"/>
          <w:sz w:val="32"/>
          <w:szCs w:val="32"/>
          <w:highlight w:val="none"/>
          <w:lang w:val="en-US" w:eastAsia="zh-CN" w:bidi="ar-SA"/>
        </w:rPr>
        <w:t>九、提升城市及政务数字化治理效能</w:t>
      </w:r>
      <w:bookmarkEnd w:id="303"/>
      <w:bookmarkEnd w:id="304"/>
      <w:bookmarkEnd w:id="305"/>
      <w:bookmarkEnd w:id="306"/>
    </w:p>
    <w:p w14:paraId="14A2C536">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bookmarkStart w:id="307" w:name="_Toc8538"/>
      <w:bookmarkStart w:id="308" w:name="_Toc28538"/>
      <w:bookmarkStart w:id="309" w:name="_Toc14585"/>
      <w:r>
        <w:rPr>
          <w:rFonts w:hint="default" w:ascii="Times New Roman" w:hAnsi="Times New Roman" w:eastAsia="仿宋_GB2312" w:cs="Times New Roman"/>
          <w:bCs w:val="0"/>
          <w:kern w:val="2"/>
          <w:sz w:val="32"/>
          <w:szCs w:val="22"/>
          <w:highlight w:val="none"/>
          <w:lang w:val="en-US" w:eastAsia="zh-CN" w:bidi="ar-SA"/>
        </w:rPr>
        <w:t>抢抓南沙未来城市综合实证试点创建机遇，落实国家、省加快城市全域数字化转型、政务服务数字化的部署安排，</w:t>
      </w:r>
      <w:r>
        <w:rPr>
          <w:rFonts w:hint="eastAsia" w:ascii="Times New Roman" w:hAnsi="Times New Roman" w:eastAsia="仿宋_GB2312" w:cs="Times New Roman"/>
          <w:bCs w:val="0"/>
          <w:kern w:val="2"/>
          <w:sz w:val="32"/>
          <w:szCs w:val="22"/>
          <w:highlight w:val="none"/>
          <w:lang w:val="en-US" w:eastAsia="zh-CN" w:bidi="ar-SA"/>
        </w:rPr>
        <w:t>培育提升</w:t>
      </w:r>
      <w:r>
        <w:rPr>
          <w:rFonts w:hint="default" w:ascii="Times New Roman" w:hAnsi="Times New Roman" w:eastAsia="仿宋_GB2312" w:cs="Times New Roman"/>
          <w:bCs w:val="0"/>
          <w:kern w:val="2"/>
          <w:sz w:val="32"/>
          <w:szCs w:val="22"/>
          <w:highlight w:val="none"/>
          <w:lang w:val="en-US" w:eastAsia="zh-CN" w:bidi="ar-SA"/>
        </w:rPr>
        <w:t>公共数据授权运营</w:t>
      </w:r>
      <w:r>
        <w:rPr>
          <w:rFonts w:hint="eastAsia" w:ascii="Times New Roman" w:hAnsi="Times New Roman" w:eastAsia="仿宋_GB2312" w:cs="Times New Roman"/>
          <w:bCs w:val="0"/>
          <w:kern w:val="2"/>
          <w:sz w:val="32"/>
          <w:szCs w:val="22"/>
          <w:highlight w:val="none"/>
          <w:lang w:val="en-US" w:eastAsia="zh-CN" w:bidi="ar-SA"/>
        </w:rPr>
        <w:t>服务能力</w:t>
      </w:r>
      <w:r>
        <w:rPr>
          <w:rFonts w:hint="default" w:ascii="Times New Roman" w:hAnsi="Times New Roman" w:eastAsia="仿宋_GB2312" w:cs="Times New Roman"/>
          <w:bCs w:val="0"/>
          <w:kern w:val="2"/>
          <w:sz w:val="32"/>
          <w:szCs w:val="22"/>
          <w:highlight w:val="none"/>
          <w:lang w:val="en-US" w:eastAsia="zh-CN" w:bidi="ar-SA"/>
        </w:rPr>
        <w:t>，夯实</w:t>
      </w:r>
      <w:r>
        <w:rPr>
          <w:rFonts w:hint="eastAsia" w:ascii="Times New Roman" w:hAnsi="Times New Roman" w:eastAsia="仿宋_GB2312" w:cs="Times New Roman"/>
          <w:bCs w:val="0"/>
          <w:kern w:val="2"/>
          <w:sz w:val="32"/>
          <w:szCs w:val="22"/>
          <w:highlight w:val="none"/>
          <w:lang w:val="en-US" w:eastAsia="zh-CN" w:bidi="ar-SA"/>
        </w:rPr>
        <w:t>区内</w:t>
      </w:r>
      <w:r>
        <w:rPr>
          <w:rFonts w:hint="default" w:ascii="Times New Roman" w:hAnsi="Times New Roman" w:eastAsia="仿宋_GB2312" w:cs="Times New Roman"/>
          <w:bCs w:val="0"/>
          <w:kern w:val="2"/>
          <w:sz w:val="32"/>
          <w:szCs w:val="22"/>
          <w:highlight w:val="none"/>
          <w:lang w:val="en-US" w:eastAsia="zh-CN" w:bidi="ar-SA"/>
        </w:rPr>
        <w:t>公共数据运营基础，推动重点公共支撑平台建设，以数字化推进政务服务标准化、规范化、便利化，赋能应急、环保、城管等社会治理精细化。</w:t>
      </w:r>
    </w:p>
    <w:p w14:paraId="57260798">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10" w:name="_Toc579"/>
      <w:r>
        <w:rPr>
          <w:rFonts w:hint="default" w:ascii="楷体_GB2312" w:hAnsi="楷体_GB2312" w:eastAsia="楷体_GB2312" w:cs="楷体_GB2312"/>
          <w:sz w:val="32"/>
          <w:highlight w:val="none"/>
          <w:lang w:val="en-US" w:eastAsia="zh-CN"/>
        </w:rPr>
        <w:t>（一）建立健全数字城市公共支撑平台</w:t>
      </w:r>
      <w:bookmarkEnd w:id="307"/>
      <w:bookmarkEnd w:id="308"/>
      <w:bookmarkEnd w:id="309"/>
      <w:bookmarkEnd w:id="310"/>
    </w:p>
    <w:p w14:paraId="4B888873">
      <w:pPr>
        <w:autoSpaceDE w:val="0"/>
        <w:autoSpaceDN w:val="0"/>
        <w:bidi w:val="0"/>
        <w:spacing w:line="560" w:lineRule="exact"/>
        <w:ind w:firstLine="640" w:firstLineChars="200"/>
        <w:jc w:val="left"/>
        <w:textAlignment w:val="bottom"/>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以集约、共享、融合的理念和方式推动南沙区</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数字城市</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城市运营中心建设，加快建立完善相关标准规范体系和监测运行指标，统筹对接广州市</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穗智管</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城市运行管理平台以及区内已建、在建以及待建的各个基础平台和应用系统，实现城市要素数字化、城市管理决策协同化和智能化监测，通过全区统一能力中台，面向全区各部门提供地图移动采集等基础共性复用能力。加快南沙区城市安全运营平台（安全大脑）建设，建立健全动态监控、主动防御、协同响应的立体网络安全防控体系，强化政务网络安全防护能力。推广应用数字化企业服务平台，打造南沙</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企业全生命周期综合管理平台</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，实现涉企服务资源全面整合，打造企业全生命周期管理一张图。推进市政务大数据中心</w:t>
      </w:r>
      <w:r>
        <w:rPr>
          <w:rFonts w:hint="default" w:ascii="仿宋_GB2312" w:hAnsi="仿宋_GB2312"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南沙分节点建设，加强与省市沟通，争取国垂、省垂和市垂系统政务数据回流。</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BF0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37F862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8</w:t>
            </w:r>
            <w:r>
              <w:rPr>
                <w:rFonts w:hint="eastAsia" w:ascii="黑体" w:hAnsi="黑体" w:eastAsia="黑体" w:cs="黑体"/>
                <w:b w:val="0"/>
                <w:bCs w:val="0"/>
                <w:sz w:val="24"/>
                <w:szCs w:val="24"/>
                <w:highlight w:val="none"/>
                <w:vertAlign w:val="baseline"/>
                <w:lang w:val="en-US" w:eastAsia="zh-CN"/>
              </w:rPr>
              <w:t xml:space="preserve">  数字城市公共支撑平台重点项目</w:t>
            </w:r>
          </w:p>
        </w:tc>
      </w:tr>
      <w:tr w14:paraId="10A1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C45506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南沙区“数字城市”城市运营中心。</w:t>
            </w:r>
            <w:r>
              <w:rPr>
                <w:rFonts w:hint="eastAsia" w:ascii="宋体" w:hAnsi="宋体" w:eastAsia="宋体" w:cs="宋体"/>
                <w:b w:val="0"/>
                <w:bCs w:val="0"/>
                <w:sz w:val="24"/>
                <w:szCs w:val="24"/>
                <w:highlight w:val="none"/>
                <w:vertAlign w:val="baseline"/>
                <w:lang w:val="en-US" w:eastAsia="zh-CN"/>
              </w:rPr>
              <w:t>建设以“城运中枢”为核心，以“一体化支撑平台”“能力中台”为支撑，以“政务云平台”为基础底座，以“实体运营中心”为载体，以“标准规范”为配套的城市运营中心，实现运行监测与决策辅助、指挥调度、镇街协同相互融合，构建平战结合运行模式，供区领导统一指挥调度、各有关部门协同辅助决策和联合值守使用。</w:t>
            </w:r>
          </w:p>
          <w:p w14:paraId="290DB58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南沙区城市安全运营平台（安全大脑）。</w:t>
            </w:r>
            <w:r>
              <w:rPr>
                <w:rFonts w:hint="eastAsia" w:ascii="宋体" w:hAnsi="宋体" w:eastAsia="宋体" w:cs="宋体"/>
                <w:b w:val="0"/>
                <w:bCs w:val="0"/>
                <w:sz w:val="24"/>
                <w:szCs w:val="24"/>
                <w:highlight w:val="none"/>
                <w:vertAlign w:val="baseline"/>
                <w:lang w:val="en-US" w:eastAsia="zh-CN"/>
              </w:rPr>
              <w:t>建设南沙区安全大脑，挖掘数字城市建设中涉及数据采集与传输、处理与利用、共享与流通等过程的网络安全隐患，做好反诈宣传、安全宣讲、安全演练等配套运营服务，建立健全动态监控、主动防御、协同响应的立体网络安全防控体系。</w:t>
            </w:r>
          </w:p>
          <w:p w14:paraId="418E685B">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南沙企业全生命周期综合管理平台。</w:t>
            </w:r>
            <w:r>
              <w:rPr>
                <w:rFonts w:hint="eastAsia" w:ascii="宋体" w:hAnsi="宋体" w:eastAsia="宋体" w:cs="宋体"/>
                <w:b w:val="0"/>
                <w:bCs w:val="0"/>
                <w:sz w:val="24"/>
                <w:szCs w:val="24"/>
                <w:highlight w:val="none"/>
                <w:vertAlign w:val="baseline"/>
                <w:lang w:val="en-US" w:eastAsia="zh-CN"/>
              </w:rPr>
              <w:t>聚焦企业从招商、筹建、经营、迁出的全生命周期，实现涉企服务资源的全面整合，打造南沙区企业服务总入口，分析梳理形成企业标签体系，开展政策推送、服务推送、“免申即享”等主动式的精准化服务，建立企业全生命周期检测，全方位了解企业发展情况，赋能各部门精准保障企业健康运转。</w:t>
            </w:r>
          </w:p>
        </w:tc>
      </w:tr>
    </w:tbl>
    <w:p w14:paraId="10025BF2">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11" w:name="_Toc12951"/>
      <w:bookmarkStart w:id="312" w:name="_Toc21496"/>
      <w:bookmarkStart w:id="313" w:name="_Toc15067"/>
      <w:bookmarkStart w:id="314" w:name="_Toc22444"/>
      <w:r>
        <w:rPr>
          <w:rFonts w:hint="default" w:ascii="楷体_GB2312" w:hAnsi="楷体_GB2312" w:eastAsia="楷体_GB2312" w:cs="楷体_GB2312"/>
          <w:sz w:val="32"/>
          <w:highlight w:val="none"/>
          <w:lang w:val="en-US" w:eastAsia="zh-CN"/>
        </w:rPr>
        <w:t>（二）提升政务服务数字化智慧化水平</w:t>
      </w:r>
      <w:bookmarkEnd w:id="311"/>
      <w:bookmarkEnd w:id="312"/>
      <w:bookmarkEnd w:id="313"/>
      <w:bookmarkEnd w:id="314"/>
    </w:p>
    <w:p w14:paraId="6036058D">
      <w:pPr>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Fonts w:hint="default" w:ascii="Times New Roman" w:hAnsi="Times New Roman" w:eastAsia="仿宋_GB2312" w:cs="Times New Roman"/>
          <w:b/>
          <w:bCs/>
          <w:color w:val="000000"/>
          <w:kern w:val="2"/>
          <w:sz w:val="32"/>
          <w:szCs w:val="32"/>
          <w:highlight w:val="none"/>
          <w:lang w:val="en-US" w:eastAsia="zh-CN" w:bidi="ar-SA"/>
        </w:rPr>
      </w:pP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推动南沙智慧政务大厅深化建设，应用人脸识别、位置定位、5G等技术，提供企业群</w:t>
      </w:r>
      <w:r>
        <w:rPr>
          <w:rFonts w:hint="eastAsia" w:ascii="Calibri" w:hAnsi="Calibri" w:eastAsia="仿宋_GB2312" w:cs="Times New Roman"/>
          <w:b w:val="0"/>
          <w:bCs/>
          <w:color w:val="000000"/>
          <w:kern w:val="2"/>
          <w:sz w:val="32"/>
          <w:szCs w:val="32"/>
          <w:highlight w:val="none"/>
          <w:shd w:val="clear" w:color="auto" w:fill="FFFFFF"/>
          <w:lang w:val="en-US" w:eastAsia="zh-CN" w:bidi="ar"/>
        </w:rPr>
        <w:t>众</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刷脸预约认证、场景引导、智能导办、评价跟踪等大厅服务，探索更新元宇宙在线办理、伴随式帮办业务等功能，打造融合高效指挥大厅。持续深化</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无证明自贸区</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改革，提高电子证照和电子印章应用率，逐步实现由</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减证便民</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向</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无证利民</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的转变。建立政务服务特色专区，将本地本部门</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一件事</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主题集成服务事项清单中的服务逐步进驻</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穗好办</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平台的</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南沙专区</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，依托</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红棉码</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向企业和群</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众</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提供亮码进入大厅、取号、办事等服务，推进</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红棉码</w:t>
      </w:r>
      <w:r>
        <w:rPr>
          <w:rFonts w:hint="eastAsia" w:ascii="Times New Roman" w:hAnsi="Times New Roman" w:eastAsia="仿宋_GB2312" w:cs="Times New Roman"/>
          <w:b w:val="0"/>
          <w:bCs/>
          <w:color w:val="000000"/>
          <w:kern w:val="2"/>
          <w:sz w:val="32"/>
          <w:szCs w:val="32"/>
          <w:highlight w:val="none"/>
          <w:shd w:val="clear" w:color="auto" w:fill="FFFFFF"/>
          <w:lang w:val="en-US" w:eastAsia="zh-CN" w:bidi="ar"/>
        </w:rPr>
        <w:t>”</w:t>
      </w:r>
      <w:r>
        <w:rPr>
          <w:rFonts w:hint="default" w:ascii="Times New Roman" w:hAnsi="Times New Roman" w:eastAsia="仿宋_GB2312" w:cs="Times New Roman"/>
          <w:b w:val="0"/>
          <w:bCs/>
          <w:color w:val="000000"/>
          <w:kern w:val="2"/>
          <w:sz w:val="32"/>
          <w:szCs w:val="32"/>
          <w:highlight w:val="none"/>
          <w:shd w:val="clear" w:color="auto" w:fill="FFFFFF"/>
          <w:lang w:val="en-US" w:eastAsia="zh-CN" w:bidi="ar"/>
        </w:rPr>
        <w:t>在政务服务领域的应用。</w:t>
      </w:r>
    </w:p>
    <w:p w14:paraId="288B1A63">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15" w:name="_Toc16341"/>
      <w:bookmarkStart w:id="316" w:name="_Toc22121"/>
      <w:bookmarkStart w:id="317" w:name="_Toc13423"/>
      <w:bookmarkStart w:id="318" w:name="_Toc18580"/>
      <w:r>
        <w:rPr>
          <w:rFonts w:hint="default" w:ascii="楷体_GB2312" w:hAnsi="楷体_GB2312" w:eastAsia="楷体_GB2312" w:cs="楷体_GB2312"/>
          <w:sz w:val="32"/>
          <w:highlight w:val="none"/>
          <w:lang w:val="en-US" w:eastAsia="zh-CN"/>
        </w:rPr>
        <w:t>（三）推进社会全域智能化精细化治理</w:t>
      </w:r>
      <w:bookmarkEnd w:id="315"/>
      <w:bookmarkEnd w:id="316"/>
      <w:bookmarkEnd w:id="317"/>
      <w:bookmarkEnd w:id="318"/>
    </w:p>
    <w:p w14:paraId="2089A8AA">
      <w:pPr>
        <w:widowControl w:val="0"/>
        <w:autoSpaceDE/>
        <w:autoSpaceDN/>
        <w:spacing w:line="560" w:lineRule="exact"/>
        <w:ind w:firstLine="643"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22"/>
          <w:highlight w:val="none"/>
          <w:lang w:val="en-US" w:eastAsia="zh-CN" w:bidi="ar-SA"/>
        </w:rPr>
        <w:t>深化建设智慧环保水务</w:t>
      </w:r>
      <w:r>
        <w:rPr>
          <w:rFonts w:hint="default"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充分发挥污染源自动监控系统管理优势，推进重点单位自动监控设备应装尽装、构建覆盖全区的智能生态环保监测</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一张网</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实现对大气、水、土壤、噪声等重要环境要素监控全覆盖。配合数字城市运营中心建设，做好水质在线监测体系和环境空气质量自动监测体系与平台的对接，实现全区环境动态的立体监测、智能分析、辅助决策和指挥调度，为环境监管、环境评价、行政执法、公共服务和科学决策提供支撑。强化水务数字化转型顶层设计，加强水质监测和水量数据收集，推动智能水务系统建设，提高水资源管理和供应水平，强化供水质量和水质监测，改善排水和污水处理效率。探索南沙数字孪生水网建设，为构建智慧水利体系、实现</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四预</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、提高水网智能化管理调控能力和安全保障能力提供有力支撑。深度融合GIS、BIM、IoT等技术，积极</w:t>
      </w:r>
      <w:r>
        <w:rPr>
          <w:rFonts w:hint="eastAsia" w:ascii="Calibri" w:hAnsi="Calibri" w:eastAsia="仿宋_GB2312" w:cs="Times New Roman"/>
          <w:kern w:val="2"/>
          <w:sz w:val="32"/>
          <w:szCs w:val="32"/>
          <w:highlight w:val="none"/>
          <w:lang w:val="en-US" w:eastAsia="zh-CN" w:bidi="ar-SA"/>
        </w:rPr>
        <w:t>促进</w:t>
      </w:r>
      <w:r>
        <w:rPr>
          <w:rFonts w:hint="default" w:ascii="Times New Roman" w:hAnsi="Times New Roman" w:eastAsia="仿宋_GB2312" w:cs="Times New Roman"/>
          <w:kern w:val="2"/>
          <w:sz w:val="32"/>
          <w:szCs w:val="32"/>
          <w:highlight w:val="none"/>
          <w:lang w:val="en-US" w:eastAsia="zh-CN" w:bidi="ar-SA"/>
        </w:rPr>
        <w:t>智慧水务领域示范应用和推广</w:t>
      </w:r>
      <w:r>
        <w:rPr>
          <w:rFonts w:hint="eastAsia" w:ascii="Calibri" w:hAnsi="Calibri" w:eastAsia="仿宋_GB2312" w:cs="Times New Roman"/>
          <w:kern w:val="2"/>
          <w:sz w:val="32"/>
          <w:szCs w:val="32"/>
          <w:highlight w:val="none"/>
          <w:lang w:val="en-US" w:eastAsia="zh-CN" w:bidi="ar-SA"/>
        </w:rPr>
        <w:t>。</w:t>
      </w:r>
    </w:p>
    <w:p w14:paraId="38D88BE9">
      <w:pPr>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outlineLvl w:val="9"/>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b/>
          <w:bCs/>
          <w:sz w:val="32"/>
          <w:highlight w:val="none"/>
          <w:lang w:val="en-US" w:eastAsia="zh-CN"/>
        </w:rPr>
        <w:t>探索智慧市场监管模式</w:t>
      </w:r>
      <w:r>
        <w:rPr>
          <w:rFonts w:hint="default" w:ascii="Times New Roman" w:hAnsi="Times New Roman" w:eastAsia="仿宋_GB2312" w:cs="Times New Roman"/>
          <w:sz w:val="32"/>
          <w:highlight w:val="none"/>
          <w:lang w:val="en-US" w:eastAsia="zh-CN"/>
        </w:rPr>
        <w:t>。优化南沙自贸片区市场监管和企业信用信息平台，深化涉企信用信息互联互通、共享应用。运用大数据、人工智能、区块链等新技术推动相关业务监管智能化、智慧化，探索以远程监管、移动监管、预警防控为特征的非现场监管。强化</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互联网+监管</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互联网+明厨亮灶</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等平台的实际应用，提升监管服务效能。加强数据综合分析运用，探索开展跨部门数据关联比对分析，研究市场主体经营行为、规律和特征，分析、研判市场监管风险点，构建多维风险评估模型，通过信用风险等级动态调整监管工作，化解监管风险。</w:t>
      </w:r>
    </w:p>
    <w:p w14:paraId="7B1EC5FE">
      <w:pPr>
        <w:autoSpaceDE w:val="0"/>
        <w:autoSpaceDN w:val="0"/>
        <w:spacing w:line="560" w:lineRule="exact"/>
        <w:ind w:firstLine="643" w:firstLineChars="200"/>
        <w:jc w:val="left"/>
        <w:textAlignment w:val="bottom"/>
        <w:outlineLvl w:val="9"/>
        <w:rPr>
          <w:rFonts w:hint="default" w:ascii="Times New Roman" w:hAnsi="Times New Roman" w:eastAsia="仿宋_GB2312" w:cs="Times New Roman"/>
          <w:bCs w:val="0"/>
          <w:kern w:val="2"/>
          <w:sz w:val="32"/>
          <w:szCs w:val="22"/>
          <w:highlight w:val="none"/>
          <w:lang w:val="en-US" w:eastAsia="zh-CN" w:bidi="ar-SA"/>
        </w:rPr>
      </w:pPr>
      <w:r>
        <w:rPr>
          <w:rFonts w:hint="default" w:ascii="Times New Roman" w:hAnsi="Times New Roman" w:eastAsia="仿宋_GB2312" w:cs="Times New Roman"/>
          <w:b/>
          <w:bCs/>
          <w:kern w:val="2"/>
          <w:sz w:val="32"/>
          <w:szCs w:val="22"/>
          <w:highlight w:val="none"/>
          <w:lang w:val="en-US" w:eastAsia="zh-CN" w:bidi="ar-SA"/>
        </w:rPr>
        <w:t>推进智慧城管纵深发展</w:t>
      </w:r>
      <w:r>
        <w:rPr>
          <w:rFonts w:hint="default" w:ascii="Times New Roman" w:hAnsi="Times New Roman" w:eastAsia="仿宋_GB2312" w:cs="Times New Roman"/>
          <w:bCs w:val="0"/>
          <w:kern w:val="2"/>
          <w:sz w:val="32"/>
          <w:szCs w:val="22"/>
          <w:highlight w:val="none"/>
          <w:lang w:val="en-US" w:eastAsia="zh-CN" w:bidi="ar-SA"/>
        </w:rPr>
        <w:t>。完善全区视频监控、智能城市部件、无人机巡查点建设，推进城管与公安、消防、综合行政执法、水务、生态环境等相关部门系统平台的互联互通，广泛采集城市管理领域相关数据，逐步建成城市区域无死角、重点区域全覆盖的数据信息和视频信息实时采集综合城市管理网络。依托全区三维城市地图和时空大数据，构建集智能感知、分析研判、群众服务、智慧调度和巡查监督等功能于一体的南沙区智慧城管综合监管平台，整合城市管理相关部门数据资源，推动5G、NB-IoT、AI等技术在综合调度、智能巡查、环卫管理、公厕管理、广告管理、井盖管理、市容环境守护、渣土车辆监管街面秩序治理、道路秩序治理等业务领域应用，实现城市管理</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一张图</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管理。</w:t>
      </w:r>
    </w:p>
    <w:p w14:paraId="0D227920">
      <w:pPr>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bookmarkStart w:id="319" w:name="_Toc26608"/>
      <w:bookmarkStart w:id="320" w:name="_Toc4452"/>
      <w:bookmarkStart w:id="321" w:name="_Toc5731"/>
      <w:r>
        <w:rPr>
          <w:rFonts w:hint="default" w:ascii="Times New Roman" w:hAnsi="Times New Roman" w:eastAsia="仿宋_GB2312" w:cs="Times New Roman"/>
          <w:b/>
          <w:bCs/>
          <w:kern w:val="2"/>
          <w:sz w:val="32"/>
          <w:szCs w:val="22"/>
          <w:highlight w:val="none"/>
          <w:lang w:val="en-US" w:eastAsia="zh-CN" w:bidi="ar-SA"/>
        </w:rPr>
        <w:t>持续推动智慧应急管理</w:t>
      </w:r>
      <w:r>
        <w:rPr>
          <w:rFonts w:hint="default" w:ascii="Times New Roman" w:hAnsi="Times New Roman" w:eastAsia="仿宋_GB2312" w:cs="Times New Roman"/>
          <w:bCs w:val="0"/>
          <w:kern w:val="2"/>
          <w:sz w:val="32"/>
          <w:szCs w:val="22"/>
          <w:highlight w:val="none"/>
          <w:lang w:val="en-US" w:eastAsia="zh-CN" w:bidi="ar-SA"/>
        </w:rPr>
        <w:t>。推进智慧三防智慧平台系统建设，有效对接广东应急指挥中心相关建设数据及建设标准，加强部门专项应急指挥平台数据互联共享，打造链接上级、辐射全区的智慧应急指挥中心。强化重点危化品园区应急管理能力，以小虎化工园的安全风险智能化管控平台为标杆示范，拓展防爆布控球、高点鹰眼瞭望等前端监控设备应用领域，深化人工智能等技术应用，向数字化转型和智能化升级。</w:t>
      </w:r>
    </w:p>
    <w:p w14:paraId="11ED2AC6">
      <w:pPr>
        <w:keepNext w:val="0"/>
        <w:keepLines w:val="0"/>
        <w:widowControl/>
        <w:suppressLineNumbers w:val="0"/>
        <w:autoSpaceDE w:val="0"/>
        <w:autoSpaceDN w:val="0"/>
        <w:spacing w:line="560" w:lineRule="exact"/>
        <w:ind w:firstLine="640" w:firstLineChars="200"/>
        <w:jc w:val="left"/>
        <w:textAlignment w:val="bottom"/>
        <w:outlineLvl w:val="0"/>
        <w:rPr>
          <w:rFonts w:hint="default" w:ascii="Times New Roman" w:hAnsi="Times New Roman" w:eastAsia="黑体" w:cs="Times New Roman"/>
          <w:b w:val="0"/>
          <w:i w:val="0"/>
          <w:sz w:val="32"/>
          <w:highlight w:val="none"/>
          <w:lang w:val="en-US" w:eastAsia="zh-CN"/>
        </w:rPr>
      </w:pPr>
      <w:bookmarkStart w:id="322" w:name="_Toc13873"/>
      <w:r>
        <w:rPr>
          <w:rFonts w:hint="default" w:ascii="Times New Roman" w:hAnsi="Times New Roman" w:eastAsia="黑体" w:cs="Times New Roman"/>
          <w:b w:val="0"/>
          <w:i w:val="0"/>
          <w:sz w:val="32"/>
          <w:highlight w:val="none"/>
          <w:lang w:val="en-US" w:eastAsia="zh-CN"/>
        </w:rPr>
        <w:t>十、夯实数字化基础设施底座</w:t>
      </w:r>
      <w:bookmarkEnd w:id="322"/>
    </w:p>
    <w:bookmarkEnd w:id="319"/>
    <w:bookmarkEnd w:id="320"/>
    <w:bookmarkEnd w:id="321"/>
    <w:p w14:paraId="70FCA3B2">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bookmarkStart w:id="323" w:name="_Toc17637"/>
      <w:bookmarkStart w:id="324" w:name="_Toc6286"/>
      <w:bookmarkStart w:id="325" w:name="_Toc8757"/>
      <w:r>
        <w:rPr>
          <w:rFonts w:hint="default" w:ascii="Times New Roman" w:hAnsi="Times New Roman" w:eastAsia="仿宋_GB2312" w:cs="Times New Roman"/>
          <w:bCs w:val="0"/>
          <w:kern w:val="2"/>
          <w:sz w:val="32"/>
          <w:szCs w:val="22"/>
          <w:highlight w:val="none"/>
          <w:lang w:val="en-US" w:eastAsia="zh-CN" w:bidi="ar-SA"/>
        </w:rPr>
        <w:t>贯彻落实</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粤算</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南粤满格</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等行动要求，持续推进</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双千兆</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网络协同发展和IPv6规模部署，推动算力基础设施高质量发展，加强交通、能源、管网等传统基础设施数字化、智能化改造升级。</w:t>
      </w:r>
    </w:p>
    <w:p w14:paraId="38E285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26" w:name="_Toc7078"/>
      <w:r>
        <w:rPr>
          <w:rFonts w:hint="default" w:ascii="楷体_GB2312" w:hAnsi="楷体_GB2312" w:eastAsia="楷体_GB2312" w:cs="楷体_GB2312"/>
          <w:sz w:val="32"/>
          <w:highlight w:val="none"/>
          <w:lang w:val="en-US" w:eastAsia="zh-CN"/>
        </w:rPr>
        <w:t>（一）优化提升通信网络基础设施</w:t>
      </w:r>
      <w:bookmarkEnd w:id="323"/>
      <w:bookmarkEnd w:id="324"/>
      <w:bookmarkEnd w:id="325"/>
      <w:bookmarkEnd w:id="326"/>
    </w:p>
    <w:p w14:paraId="64472AF1">
      <w:pPr>
        <w:keepNext w:val="0"/>
        <w:keepLines w:val="0"/>
        <w:pageBreakBefore w:val="0"/>
        <w:widowControl/>
        <w:suppressLineNumbers w:val="0"/>
        <w:kinsoku/>
        <w:wordWrap/>
        <w:overflowPunct/>
        <w:topLinePunct w:val="0"/>
        <w:autoSpaceDE w:val="0"/>
        <w:autoSpaceDN w:val="0"/>
        <w:bidi w:val="0"/>
        <w:adjustRightInd/>
        <w:snapToGrid/>
        <w:spacing w:line="540" w:lineRule="exact"/>
        <w:ind w:firstLine="640" w:firstLineChars="200"/>
        <w:jc w:val="left"/>
        <w:textAlignment w:val="bottom"/>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持续完善</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双千兆</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网络覆盖，</w:t>
      </w:r>
      <w:r>
        <w:rPr>
          <w:rFonts w:hint="eastAsia" w:ascii="Times New Roman" w:hAnsi="Times New Roman" w:eastAsia="仿宋_GB2312" w:cs="Times New Roman"/>
          <w:sz w:val="32"/>
          <w:highlight w:val="none"/>
          <w:lang w:val="en-US" w:eastAsia="zh-CN"/>
        </w:rPr>
        <w:t>配合</w:t>
      </w:r>
      <w:r>
        <w:rPr>
          <w:rFonts w:hint="default" w:ascii="Times New Roman" w:hAnsi="Times New Roman" w:eastAsia="仿宋_GB2312" w:cs="Times New Roman"/>
          <w:sz w:val="32"/>
          <w:highlight w:val="none"/>
        </w:rPr>
        <w:t>推进</w:t>
      </w:r>
      <w:r>
        <w:rPr>
          <w:rFonts w:hint="default" w:ascii="Times New Roman" w:hAnsi="Times New Roman" w:eastAsia="仿宋_GB2312" w:cs="Times New Roman"/>
          <w:sz w:val="32"/>
          <w:highlight w:val="none"/>
          <w:lang w:val="en-US" w:eastAsia="zh-CN"/>
        </w:rPr>
        <w:t>互联网骨干网</w:t>
      </w:r>
      <w:r>
        <w:rPr>
          <w:rFonts w:hint="default" w:ascii="Times New Roman" w:hAnsi="Times New Roman" w:eastAsia="仿宋_GB2312" w:cs="Times New Roman"/>
          <w:sz w:val="32"/>
          <w:highlight w:val="none"/>
        </w:rPr>
        <w:t>扩容升级</w:t>
      </w:r>
      <w:r>
        <w:rPr>
          <w:rFonts w:hint="default" w:ascii="Times New Roman" w:hAnsi="Times New Roman" w:eastAsia="仿宋_GB2312" w:cs="Times New Roman"/>
          <w:sz w:val="32"/>
          <w:highlight w:val="none"/>
          <w:lang w:val="en-US" w:eastAsia="zh-CN"/>
        </w:rPr>
        <w:t>，全面提升南沙光纤宽带网络基础设施综合服务能力。积极响应</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信号满格</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行动，加强5G网络在商圈、园区、乡村、景区等重点地区深度</w:t>
      </w:r>
      <w:r>
        <w:rPr>
          <w:rFonts w:hint="default" w:ascii="Times New Roman" w:hAnsi="Times New Roman" w:eastAsia="仿宋_GB2312" w:cs="Times New Roman"/>
          <w:sz w:val="32"/>
          <w:szCs w:val="32"/>
          <w:highlight w:val="none"/>
          <w:lang w:val="en-US" w:eastAsia="zh-CN"/>
        </w:rPr>
        <w:t>覆盖。</w:t>
      </w:r>
      <w:r>
        <w:rPr>
          <w:rFonts w:hint="default" w:ascii="Times New Roman" w:hAnsi="Times New Roman" w:eastAsia="仿宋_GB2312" w:cs="Times New Roman"/>
          <w:color w:val="000000"/>
          <w:kern w:val="0"/>
          <w:sz w:val="32"/>
          <w:szCs w:val="32"/>
          <w:lang w:val="en-US" w:eastAsia="zh-CN" w:bidi="ar"/>
        </w:rPr>
        <w:t>加速光纤网络扩容，</w:t>
      </w:r>
      <w:r>
        <w:rPr>
          <w:rFonts w:hint="default" w:ascii="Times New Roman" w:hAnsi="Times New Roman" w:eastAsia="仿宋_GB2312" w:cs="Times New Roman"/>
          <w:sz w:val="32"/>
          <w:szCs w:val="32"/>
          <w:highlight w:val="none"/>
          <w:lang w:val="en-US" w:eastAsia="zh-CN"/>
        </w:rPr>
        <w:t>逐步完成城市千兆宽带入户，补齐农村通信</w:t>
      </w:r>
      <w:r>
        <w:rPr>
          <w:rFonts w:hint="default" w:ascii="Times New Roman" w:hAnsi="Times New Roman" w:eastAsia="仿宋_GB2312" w:cs="Times New Roman"/>
          <w:sz w:val="32"/>
          <w:highlight w:val="none"/>
          <w:lang w:val="en-US" w:eastAsia="zh-CN"/>
        </w:rPr>
        <w:t>网络基础设施短板。全面推进IPv6规模部署，加快推进网络、服务器等基础设施IPv6升级改造，新建设施全面支持IPv6。加快国际互联网数据专用通道等战略性新型基础设施项目建设。</w:t>
      </w:r>
      <w:bookmarkStart w:id="327" w:name="_Toc32079"/>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6FB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4D33E3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9</w:t>
            </w:r>
            <w:r>
              <w:rPr>
                <w:rFonts w:hint="eastAsia" w:ascii="黑体" w:hAnsi="黑体" w:eastAsia="黑体" w:cs="黑体"/>
                <w:b w:val="0"/>
                <w:bCs w:val="0"/>
                <w:sz w:val="24"/>
                <w:szCs w:val="24"/>
                <w:highlight w:val="none"/>
                <w:vertAlign w:val="baseline"/>
                <w:lang w:val="en-US" w:eastAsia="zh-CN"/>
              </w:rPr>
              <w:t xml:space="preserve"> 通信网络基础设施重点领域</w:t>
            </w:r>
          </w:p>
        </w:tc>
      </w:tr>
      <w:tr w14:paraId="4586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342CE910">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vertAlign w:val="baseline"/>
                <w:lang w:val="en-US" w:eastAsia="zh-CN"/>
              </w:rPr>
            </w:pPr>
            <w:r>
              <w:rPr>
                <w:rFonts w:hint="eastAsia" w:ascii="Times New Roman" w:hAnsi="Times New Roman" w:eastAsia="宋体" w:cs="宋体"/>
                <w:b/>
                <w:bCs/>
                <w:kern w:val="0"/>
                <w:sz w:val="24"/>
                <w:szCs w:val="24"/>
                <w:highlight w:val="none"/>
                <w:lang w:val="en-US" w:eastAsia="zh-CN"/>
              </w:rPr>
              <w:t>5G</w:t>
            </w:r>
            <w:r>
              <w:rPr>
                <w:rFonts w:hint="eastAsia" w:ascii="宋体" w:hAnsi="宋体" w:eastAsia="宋体" w:cs="宋体"/>
                <w:b/>
                <w:bCs/>
                <w:kern w:val="0"/>
                <w:sz w:val="24"/>
                <w:szCs w:val="24"/>
                <w:highlight w:val="none"/>
                <w:lang w:val="en-US" w:eastAsia="zh-CN"/>
              </w:rPr>
              <w:t>网络</w:t>
            </w:r>
            <w:r>
              <w:rPr>
                <w:rFonts w:hint="eastAsia" w:ascii="宋体" w:hAnsi="宋体" w:eastAsia="宋体" w:cs="宋体"/>
                <w:b w:val="0"/>
                <w:bCs w:val="0"/>
                <w:kern w:val="0"/>
                <w:sz w:val="24"/>
                <w:szCs w:val="24"/>
                <w:highlight w:val="none"/>
                <w:lang w:val="en-US" w:eastAsia="zh-CN"/>
              </w:rPr>
              <w:t>。充分利用现有市政公共设施及其物理空间建设</w:t>
            </w:r>
            <w:r>
              <w:rPr>
                <w:rFonts w:hint="eastAsia" w:ascii="Times New Roman" w:hAnsi="Times New Roman" w:eastAsia="宋体" w:cs="宋体"/>
                <w:b w:val="0"/>
                <w:bCs w:val="0"/>
                <w:kern w:val="0"/>
                <w:sz w:val="24"/>
                <w:szCs w:val="24"/>
                <w:highlight w:val="none"/>
                <w:lang w:val="en-US" w:eastAsia="zh-CN"/>
              </w:rPr>
              <w:t>5G</w:t>
            </w:r>
            <w:r>
              <w:rPr>
                <w:rFonts w:hint="eastAsia" w:ascii="宋体" w:hAnsi="宋体" w:eastAsia="宋体" w:cs="宋体"/>
                <w:b w:val="0"/>
                <w:bCs w:val="0"/>
                <w:kern w:val="0"/>
                <w:sz w:val="24"/>
                <w:szCs w:val="24"/>
                <w:highlight w:val="none"/>
                <w:lang w:val="en-US" w:eastAsia="zh-CN"/>
              </w:rPr>
              <w:t>基站，推进</w:t>
            </w:r>
            <w:r>
              <w:rPr>
                <w:rFonts w:hint="eastAsia" w:ascii="Times New Roman" w:hAnsi="Times New Roman" w:eastAsia="宋体" w:cs="宋体"/>
                <w:b w:val="0"/>
                <w:bCs w:val="0"/>
                <w:kern w:val="0"/>
                <w:sz w:val="24"/>
                <w:szCs w:val="24"/>
                <w:highlight w:val="none"/>
                <w:lang w:val="en-US" w:eastAsia="zh-CN"/>
              </w:rPr>
              <w:t>5G</w:t>
            </w:r>
            <w:r>
              <w:rPr>
                <w:rFonts w:hint="eastAsia" w:ascii="宋体" w:hAnsi="宋体" w:eastAsia="宋体" w:cs="宋体"/>
                <w:b w:val="0"/>
                <w:bCs w:val="0"/>
                <w:kern w:val="0"/>
                <w:sz w:val="24"/>
                <w:szCs w:val="24"/>
                <w:highlight w:val="none"/>
                <w:lang w:val="en-US" w:eastAsia="zh-CN"/>
              </w:rPr>
              <w:t>通信基站、社会塔（杆）等资源共建共享，部署高效低本的</w:t>
            </w:r>
            <w:r>
              <w:rPr>
                <w:rFonts w:hint="eastAsia" w:ascii="Times New Roman" w:hAnsi="Times New Roman" w:eastAsia="宋体" w:cs="宋体"/>
                <w:b w:val="0"/>
                <w:bCs w:val="0"/>
                <w:kern w:val="0"/>
                <w:sz w:val="24"/>
                <w:szCs w:val="24"/>
                <w:highlight w:val="none"/>
                <w:lang w:val="en-US" w:eastAsia="zh-CN"/>
              </w:rPr>
              <w:t>4G</w:t>
            </w:r>
            <w:r>
              <w:rPr>
                <w:rFonts w:hint="eastAsia" w:ascii="宋体" w:hAnsi="宋体" w:eastAsia="宋体" w:cs="宋体"/>
                <w:b w:val="0"/>
                <w:bCs w:val="0"/>
                <w:kern w:val="0"/>
                <w:sz w:val="24"/>
                <w:szCs w:val="24"/>
                <w:highlight w:val="none"/>
                <w:lang w:val="en-US" w:eastAsia="zh-CN"/>
              </w:rPr>
              <w:t>和</w:t>
            </w:r>
            <w:r>
              <w:rPr>
                <w:rFonts w:hint="eastAsia" w:ascii="Times New Roman" w:hAnsi="Times New Roman" w:eastAsia="宋体" w:cs="宋体"/>
                <w:b w:val="0"/>
                <w:bCs w:val="0"/>
                <w:kern w:val="0"/>
                <w:sz w:val="24"/>
                <w:szCs w:val="24"/>
                <w:highlight w:val="none"/>
                <w:lang w:val="en-US" w:eastAsia="zh-CN"/>
              </w:rPr>
              <w:t>5G</w:t>
            </w:r>
            <w:r>
              <w:rPr>
                <w:rFonts w:hint="eastAsia" w:ascii="宋体" w:hAnsi="宋体" w:eastAsia="宋体" w:cs="宋体"/>
                <w:b w:val="0"/>
                <w:bCs w:val="0"/>
                <w:kern w:val="0"/>
                <w:sz w:val="24"/>
                <w:szCs w:val="24"/>
                <w:highlight w:val="none"/>
                <w:lang w:val="en-US" w:eastAsia="zh-CN"/>
              </w:rPr>
              <w:t>协同覆盖方案，实现移动网络信号显著增强。推进</w:t>
            </w:r>
            <w:r>
              <w:rPr>
                <w:rFonts w:hint="eastAsia" w:ascii="Times New Roman" w:hAnsi="Times New Roman" w:eastAsia="宋体" w:cs="宋体"/>
                <w:b w:val="0"/>
                <w:bCs w:val="0"/>
                <w:kern w:val="0"/>
                <w:sz w:val="24"/>
                <w:szCs w:val="24"/>
                <w:highlight w:val="none"/>
                <w:lang w:val="en-US" w:eastAsia="zh-CN"/>
              </w:rPr>
              <w:t>5G</w:t>
            </w:r>
            <w:r>
              <w:rPr>
                <w:rFonts w:hint="eastAsia" w:ascii="宋体" w:hAnsi="宋体" w:eastAsia="宋体" w:cs="宋体"/>
                <w:b w:val="0"/>
                <w:bCs w:val="0"/>
                <w:kern w:val="0"/>
                <w:sz w:val="24"/>
                <w:szCs w:val="24"/>
                <w:highlight w:val="none"/>
                <w:lang w:val="en-US" w:eastAsia="zh-CN"/>
              </w:rPr>
              <w:t>轻量化（</w:t>
            </w:r>
            <w:r>
              <w:rPr>
                <w:rFonts w:hint="eastAsia" w:ascii="Times New Roman" w:hAnsi="Times New Roman" w:eastAsia="宋体" w:cs="宋体"/>
                <w:b w:val="0"/>
                <w:bCs w:val="0"/>
                <w:kern w:val="0"/>
                <w:sz w:val="24"/>
                <w:szCs w:val="24"/>
                <w:highlight w:val="none"/>
                <w:lang w:val="en-US" w:eastAsia="zh-CN"/>
              </w:rPr>
              <w:t>RedCap</w:t>
            </w:r>
            <w:r>
              <w:rPr>
                <w:rFonts w:hint="eastAsia" w:ascii="宋体" w:hAnsi="宋体" w:eastAsia="宋体" w:cs="宋体"/>
                <w:b w:val="0"/>
                <w:bCs w:val="0"/>
                <w:kern w:val="0"/>
                <w:sz w:val="24"/>
                <w:szCs w:val="24"/>
                <w:highlight w:val="none"/>
                <w:lang w:val="en-US" w:eastAsia="zh-CN"/>
              </w:rPr>
              <w:t>）技术创新应用发展，支持打造</w:t>
            </w:r>
            <w:r>
              <w:rPr>
                <w:rFonts w:hint="eastAsia" w:ascii="Times New Roman" w:hAnsi="Times New Roman" w:eastAsia="宋体" w:cs="宋体"/>
                <w:b w:val="0"/>
                <w:bCs w:val="0"/>
                <w:kern w:val="0"/>
                <w:sz w:val="24"/>
                <w:szCs w:val="24"/>
                <w:highlight w:val="none"/>
                <w:lang w:val="en-US" w:eastAsia="zh-CN"/>
              </w:rPr>
              <w:t>5G</w:t>
            </w:r>
            <w:r>
              <w:rPr>
                <w:rFonts w:hint="eastAsia" w:ascii="仿宋_GB2312" w:hAnsi="仿宋_GB2312" w:eastAsia="仿宋_GB2312" w:cs="宋体"/>
                <w:b w:val="0"/>
                <w:bCs w:val="0"/>
                <w:kern w:val="0"/>
                <w:sz w:val="24"/>
                <w:szCs w:val="24"/>
                <w:highlight w:val="none"/>
                <w:lang w:val="en-US" w:eastAsia="zh-CN"/>
              </w:rPr>
              <w:t>-</w:t>
            </w:r>
            <w:r>
              <w:rPr>
                <w:rFonts w:hint="eastAsia" w:ascii="Times New Roman" w:hAnsi="Times New Roman" w:eastAsia="宋体" w:cs="宋体"/>
                <w:b w:val="0"/>
                <w:bCs w:val="0"/>
                <w:kern w:val="0"/>
                <w:sz w:val="24"/>
                <w:szCs w:val="24"/>
                <w:highlight w:val="none"/>
                <w:lang w:val="en-US" w:eastAsia="zh-CN"/>
              </w:rPr>
              <w:t>Advanced</w:t>
            </w:r>
            <w:r>
              <w:rPr>
                <w:rFonts w:hint="eastAsia" w:ascii="宋体" w:hAnsi="宋体" w:eastAsia="宋体" w:cs="宋体"/>
                <w:b w:val="0"/>
                <w:bCs w:val="0"/>
                <w:kern w:val="0"/>
                <w:sz w:val="24"/>
                <w:szCs w:val="24"/>
                <w:highlight w:val="none"/>
                <w:lang w:val="en-US" w:eastAsia="zh-CN"/>
              </w:rPr>
              <w:t>示范场景，持续扩大</w:t>
            </w:r>
            <w:r>
              <w:rPr>
                <w:rFonts w:hint="eastAsia" w:ascii="Times New Roman" w:hAnsi="Times New Roman" w:eastAsia="宋体" w:cs="宋体"/>
                <w:b w:val="0"/>
                <w:bCs w:val="0"/>
                <w:kern w:val="0"/>
                <w:sz w:val="24"/>
                <w:szCs w:val="24"/>
                <w:highlight w:val="none"/>
                <w:lang w:val="en-US" w:eastAsia="zh-CN"/>
              </w:rPr>
              <w:t>5G</w:t>
            </w:r>
            <w:r>
              <w:rPr>
                <w:rFonts w:hint="eastAsia" w:ascii="宋体" w:hAnsi="宋体" w:eastAsia="宋体" w:cs="宋体"/>
                <w:b w:val="0"/>
                <w:bCs w:val="0"/>
                <w:kern w:val="0"/>
                <w:sz w:val="24"/>
                <w:szCs w:val="24"/>
                <w:highlight w:val="none"/>
                <w:lang w:val="en-US" w:eastAsia="zh-CN"/>
              </w:rPr>
              <w:t>虚拟专网在工业、医疗、教育、外贸等行业领域的规模化应用</w:t>
            </w:r>
            <w:r>
              <w:rPr>
                <w:rFonts w:hint="eastAsia" w:ascii="宋体" w:hAnsi="宋体" w:eastAsia="宋体" w:cs="宋体"/>
                <w:sz w:val="24"/>
                <w:szCs w:val="24"/>
                <w:highlight w:val="none"/>
                <w:vertAlign w:val="baseline"/>
                <w:lang w:val="en-US" w:eastAsia="zh-CN"/>
              </w:rPr>
              <w:t>。</w:t>
            </w:r>
          </w:p>
          <w:p w14:paraId="6B2E9887">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szCs w:val="24"/>
                <w:highlight w:val="none"/>
                <w:vertAlign w:val="baseline"/>
                <w:lang w:val="en-US" w:eastAsia="zh-CN"/>
              </w:rPr>
            </w:pPr>
            <w:r>
              <w:rPr>
                <w:rFonts w:hint="eastAsia" w:ascii="Times New Roman" w:hAnsi="Times New Roman" w:eastAsia="宋体" w:cs="宋体"/>
                <w:b/>
                <w:bCs/>
                <w:kern w:val="0"/>
                <w:sz w:val="24"/>
                <w:szCs w:val="24"/>
                <w:highlight w:val="none"/>
                <w:lang w:val="en-US" w:eastAsia="zh-CN"/>
              </w:rPr>
              <w:t>IPv6</w:t>
            </w:r>
            <w:r>
              <w:rPr>
                <w:rFonts w:hint="eastAsia" w:ascii="宋体" w:hAnsi="宋体" w:eastAsia="宋体" w:cs="宋体"/>
                <w:b w:val="0"/>
                <w:bCs w:val="0"/>
                <w:kern w:val="0"/>
                <w:sz w:val="24"/>
                <w:szCs w:val="24"/>
                <w:highlight w:val="none"/>
                <w:lang w:val="en-US" w:eastAsia="zh-CN"/>
              </w:rPr>
              <w:t>。持续创新国际</w:t>
            </w:r>
            <w:r>
              <w:rPr>
                <w:rFonts w:hint="eastAsia" w:ascii="Times New Roman" w:hAnsi="Times New Roman" w:eastAsia="宋体" w:cs="宋体"/>
                <w:b w:val="0"/>
                <w:bCs w:val="0"/>
                <w:kern w:val="0"/>
                <w:sz w:val="24"/>
                <w:szCs w:val="24"/>
                <w:highlight w:val="none"/>
                <w:lang w:val="en-US" w:eastAsia="zh-CN"/>
              </w:rPr>
              <w:t>IPv6</w:t>
            </w:r>
            <w:r>
              <w:rPr>
                <w:rFonts w:hint="eastAsia" w:ascii="宋体" w:hAnsi="宋体" w:eastAsia="宋体" w:cs="宋体"/>
                <w:b w:val="0"/>
                <w:bCs w:val="0"/>
                <w:kern w:val="0"/>
                <w:sz w:val="24"/>
                <w:szCs w:val="24"/>
                <w:highlight w:val="none"/>
                <w:lang w:val="en-US" w:eastAsia="zh-CN"/>
              </w:rPr>
              <w:t>根服务器的应用领域及模式，完善以广州南沙</w:t>
            </w:r>
            <w:r>
              <w:rPr>
                <w:rFonts w:hint="eastAsia" w:ascii="Times New Roman" w:hAnsi="Times New Roman" w:eastAsia="宋体" w:cs="宋体"/>
                <w:b w:val="0"/>
                <w:bCs w:val="0"/>
                <w:kern w:val="0"/>
                <w:sz w:val="24"/>
                <w:szCs w:val="24"/>
                <w:highlight w:val="none"/>
                <w:lang w:val="en-US" w:eastAsia="zh-CN"/>
              </w:rPr>
              <w:t>IPv6</w:t>
            </w:r>
            <w:r>
              <w:rPr>
                <w:rFonts w:hint="eastAsia" w:ascii="宋体" w:hAnsi="宋体" w:eastAsia="宋体" w:cs="宋体"/>
                <w:b w:val="0"/>
                <w:bCs w:val="0"/>
                <w:kern w:val="0"/>
                <w:sz w:val="24"/>
                <w:szCs w:val="24"/>
                <w:highlight w:val="none"/>
                <w:lang w:val="en-US" w:eastAsia="zh-CN"/>
              </w:rPr>
              <w:t>根服务器为核心管理节点的国际</w:t>
            </w:r>
            <w:r>
              <w:rPr>
                <w:rFonts w:hint="eastAsia" w:ascii="Times New Roman" w:hAnsi="Times New Roman" w:eastAsia="宋体" w:cs="宋体"/>
                <w:b w:val="0"/>
                <w:bCs w:val="0"/>
                <w:kern w:val="0"/>
                <w:sz w:val="24"/>
                <w:szCs w:val="24"/>
                <w:highlight w:val="none"/>
                <w:lang w:val="en-US" w:eastAsia="zh-CN"/>
              </w:rPr>
              <w:t>IPv6</w:t>
            </w:r>
            <w:r>
              <w:rPr>
                <w:rFonts w:hint="eastAsia" w:ascii="宋体" w:hAnsi="宋体" w:eastAsia="宋体" w:cs="宋体"/>
                <w:b w:val="0"/>
                <w:bCs w:val="0"/>
                <w:kern w:val="0"/>
                <w:sz w:val="24"/>
                <w:szCs w:val="24"/>
                <w:highlight w:val="none"/>
                <w:lang w:val="en-US" w:eastAsia="zh-CN"/>
              </w:rPr>
              <w:t>根域名服务体系和全球</w:t>
            </w:r>
            <w:r>
              <w:rPr>
                <w:rFonts w:hint="eastAsia" w:ascii="Times New Roman" w:hAnsi="Times New Roman" w:eastAsia="宋体" w:cs="宋体"/>
                <w:b w:val="0"/>
                <w:bCs w:val="0"/>
                <w:kern w:val="0"/>
                <w:sz w:val="24"/>
                <w:szCs w:val="24"/>
                <w:highlight w:val="none"/>
                <w:lang w:val="en-US" w:eastAsia="zh-CN"/>
              </w:rPr>
              <w:t>IPv6</w:t>
            </w:r>
            <w:r>
              <w:rPr>
                <w:rFonts w:hint="eastAsia" w:ascii="宋体" w:hAnsi="宋体" w:eastAsia="宋体" w:cs="宋体"/>
                <w:b w:val="0"/>
                <w:bCs w:val="0"/>
                <w:kern w:val="0"/>
                <w:sz w:val="24"/>
                <w:szCs w:val="24"/>
                <w:highlight w:val="none"/>
                <w:lang w:val="en-US" w:eastAsia="zh-CN"/>
              </w:rPr>
              <w:t>测试中心广州实验室的测试及认证服务业务范围，推动</w:t>
            </w:r>
            <w:r>
              <w:rPr>
                <w:rFonts w:hint="eastAsia" w:ascii="Times New Roman" w:hAnsi="Times New Roman" w:eastAsia="宋体" w:cs="宋体"/>
                <w:b w:val="0"/>
                <w:bCs w:val="0"/>
                <w:kern w:val="0"/>
                <w:sz w:val="24"/>
                <w:szCs w:val="24"/>
                <w:highlight w:val="none"/>
                <w:lang w:val="en-US" w:eastAsia="zh-CN"/>
              </w:rPr>
              <w:t>IPv6</w:t>
            </w:r>
            <w:r>
              <w:rPr>
                <w:rFonts w:hint="eastAsia" w:ascii="宋体" w:hAnsi="宋体" w:eastAsia="宋体" w:cs="宋体"/>
                <w:b w:val="0"/>
                <w:bCs w:val="0"/>
                <w:kern w:val="0"/>
                <w:sz w:val="24"/>
                <w:szCs w:val="24"/>
                <w:highlight w:val="none"/>
                <w:lang w:val="en-US" w:eastAsia="zh-CN"/>
              </w:rPr>
              <w:t>创新技术面向各类应用场景的解决方案转化</w:t>
            </w:r>
            <w:r>
              <w:rPr>
                <w:rFonts w:hint="eastAsia" w:ascii="宋体" w:hAnsi="宋体" w:eastAsia="宋体" w:cs="宋体"/>
                <w:sz w:val="24"/>
                <w:szCs w:val="24"/>
                <w:highlight w:val="none"/>
                <w:vertAlign w:val="baseline"/>
                <w:lang w:val="en-US" w:eastAsia="zh-CN"/>
              </w:rPr>
              <w:t>。</w:t>
            </w:r>
          </w:p>
        </w:tc>
      </w:tr>
    </w:tbl>
    <w:p w14:paraId="0F668018">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28" w:name="_Toc28298"/>
      <w:bookmarkStart w:id="329" w:name="_Toc14849"/>
      <w:bookmarkStart w:id="330" w:name="_Toc18748"/>
      <w:r>
        <w:rPr>
          <w:rFonts w:hint="default" w:ascii="楷体_GB2312" w:hAnsi="楷体_GB2312" w:eastAsia="楷体_GB2312" w:cs="楷体_GB2312"/>
          <w:sz w:val="32"/>
          <w:highlight w:val="none"/>
          <w:lang w:val="en-US" w:eastAsia="zh-CN"/>
        </w:rPr>
        <w:t>（二）建设高效智能算力基础设施</w:t>
      </w:r>
      <w:bookmarkEnd w:id="328"/>
      <w:bookmarkEnd w:id="329"/>
      <w:bookmarkEnd w:id="330"/>
    </w:p>
    <w:bookmarkEnd w:id="327"/>
    <w:p w14:paraId="3F722E49">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梯次布局通用数据中心、超算中心、智能计算中心、边缘数据中心，持续推进广东云谷二期数据中心、奥飞数据智慧产业园等数据中心建设，提升数据中心和能耗效率，引导数据中心向规模化、集约化、智能化、绿色化发展。整合优化区内算力资源，打造算力</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一张网</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，夯实</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算力底座</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实现资源共享和优化配置。充分发挥广州超算南沙分中心平台作用，持续为港澳地区提供关键技术支撑和服务。鼓励多元主体合作建设搭建智能算力服务体系，支撑打造人工智能产业高地。支持在明珠湾起步区等先行区域布局支撑全空间无人体系和低空经济应用场景的实时响应、承载极低延时类业务的智能算力中心。聚焦工业制造、智能电网、云游戏等低时延业务应用，推动</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云边端</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算力泛在分布、协同发展。</w:t>
      </w:r>
    </w:p>
    <w:p w14:paraId="4F0B00DF">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31" w:name="_Toc25034"/>
      <w:bookmarkStart w:id="332" w:name="_Toc1665"/>
      <w:bookmarkStart w:id="333" w:name="_Toc12224"/>
      <w:bookmarkStart w:id="334" w:name="_Toc6341"/>
      <w:r>
        <w:rPr>
          <w:rFonts w:hint="default" w:ascii="楷体_GB2312" w:hAnsi="楷体_GB2312" w:eastAsia="楷体_GB2312" w:cs="楷体_GB2312"/>
          <w:sz w:val="32"/>
          <w:highlight w:val="none"/>
          <w:lang w:val="en-US" w:eastAsia="zh-CN"/>
        </w:rPr>
        <w:t>（三）构建全面泛在物联感知体系</w:t>
      </w:r>
      <w:bookmarkEnd w:id="331"/>
      <w:bookmarkEnd w:id="332"/>
      <w:bookmarkEnd w:id="333"/>
      <w:bookmarkEnd w:id="334"/>
    </w:p>
    <w:p w14:paraId="73B27904">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持续推进传统城市基础设施智能化建设和改造，加强交通设施、能源管网、多功能灯杆、建筑楼宇、环卫设施等传统基础设施数字化、智能化改造升级，推进可综合承载多种设备和传感器的城市感知底座建设，实现对区域的全面感知、互联互通、高效利用、优化共享。推动智慧地下管线综合运营维护信息化升级，打造地下管线各项运维参数信息的采集、实时监测、自动预警和智能处置等场景应用，构建新型城市基础设施智能化建设标准体系，实现智能化城市管理应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7C1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2296454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专栏</w:t>
            </w:r>
            <w:r>
              <w:rPr>
                <w:rFonts w:hint="eastAsia" w:ascii="Times New Roman" w:hAnsi="Times New Roman" w:eastAsia="黑体" w:cs="黑体"/>
                <w:b w:val="0"/>
                <w:bCs w:val="0"/>
                <w:sz w:val="24"/>
                <w:szCs w:val="24"/>
                <w:highlight w:val="none"/>
                <w:vertAlign w:val="baseline"/>
                <w:lang w:val="en-US" w:eastAsia="zh-CN"/>
              </w:rPr>
              <w:t>10</w:t>
            </w:r>
            <w:r>
              <w:rPr>
                <w:rFonts w:hint="eastAsia" w:ascii="黑体" w:hAnsi="黑体" w:eastAsia="黑体" w:cs="黑体"/>
                <w:b w:val="0"/>
                <w:bCs w:val="0"/>
                <w:sz w:val="24"/>
                <w:szCs w:val="24"/>
                <w:highlight w:val="none"/>
                <w:vertAlign w:val="baseline"/>
                <w:lang w:val="en-US" w:eastAsia="zh-CN"/>
              </w:rPr>
              <w:t xml:space="preserve"> 智能融合基础设施重点方向</w:t>
            </w:r>
          </w:p>
        </w:tc>
      </w:tr>
      <w:tr w14:paraId="0972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0543FD39">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车联网基础设施。</w:t>
            </w:r>
            <w:r>
              <w:rPr>
                <w:rFonts w:hint="eastAsia" w:ascii="宋体" w:hAnsi="宋体" w:eastAsia="宋体" w:cs="宋体"/>
                <w:b w:val="0"/>
                <w:bCs w:val="0"/>
                <w:sz w:val="24"/>
                <w:szCs w:val="24"/>
                <w:highlight w:val="none"/>
                <w:vertAlign w:val="baseline"/>
                <w:lang w:val="en-US" w:eastAsia="zh-CN"/>
              </w:rPr>
              <w:t>加快全市首个智能网联汽车混行试点区建设，</w:t>
            </w:r>
            <w:r>
              <w:rPr>
                <w:rFonts w:hint="eastAsia" w:ascii="宋体" w:hAnsi="宋体" w:eastAsia="宋体" w:cs="宋体"/>
                <w:sz w:val="24"/>
                <w:szCs w:val="24"/>
                <w:highlight w:val="none"/>
                <w:vertAlign w:val="baseline"/>
                <w:lang w:val="en-US" w:eastAsia="zh-CN"/>
              </w:rPr>
              <w:t>推动车联网路侧设备建设，推进道路基础设施、交通标志标识的数字化改造。加强智慧交通物联感知、数据传输、系统平台、应用建设，对接广州市车联网</w:t>
            </w:r>
            <w:r>
              <w:rPr>
                <w:rFonts w:hint="eastAsia" w:ascii="Times New Roman" w:hAnsi="Times New Roman" w:eastAsia="宋体" w:cs="宋体"/>
                <w:sz w:val="24"/>
                <w:szCs w:val="24"/>
                <w:highlight w:val="none"/>
                <w:vertAlign w:val="baseline"/>
                <w:lang w:val="en-US" w:eastAsia="zh-CN"/>
              </w:rPr>
              <w:t>V2X</w:t>
            </w:r>
            <w:r>
              <w:rPr>
                <w:rFonts w:hint="eastAsia" w:ascii="宋体" w:hAnsi="宋体" w:eastAsia="宋体" w:cs="宋体"/>
                <w:sz w:val="24"/>
                <w:szCs w:val="24"/>
                <w:highlight w:val="none"/>
                <w:vertAlign w:val="baseline"/>
                <w:lang w:val="en-US" w:eastAsia="zh-CN"/>
              </w:rPr>
              <w:t>云控基础平台，打造“车路云一体化”系统。</w:t>
            </w:r>
          </w:p>
          <w:p w14:paraId="57E60DF1">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bCs/>
                <w:sz w:val="24"/>
                <w:szCs w:val="24"/>
                <w:highlight w:val="none"/>
              </w:rPr>
              <w:t>低空</w:t>
            </w:r>
            <w:r>
              <w:rPr>
                <w:rFonts w:hint="eastAsia" w:ascii="宋体" w:hAnsi="宋体" w:eastAsia="宋体" w:cs="宋体"/>
                <w:b/>
                <w:bCs/>
                <w:sz w:val="24"/>
                <w:szCs w:val="24"/>
                <w:highlight w:val="none"/>
                <w:lang w:val="en-US" w:eastAsia="zh-CN"/>
              </w:rPr>
              <w:t>智联网</w:t>
            </w:r>
            <w:r>
              <w:rPr>
                <w:rFonts w:hint="eastAsia" w:ascii="宋体" w:hAnsi="宋体" w:eastAsia="宋体" w:cs="宋体"/>
                <w:b/>
                <w:bCs/>
                <w:sz w:val="24"/>
                <w:szCs w:val="24"/>
                <w:highlight w:val="none"/>
              </w:rPr>
              <w:t>基础设施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加快</w:t>
            </w:r>
            <w:r>
              <w:rPr>
                <w:rFonts w:hint="eastAsia" w:ascii="宋体" w:hAnsi="宋体" w:eastAsia="宋体" w:cs="宋体"/>
                <w:b w:val="0"/>
                <w:bCs w:val="0"/>
                <w:sz w:val="24"/>
                <w:szCs w:val="24"/>
                <w:highlight w:val="none"/>
              </w:rPr>
              <w:t>北斗、专用</w:t>
            </w:r>
            <w:r>
              <w:rPr>
                <w:rFonts w:hint="eastAsia" w:ascii="Times New Roman" w:hAnsi="Times New Roman" w:eastAsia="宋体" w:cs="宋体"/>
                <w:b w:val="0"/>
                <w:bCs w:val="0"/>
                <w:sz w:val="24"/>
                <w:szCs w:val="24"/>
                <w:highlight w:val="none"/>
              </w:rPr>
              <w:t>4G</w:t>
            </w:r>
            <w:r>
              <w:rPr>
                <w:rFonts w:hint="eastAsia" w:ascii="宋体" w:hAnsi="宋体" w:eastAsia="宋体" w:cs="宋体"/>
                <w:b w:val="0"/>
                <w:bCs w:val="0"/>
                <w:sz w:val="24"/>
                <w:szCs w:val="24"/>
                <w:highlight w:val="none"/>
              </w:rPr>
              <w:t>/</w:t>
            </w:r>
            <w:r>
              <w:rPr>
                <w:rFonts w:hint="eastAsia" w:ascii="Times New Roman" w:hAnsi="Times New Roman" w:eastAsia="宋体" w:cs="宋体"/>
                <w:b w:val="0"/>
                <w:bCs w:val="0"/>
                <w:sz w:val="24"/>
                <w:szCs w:val="24"/>
                <w:highlight w:val="none"/>
              </w:rPr>
              <w:t>5G</w:t>
            </w:r>
            <w:r>
              <w:rPr>
                <w:rFonts w:hint="eastAsia" w:ascii="宋体" w:hAnsi="宋体" w:eastAsia="宋体" w:cs="宋体"/>
                <w:b w:val="0"/>
                <w:bCs w:val="0"/>
                <w:sz w:val="24"/>
                <w:szCs w:val="24"/>
                <w:highlight w:val="none"/>
              </w:rPr>
              <w:t>通信基站、</w:t>
            </w:r>
            <w:r>
              <w:rPr>
                <w:rFonts w:hint="eastAsia" w:ascii="Times New Roman" w:hAnsi="Times New Roman" w:eastAsia="宋体" w:cs="宋体"/>
                <w:b w:val="0"/>
                <w:bCs w:val="0"/>
                <w:sz w:val="24"/>
                <w:szCs w:val="24"/>
                <w:highlight w:val="none"/>
              </w:rPr>
              <w:t>ADS</w:t>
            </w:r>
            <w:r>
              <w:rPr>
                <w:rFonts w:hint="eastAsia" w:ascii="宋体" w:hAnsi="宋体" w:eastAsia="宋体" w:cs="宋体"/>
                <w:b w:val="0"/>
                <w:bCs w:val="0"/>
                <w:sz w:val="24"/>
                <w:szCs w:val="24"/>
                <w:highlight w:val="none"/>
              </w:rPr>
              <w:t>-</w:t>
            </w:r>
            <w:r>
              <w:rPr>
                <w:rFonts w:hint="eastAsia" w:ascii="Times New Roman" w:hAnsi="Times New Roman" w:eastAsia="宋体" w:cs="宋体"/>
                <w:b w:val="0"/>
                <w:bCs w:val="0"/>
                <w:sz w:val="24"/>
                <w:szCs w:val="24"/>
                <w:highlight w:val="none"/>
              </w:rPr>
              <w:t>B</w:t>
            </w:r>
            <w:r>
              <w:rPr>
                <w:rFonts w:hint="eastAsia" w:ascii="宋体" w:hAnsi="宋体" w:eastAsia="宋体" w:cs="宋体"/>
                <w:b w:val="0"/>
                <w:bCs w:val="0"/>
                <w:sz w:val="24"/>
                <w:szCs w:val="24"/>
                <w:highlight w:val="none"/>
              </w:rPr>
              <w:t>基站、雷达等通信、导航、监视相关低空智能网联信息基础设施建设，</w:t>
            </w:r>
            <w:r>
              <w:rPr>
                <w:rFonts w:hint="eastAsia" w:ascii="宋体" w:hAnsi="宋体" w:eastAsia="宋体" w:cs="宋体"/>
                <w:b w:val="0"/>
                <w:bCs w:val="0"/>
                <w:sz w:val="24"/>
                <w:szCs w:val="24"/>
                <w:highlight w:val="none"/>
                <w:lang w:val="en-US" w:eastAsia="zh-CN"/>
              </w:rPr>
              <w:t>持续优化明珠湾智慧城市综合管理平台，</w:t>
            </w:r>
            <w:r>
              <w:rPr>
                <w:rFonts w:hint="eastAsia" w:ascii="宋体" w:hAnsi="宋体" w:eastAsia="宋体" w:cs="宋体"/>
                <w:b w:val="0"/>
                <w:bCs w:val="0"/>
                <w:sz w:val="24"/>
                <w:szCs w:val="24"/>
                <w:highlight w:val="none"/>
              </w:rPr>
              <w:t>构建低空飞行数字化底座。</w:t>
            </w:r>
            <w:r>
              <w:rPr>
                <w:rFonts w:hint="eastAsia" w:ascii="宋体" w:hAnsi="宋体" w:eastAsia="宋体" w:cs="宋体"/>
                <w:i w:val="0"/>
                <w:iCs w:val="0"/>
                <w:caps w:val="0"/>
                <w:color w:val="auto"/>
                <w:spacing w:val="0"/>
                <w:sz w:val="24"/>
                <w:szCs w:val="24"/>
                <w:highlight w:val="none"/>
                <w:shd w:val="clear" w:color="auto" w:fill="auto"/>
                <w:lang w:val="en-US" w:eastAsia="zh-CN"/>
              </w:rPr>
              <w:t>依托广州市</w:t>
            </w:r>
            <w:r>
              <w:rPr>
                <w:rFonts w:hint="eastAsia" w:ascii="宋体" w:hAnsi="宋体" w:eastAsia="宋体" w:cs="宋体"/>
                <w:i w:val="0"/>
                <w:iCs w:val="0"/>
                <w:caps w:val="0"/>
                <w:color w:val="auto"/>
                <w:spacing w:val="0"/>
                <w:sz w:val="24"/>
                <w:szCs w:val="24"/>
                <w:highlight w:val="none"/>
                <w:shd w:val="clear" w:color="auto" w:fill="auto"/>
              </w:rPr>
              <w:t>无人体系管控调度平台，开展无人体系管控试点应用。</w:t>
            </w:r>
          </w:p>
          <w:p w14:paraId="447EE1E9">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智慧能源基础设施。</w:t>
            </w:r>
            <w:r>
              <w:rPr>
                <w:rFonts w:hint="eastAsia" w:ascii="宋体" w:hAnsi="宋体" w:eastAsia="宋体" w:cs="宋体"/>
                <w:sz w:val="24"/>
                <w:szCs w:val="24"/>
                <w:highlight w:val="none"/>
                <w:vertAlign w:val="baseline"/>
                <w:lang w:val="en-US" w:eastAsia="zh-CN"/>
              </w:rPr>
              <w:t>推动智慧电网、智慧燃气、智能充电桩等建设，加快部署泛在电力物联网、电网数字化平台、能源大数据中心等设施，打造以电为中心，跨域平衡、智能互动、清洁低碳、安全高效的区域能源体系。</w:t>
            </w:r>
          </w:p>
          <w:p w14:paraId="772D6C3B">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智慧海洋基础设施。</w:t>
            </w:r>
            <w:r>
              <w:rPr>
                <w:rFonts w:hint="eastAsia" w:ascii="宋体" w:hAnsi="宋体" w:eastAsia="宋体" w:cs="宋体"/>
                <w:sz w:val="24"/>
                <w:szCs w:val="24"/>
                <w:highlight w:val="none"/>
                <w:vertAlign w:val="baseline"/>
                <w:lang w:val="en-US" w:eastAsia="zh-CN"/>
              </w:rPr>
              <w:t>综合应用</w:t>
            </w:r>
            <w:r>
              <w:rPr>
                <w:rFonts w:hint="eastAsia" w:ascii="Times New Roman" w:hAnsi="Times New Roman" w:eastAsia="宋体" w:cs="宋体"/>
                <w:sz w:val="24"/>
                <w:szCs w:val="24"/>
                <w:highlight w:val="none"/>
                <w:vertAlign w:val="baseline"/>
                <w:lang w:val="en-US" w:eastAsia="zh-CN"/>
              </w:rPr>
              <w:t>5G</w:t>
            </w:r>
            <w:r>
              <w:rPr>
                <w:rFonts w:hint="eastAsia" w:ascii="宋体" w:hAnsi="宋体" w:eastAsia="宋体" w:cs="宋体"/>
                <w:sz w:val="24"/>
                <w:szCs w:val="24"/>
                <w:highlight w:val="none"/>
                <w:vertAlign w:val="baseline"/>
                <w:lang w:val="en-US" w:eastAsia="zh-CN"/>
              </w:rPr>
              <w:t>、高通量卫星、北斗卫星导航、水声通信、船舶无线通信等技术，统筹部署近海岸智慧海洋基础设施。</w:t>
            </w:r>
          </w:p>
        </w:tc>
      </w:tr>
    </w:tbl>
    <w:p w14:paraId="7B33F684">
      <w:pPr>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0"/>
        <w:rPr>
          <w:rFonts w:hint="default" w:ascii="Times New Roman" w:hAnsi="Times New Roman" w:eastAsia="黑体" w:cs="Times New Roman"/>
          <w:b w:val="0"/>
          <w:bCs/>
          <w:i w:val="0"/>
          <w:kern w:val="44"/>
          <w:sz w:val="32"/>
          <w:szCs w:val="48"/>
          <w:highlight w:val="none"/>
          <w:lang w:val="en-US" w:eastAsia="zh-CN" w:bidi="ar"/>
        </w:rPr>
      </w:pPr>
      <w:bookmarkStart w:id="335" w:name="_Toc878"/>
      <w:bookmarkStart w:id="336" w:name="_Toc9016"/>
      <w:bookmarkStart w:id="337" w:name="_Toc18926"/>
      <w:bookmarkStart w:id="338" w:name="_Toc6360"/>
      <w:r>
        <w:rPr>
          <w:rFonts w:hint="default" w:ascii="Times New Roman" w:hAnsi="Times New Roman" w:eastAsia="黑体" w:cs="Times New Roman"/>
          <w:b w:val="0"/>
          <w:bCs/>
          <w:i w:val="0"/>
          <w:kern w:val="44"/>
          <w:sz w:val="32"/>
          <w:szCs w:val="48"/>
          <w:highlight w:val="none"/>
          <w:lang w:val="en-US" w:eastAsia="zh-CN" w:bidi="ar"/>
        </w:rPr>
        <w:t>十一、构筑数字经济交流合作新生态</w:t>
      </w:r>
      <w:bookmarkEnd w:id="335"/>
      <w:bookmarkEnd w:id="336"/>
      <w:bookmarkEnd w:id="337"/>
      <w:bookmarkEnd w:id="338"/>
    </w:p>
    <w:p w14:paraId="26A85CB1">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bookmarkStart w:id="339" w:name="_Toc30422"/>
      <w:bookmarkStart w:id="340" w:name="_Toc24597"/>
      <w:bookmarkStart w:id="341" w:name="_Toc8121"/>
      <w:r>
        <w:rPr>
          <w:rFonts w:hint="default" w:ascii="Times New Roman" w:hAnsi="Times New Roman" w:eastAsia="仿宋_GB2312" w:cs="Times New Roman"/>
          <w:bCs w:val="0"/>
          <w:kern w:val="2"/>
          <w:sz w:val="32"/>
          <w:szCs w:val="22"/>
          <w:highlight w:val="none"/>
          <w:lang w:val="en-US" w:eastAsia="zh-CN" w:bidi="ar-SA"/>
        </w:rPr>
        <w:t>充分发挥南沙地处大湾区几何核心的区位优势以及中国企业</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走出去</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综合服务基地建设机遇，深化与黄埔、天河等市内领先地区，珠海横琴、深圳前海等重大平台的协同联动，支持与国际对接的数据标准、规制与制度体系建立。</w:t>
      </w:r>
    </w:p>
    <w:p w14:paraId="5D24FF2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42" w:name="_Toc12430"/>
      <w:r>
        <w:rPr>
          <w:rFonts w:hint="default" w:ascii="楷体_GB2312" w:hAnsi="楷体_GB2312" w:eastAsia="楷体_GB2312" w:cs="楷体_GB2312"/>
          <w:sz w:val="32"/>
          <w:highlight w:val="none"/>
          <w:lang w:val="en-US" w:eastAsia="zh-CN"/>
        </w:rPr>
        <w:t>（一）</w:t>
      </w:r>
      <w:r>
        <w:rPr>
          <w:rFonts w:hint="eastAsia" w:ascii="楷体_GB2312" w:hAnsi="楷体_GB2312" w:eastAsia="楷体_GB2312" w:cs="楷体_GB2312"/>
          <w:sz w:val="32"/>
          <w:highlight w:val="none"/>
          <w:lang w:val="en-US" w:eastAsia="zh-CN"/>
        </w:rPr>
        <w:t>加强</w:t>
      </w:r>
      <w:r>
        <w:rPr>
          <w:rFonts w:hint="default" w:ascii="楷体_GB2312" w:hAnsi="楷体_GB2312" w:eastAsia="楷体_GB2312" w:cs="楷体_GB2312"/>
          <w:sz w:val="32"/>
          <w:highlight w:val="none"/>
          <w:lang w:val="en-US" w:eastAsia="zh-CN"/>
        </w:rPr>
        <w:t>珠三角</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朋友圈</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互促共融</w:t>
      </w:r>
      <w:bookmarkEnd w:id="339"/>
      <w:bookmarkEnd w:id="340"/>
      <w:bookmarkEnd w:id="341"/>
      <w:bookmarkEnd w:id="342"/>
      <w:r>
        <w:rPr>
          <w:rFonts w:hint="eastAsia" w:ascii="楷体_GB2312" w:hAnsi="楷体_GB2312" w:eastAsia="楷体_GB2312" w:cs="楷体_GB2312"/>
          <w:sz w:val="32"/>
          <w:highlight w:val="none"/>
          <w:lang w:val="en-US" w:eastAsia="zh-CN"/>
        </w:rPr>
        <w:t xml:space="preserve"> </w:t>
      </w:r>
    </w:p>
    <w:p w14:paraId="5AB654B4">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r>
        <w:rPr>
          <w:rFonts w:hint="default" w:ascii="Times New Roman" w:hAnsi="Times New Roman" w:eastAsia="仿宋_GB2312" w:cs="Times New Roman"/>
          <w:bCs w:val="0"/>
          <w:kern w:val="2"/>
          <w:sz w:val="32"/>
          <w:szCs w:val="22"/>
          <w:highlight w:val="none"/>
          <w:lang w:val="en-US" w:eastAsia="zh-CN" w:bidi="ar-SA"/>
        </w:rPr>
        <w:t>按照全市加快构建</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一核引领、多点支撑</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新格局，促进数字经济</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一盘棋</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发展的要求，积极对接广州市人工智能与数字经济试验区等领先地区以及中山大学、华南理工大学等知名高校和科研院所，争取在南沙设立新型研发机构，吸引更多优质科研、人才、企业资源参与南沙数字经济发展。推动广州创新合作区</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一区三城</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科技创新合作机制在数字经济领域率先实施，加快建设创新平台和合作网络，联合开展数字技术前沿科学研究。支持南沙数字经济创新主体加快向其他区输出具有行业竞争力的数字技术、产品、解决方案，共享发展红利。</w:t>
      </w:r>
      <w:r>
        <w:rPr>
          <w:rFonts w:hint="eastAsia" w:ascii="Times New Roman" w:hAnsi="Times New Roman" w:eastAsia="仿宋_GB2312" w:cs="Times New Roman"/>
          <w:bCs w:val="0"/>
          <w:kern w:val="2"/>
          <w:sz w:val="32"/>
          <w:szCs w:val="22"/>
          <w:highlight w:val="none"/>
          <w:lang w:val="en-US" w:eastAsia="zh-CN" w:bidi="ar-SA"/>
        </w:rPr>
        <w:t>依托深中通道、南中高速等重大基础设施，</w:t>
      </w:r>
      <w:r>
        <w:rPr>
          <w:rFonts w:hint="default" w:ascii="Times New Roman" w:hAnsi="Times New Roman" w:eastAsia="仿宋_GB2312" w:cs="Times New Roman"/>
          <w:bCs w:val="0"/>
          <w:kern w:val="2"/>
          <w:sz w:val="32"/>
          <w:szCs w:val="22"/>
          <w:highlight w:val="none"/>
          <w:lang w:val="en-US" w:eastAsia="zh-CN" w:bidi="ar-SA"/>
        </w:rPr>
        <w:t>加强与深圳</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珠海</w:t>
      </w:r>
      <w:r>
        <w:rPr>
          <w:rFonts w:hint="eastAsia" w:ascii="Times New Roman" w:hAnsi="Times New Roman" w:eastAsia="仿宋_GB2312" w:cs="Times New Roman"/>
          <w:bCs w:val="0"/>
          <w:kern w:val="2"/>
          <w:sz w:val="32"/>
          <w:szCs w:val="22"/>
          <w:highlight w:val="none"/>
          <w:lang w:val="en-US" w:eastAsia="zh-CN" w:bidi="ar-SA"/>
        </w:rPr>
        <w:t>等</w:t>
      </w:r>
      <w:r>
        <w:rPr>
          <w:rFonts w:hint="default" w:ascii="Times New Roman" w:hAnsi="Times New Roman" w:eastAsia="仿宋_GB2312" w:cs="Times New Roman"/>
          <w:bCs w:val="0"/>
          <w:kern w:val="2"/>
          <w:sz w:val="32"/>
          <w:szCs w:val="22"/>
          <w:highlight w:val="none"/>
          <w:lang w:val="en-US" w:eastAsia="zh-CN" w:bidi="ar-SA"/>
        </w:rPr>
        <w:t>珠三角各城市间的产业联动协同发展</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合作探索反向飞地联合招商，推动集成电路、人工智能、跨境电商、数字金融、数据服务等数字经济领域的深度合作和优势互补</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重点推进粤港澳大湾区智能网联汽车产业联动，促进与前海、横琴等核心区域的出行服务互认</w:t>
      </w:r>
      <w:r>
        <w:rPr>
          <w:rFonts w:hint="eastAsia" w:ascii="Times New Roman" w:hAnsi="Times New Roman" w:eastAsia="仿宋_GB2312" w:cs="Times New Roman"/>
          <w:bCs w:val="0"/>
          <w:kern w:val="2"/>
          <w:sz w:val="32"/>
          <w:szCs w:val="22"/>
          <w:highlight w:val="none"/>
          <w:lang w:val="en-US" w:eastAsia="zh-CN" w:bidi="ar-SA"/>
        </w:rPr>
        <w:t>。</w:t>
      </w:r>
    </w:p>
    <w:p w14:paraId="68E1E91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43" w:name="_Toc8129"/>
      <w:bookmarkStart w:id="344" w:name="_Toc4069"/>
      <w:bookmarkStart w:id="345" w:name="_Toc27156"/>
      <w:r>
        <w:rPr>
          <w:rFonts w:hint="default" w:ascii="楷体_GB2312" w:hAnsi="楷体_GB2312" w:eastAsia="楷体_GB2312" w:cs="楷体_GB2312"/>
          <w:sz w:val="32"/>
          <w:highlight w:val="none"/>
          <w:lang w:val="en-US" w:eastAsia="zh-CN"/>
        </w:rPr>
        <w:t>（二）</w:t>
      </w:r>
      <w:bookmarkEnd w:id="343"/>
      <w:bookmarkEnd w:id="344"/>
      <w:r>
        <w:rPr>
          <w:rFonts w:hint="eastAsia" w:ascii="楷体_GB2312" w:hAnsi="楷体_GB2312" w:eastAsia="楷体_GB2312" w:cs="楷体_GB2312"/>
          <w:sz w:val="32"/>
          <w:highlight w:val="none"/>
          <w:lang w:val="en-US" w:eastAsia="zh-CN"/>
        </w:rPr>
        <w:t>促进</w:t>
      </w:r>
      <w:r>
        <w:rPr>
          <w:rFonts w:hint="default" w:ascii="楷体_GB2312" w:hAnsi="楷体_GB2312" w:eastAsia="楷体_GB2312" w:cs="楷体_GB2312"/>
          <w:sz w:val="32"/>
          <w:highlight w:val="none"/>
          <w:lang w:val="en-US" w:eastAsia="zh-CN"/>
        </w:rPr>
        <w:t>粤港澳三地联动协同</w:t>
      </w:r>
      <w:r>
        <w:rPr>
          <w:rFonts w:hint="eastAsia" w:ascii="楷体_GB2312" w:hAnsi="楷体_GB2312" w:eastAsia="楷体_GB2312" w:cs="楷体_GB2312"/>
          <w:sz w:val="32"/>
          <w:highlight w:val="none"/>
          <w:lang w:val="en-US" w:eastAsia="zh-CN"/>
        </w:rPr>
        <w:t>发展</w:t>
      </w:r>
      <w:bookmarkEnd w:id="345"/>
    </w:p>
    <w:p w14:paraId="4CF74768">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firstLine="640" w:firstLineChars="200"/>
        <w:jc w:val="left"/>
        <w:textAlignment w:val="auto"/>
        <w:outlineLvl w:val="9"/>
        <w:rPr>
          <w:rFonts w:hint="default" w:ascii="Times New Roman" w:hAnsi="Times New Roman" w:eastAsia="仿宋_GB2312" w:cs="Times New Roman"/>
          <w:bCs w:val="0"/>
          <w:kern w:val="2"/>
          <w:sz w:val="32"/>
          <w:szCs w:val="22"/>
          <w:highlight w:val="none"/>
          <w:lang w:val="en-US" w:eastAsia="zh-CN" w:bidi="ar-SA"/>
        </w:rPr>
      </w:pPr>
      <w:r>
        <w:rPr>
          <w:rFonts w:hint="default" w:ascii="Times New Roman" w:hAnsi="Times New Roman" w:eastAsia="仿宋_GB2312" w:cs="Times New Roman"/>
          <w:bCs w:val="0"/>
          <w:kern w:val="2"/>
          <w:sz w:val="32"/>
          <w:szCs w:val="22"/>
          <w:highlight w:val="none"/>
          <w:lang w:val="en-US" w:eastAsia="zh-CN" w:bidi="ar-SA"/>
        </w:rPr>
        <w:t>依托粤港合作咨询委员会、广州南沙粤澳发展促进会</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粤港澳数据合作咨询委员会等合作组织，主动对接港澳数字经济资源，办好粤港澳数据合作会议等活动，打造大湾区数字产业合作网络。加强与香港科技大学、澳门大学、澳门科技大学等港澳科研院所在人工智能、下一代互联网、数据治理等数字经济相关领域的联合技术攻关和融合应用，</w:t>
      </w:r>
      <w:r>
        <w:rPr>
          <w:rFonts w:hint="default" w:ascii="Times New Roman" w:hAnsi="Times New Roman" w:eastAsia="仿宋_GB2312" w:cs="Times New Roman"/>
          <w:sz w:val="32"/>
          <w:highlight w:val="none"/>
        </w:rPr>
        <w:t>鼓励</w:t>
      </w:r>
      <w:r>
        <w:rPr>
          <w:rFonts w:hint="default" w:ascii="Times New Roman" w:hAnsi="Times New Roman" w:eastAsia="仿宋_GB2312" w:cs="Times New Roman"/>
          <w:sz w:val="32"/>
          <w:highlight w:val="none"/>
          <w:lang w:val="en-US" w:eastAsia="zh-CN"/>
        </w:rPr>
        <w:t>骨干</w:t>
      </w:r>
      <w:r>
        <w:rPr>
          <w:rFonts w:hint="default" w:ascii="Times New Roman" w:hAnsi="Times New Roman" w:eastAsia="仿宋_GB2312" w:cs="Times New Roman"/>
          <w:sz w:val="32"/>
          <w:highlight w:val="none"/>
        </w:rPr>
        <w:t>企业与</w:t>
      </w:r>
      <w:r>
        <w:rPr>
          <w:rFonts w:hint="default" w:ascii="Times New Roman" w:hAnsi="Times New Roman" w:eastAsia="仿宋_GB2312" w:cs="Times New Roman"/>
          <w:sz w:val="32"/>
          <w:highlight w:val="none"/>
          <w:lang w:val="en-US" w:eastAsia="zh-CN"/>
        </w:rPr>
        <w:t>港澳</w:t>
      </w:r>
      <w:r>
        <w:rPr>
          <w:rFonts w:hint="default" w:ascii="Times New Roman" w:hAnsi="Times New Roman" w:eastAsia="仿宋_GB2312" w:cs="Times New Roman"/>
          <w:sz w:val="32"/>
          <w:highlight w:val="none"/>
        </w:rPr>
        <w:t>科研</w:t>
      </w:r>
      <w:r>
        <w:rPr>
          <w:rFonts w:hint="default" w:ascii="Times New Roman" w:hAnsi="Times New Roman" w:eastAsia="仿宋_GB2312" w:cs="Times New Roman"/>
          <w:sz w:val="32"/>
          <w:highlight w:val="none"/>
          <w:lang w:eastAsia="zh-CN"/>
        </w:rPr>
        <w:t>院所</w:t>
      </w:r>
      <w:r>
        <w:rPr>
          <w:rFonts w:hint="default" w:ascii="Times New Roman" w:hAnsi="Times New Roman" w:eastAsia="仿宋_GB2312" w:cs="Times New Roman"/>
          <w:sz w:val="32"/>
          <w:highlight w:val="none"/>
          <w:lang w:val="en-US" w:eastAsia="zh-CN"/>
        </w:rPr>
        <w:t>在区内</w:t>
      </w:r>
      <w:r>
        <w:rPr>
          <w:rFonts w:hint="default" w:ascii="Times New Roman" w:hAnsi="Times New Roman" w:eastAsia="仿宋_GB2312" w:cs="Times New Roman"/>
          <w:sz w:val="32"/>
          <w:highlight w:val="none"/>
        </w:rPr>
        <w:t>共建各类研发机构和联合实验室</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bCs w:val="0"/>
          <w:kern w:val="2"/>
          <w:sz w:val="32"/>
          <w:szCs w:val="22"/>
          <w:highlight w:val="none"/>
          <w:lang w:val="en-US" w:eastAsia="zh-CN" w:bidi="ar-SA"/>
        </w:rPr>
        <w:t>打造</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港澳成果+南沙转化+湾区应用</w:t>
      </w:r>
      <w:r>
        <w:rPr>
          <w:rFonts w:hint="eastAsia" w:ascii="Times New Roman" w:hAnsi="Times New Roman" w:eastAsia="仿宋_GB2312" w:cs="Times New Roman"/>
          <w:bCs w:val="0"/>
          <w:kern w:val="2"/>
          <w:sz w:val="32"/>
          <w:szCs w:val="22"/>
          <w:highlight w:val="none"/>
          <w:lang w:val="en-US" w:eastAsia="zh-CN" w:bidi="ar-SA"/>
        </w:rPr>
        <w:t>”</w:t>
      </w:r>
      <w:r>
        <w:rPr>
          <w:rFonts w:hint="default" w:ascii="Times New Roman" w:hAnsi="Times New Roman" w:eastAsia="仿宋_GB2312" w:cs="Times New Roman"/>
          <w:bCs w:val="0"/>
          <w:kern w:val="2"/>
          <w:sz w:val="32"/>
          <w:szCs w:val="22"/>
          <w:highlight w:val="none"/>
          <w:lang w:val="en-US" w:eastAsia="zh-CN" w:bidi="ar-SA"/>
        </w:rPr>
        <w:t>协同创新链。推动建设香港科学园南沙孵化基地、越秀iPark穗港产学研基地等载体平台，打造成为香港数字科技成果就地转化载体、港澳青年创新创业合作平台和离岸科技孵化基地。鼓励区内企业、科研院所积极参与湾区数字经济相关高峰论坛、供需对接、创新赛事等，助力粤港澳合作发展。</w:t>
      </w:r>
    </w:p>
    <w:p w14:paraId="0962472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46" w:name="_Toc2503"/>
      <w:bookmarkStart w:id="347" w:name="_Toc21917"/>
      <w:bookmarkStart w:id="348" w:name="_Toc661"/>
      <w:r>
        <w:rPr>
          <w:rFonts w:hint="default" w:ascii="楷体_GB2312" w:hAnsi="楷体_GB2312" w:eastAsia="楷体_GB2312" w:cs="楷体_GB2312"/>
          <w:sz w:val="32"/>
          <w:highlight w:val="none"/>
          <w:lang w:val="en-US" w:eastAsia="zh-CN"/>
        </w:rPr>
        <w:t>（三）深化</w:t>
      </w:r>
      <w:r>
        <w:rPr>
          <w:rFonts w:hint="eastAsia" w:ascii="楷体_GB2312" w:hAnsi="楷体_GB2312" w:eastAsia="楷体_GB2312" w:cs="楷体_GB2312"/>
          <w:sz w:val="32"/>
          <w:highlight w:val="none"/>
          <w:lang w:val="en-US" w:eastAsia="zh-CN"/>
        </w:rPr>
        <w:t>“</w:t>
      </w:r>
      <w:r>
        <w:rPr>
          <w:rFonts w:hint="default" w:ascii="楷体_GB2312" w:hAnsi="楷体_GB2312" w:eastAsia="楷体_GB2312" w:cs="楷体_GB2312"/>
          <w:sz w:val="32"/>
          <w:highlight w:val="none"/>
          <w:lang w:val="en-US" w:eastAsia="zh-CN"/>
        </w:rPr>
        <w:t>数字丝绸之路</w:t>
      </w:r>
      <w:r>
        <w:rPr>
          <w:rFonts w:hint="eastAsia" w:ascii="楷体_GB2312" w:hAnsi="楷体_GB2312" w:eastAsia="楷体_GB2312" w:cs="楷体_GB2312"/>
          <w:sz w:val="32"/>
          <w:highlight w:val="none"/>
          <w:lang w:val="en-US" w:eastAsia="zh-CN"/>
        </w:rPr>
        <w:t>”国际</w:t>
      </w:r>
      <w:r>
        <w:rPr>
          <w:rFonts w:hint="default" w:ascii="楷体_GB2312" w:hAnsi="楷体_GB2312" w:eastAsia="楷体_GB2312" w:cs="楷体_GB2312"/>
          <w:sz w:val="32"/>
          <w:highlight w:val="none"/>
          <w:lang w:val="en-US" w:eastAsia="zh-CN"/>
        </w:rPr>
        <w:t>合作</w:t>
      </w:r>
      <w:bookmarkEnd w:id="346"/>
      <w:bookmarkEnd w:id="347"/>
      <w:bookmarkEnd w:id="348"/>
    </w:p>
    <w:p w14:paraId="51BA12F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对标CPTPP、USMCA 等高标准自由贸易协定中数字经济开放条款，聚焦人工智能、自动驾驶、数字贸易等领域，支持粤港澳标准化与质量发展促进会等机构积极参与全球数字经济发展规则和标准体系构建。以RCEP全面生效为契机，依托中国企业</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走出去</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（综合）服务基地、大湾区航运联合交易中心等平台，加快打造大湾区</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买全球、卖全球</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跨境贸易通道。深化数字经济国际合作，</w:t>
      </w:r>
      <w:r>
        <w:rPr>
          <w:rFonts w:hint="default" w:ascii="Times New Roman" w:hAnsi="Times New Roman" w:eastAsia="仿宋_GB2312" w:cs="Times New Roman"/>
          <w:sz w:val="32"/>
          <w:highlight w:val="none"/>
        </w:rPr>
        <w:t>加大海外数字</w:t>
      </w:r>
      <w:r>
        <w:rPr>
          <w:rFonts w:hint="eastAsia" w:ascii="Times New Roman" w:hAnsi="Times New Roman" w:eastAsia="仿宋_GB2312" w:cs="Times New Roman"/>
          <w:sz w:val="32"/>
          <w:highlight w:val="none"/>
          <w:lang w:val="en-US" w:eastAsia="zh-CN"/>
        </w:rPr>
        <w:t>基建</w:t>
      </w:r>
      <w:r>
        <w:rPr>
          <w:rFonts w:hint="default" w:ascii="Times New Roman" w:hAnsi="Times New Roman" w:eastAsia="仿宋_GB2312" w:cs="Times New Roman"/>
          <w:sz w:val="32"/>
          <w:highlight w:val="none"/>
        </w:rPr>
        <w:t>布局</w:t>
      </w:r>
      <w:r>
        <w:rPr>
          <w:rFonts w:hint="default" w:ascii="Times New Roman" w:hAnsi="Times New Roman" w:eastAsia="仿宋_GB2312" w:cs="Times New Roman"/>
          <w:sz w:val="32"/>
          <w:highlight w:val="none"/>
          <w:lang w:val="en-US" w:eastAsia="zh-CN"/>
        </w:rPr>
        <w:t>，提升</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一带一路</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高速网络覆盖范围和数据互联互通水平，助力跨境电商和出海发展的国内企业降本增效。鼓励区内数字经济相关企业组团</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出海</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支持开展数字技术、产品、服务全球化协作，对外输出大数据、网络覆盖和数据库服务等一体化解决方案，促进数字产业国际产能合作。积极举办全球性数字经济领域重大活动和国际会议，打造数字经济高质量发展国际合作平台。</w:t>
      </w:r>
    </w:p>
    <w:p w14:paraId="5324A6DA">
      <w:pPr>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540" w:lineRule="exact"/>
        <w:ind w:firstLine="640" w:firstLineChars="200"/>
        <w:jc w:val="left"/>
        <w:textAlignment w:val="auto"/>
        <w:outlineLvl w:val="0"/>
        <w:rPr>
          <w:rFonts w:hint="default" w:ascii="Times New Roman" w:hAnsi="Times New Roman" w:eastAsia="黑体" w:cs="Times New Roman"/>
          <w:b w:val="0"/>
          <w:bCs/>
          <w:i w:val="0"/>
          <w:kern w:val="44"/>
          <w:sz w:val="32"/>
          <w:szCs w:val="48"/>
          <w:highlight w:val="none"/>
          <w:lang w:val="en-US" w:eastAsia="zh-CN" w:bidi="ar"/>
        </w:rPr>
      </w:pPr>
      <w:bookmarkStart w:id="349" w:name="_Toc4805"/>
      <w:bookmarkStart w:id="350" w:name="_Toc13630"/>
      <w:bookmarkStart w:id="351" w:name="_Toc21668"/>
      <w:bookmarkStart w:id="352" w:name="_Toc22872"/>
      <w:r>
        <w:rPr>
          <w:rFonts w:hint="default" w:ascii="Times New Roman" w:hAnsi="Times New Roman" w:eastAsia="黑体" w:cs="Times New Roman"/>
          <w:b w:val="0"/>
          <w:bCs/>
          <w:i w:val="0"/>
          <w:kern w:val="44"/>
          <w:sz w:val="32"/>
          <w:szCs w:val="48"/>
          <w:highlight w:val="none"/>
          <w:lang w:val="en-US" w:eastAsia="zh-CN" w:bidi="ar"/>
        </w:rPr>
        <w:t>十二、保障措施</w:t>
      </w:r>
      <w:bookmarkEnd w:id="349"/>
      <w:bookmarkEnd w:id="350"/>
      <w:bookmarkEnd w:id="351"/>
      <w:bookmarkEnd w:id="352"/>
    </w:p>
    <w:p w14:paraId="18ADE05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53" w:name="_Toc13529"/>
      <w:bookmarkStart w:id="354" w:name="_Toc20299"/>
      <w:bookmarkStart w:id="355" w:name="_Toc30853"/>
      <w:bookmarkStart w:id="356" w:name="_Toc2993"/>
      <w:bookmarkStart w:id="357" w:name="_Toc7180"/>
      <w:r>
        <w:rPr>
          <w:rFonts w:hint="default" w:ascii="楷体_GB2312" w:hAnsi="楷体_GB2312" w:eastAsia="楷体_GB2312" w:cs="楷体_GB2312"/>
          <w:sz w:val="32"/>
          <w:highlight w:val="none"/>
          <w:lang w:val="en-US" w:eastAsia="zh-CN"/>
        </w:rPr>
        <w:t>（一）强化统筹协调</w:t>
      </w:r>
      <w:bookmarkEnd w:id="353"/>
      <w:bookmarkEnd w:id="354"/>
      <w:bookmarkEnd w:id="355"/>
      <w:bookmarkEnd w:id="356"/>
      <w:bookmarkEnd w:id="357"/>
    </w:p>
    <w:p w14:paraId="671EBC3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建立健全区数字经济领导小组工作机制，加强各有关部门统筹协调，建立任务台账，</w:t>
      </w:r>
      <w:r>
        <w:rPr>
          <w:rFonts w:hint="default" w:ascii="Times New Roman" w:hAnsi="Times New Roman" w:eastAsia="仿宋_GB2312" w:cs="Times New Roman"/>
          <w:sz w:val="32"/>
          <w:highlight w:val="none"/>
        </w:rPr>
        <w:t>明确目标任务和工作进度，</w:t>
      </w:r>
      <w:r>
        <w:rPr>
          <w:rFonts w:hint="default" w:ascii="Times New Roman" w:hAnsi="Times New Roman" w:eastAsia="仿宋_GB2312" w:cs="Times New Roman"/>
          <w:sz w:val="32"/>
          <w:highlight w:val="none"/>
          <w:lang w:val="en-US" w:eastAsia="zh-CN"/>
        </w:rPr>
        <w:t>加强各项任务的组织落实和进度跟踪。各有关部门、街镇积极</w:t>
      </w:r>
      <w:r>
        <w:rPr>
          <w:rFonts w:hint="default" w:ascii="Times New Roman" w:hAnsi="Times New Roman" w:eastAsia="仿宋_GB2312" w:cs="Times New Roman"/>
          <w:sz w:val="32"/>
          <w:highlight w:val="none"/>
        </w:rPr>
        <w:t>推动本</w:t>
      </w:r>
      <w:r>
        <w:rPr>
          <w:rFonts w:hint="default" w:ascii="Times New Roman" w:hAnsi="Times New Roman" w:eastAsia="仿宋_GB2312" w:cs="Times New Roman"/>
          <w:sz w:val="32"/>
          <w:highlight w:val="none"/>
          <w:lang w:eastAsia="zh-CN"/>
        </w:rPr>
        <w:t>行业</w:t>
      </w:r>
      <w:r>
        <w:rPr>
          <w:rFonts w:hint="default" w:ascii="Times New Roman" w:hAnsi="Times New Roman" w:eastAsia="仿宋_GB2312" w:cs="Times New Roman"/>
          <w:sz w:val="32"/>
          <w:highlight w:val="none"/>
          <w:lang w:val="en-US" w:eastAsia="zh-CN"/>
        </w:rPr>
        <w:t>、辖区内</w:t>
      </w:r>
      <w:r>
        <w:rPr>
          <w:rFonts w:hint="default" w:ascii="Times New Roman" w:hAnsi="Times New Roman" w:eastAsia="仿宋_GB2312" w:cs="Times New Roman"/>
          <w:sz w:val="32"/>
          <w:highlight w:val="none"/>
        </w:rPr>
        <w:t>领域</w:t>
      </w:r>
      <w:r>
        <w:rPr>
          <w:rFonts w:hint="default" w:ascii="Times New Roman" w:hAnsi="Times New Roman" w:eastAsia="仿宋_GB2312" w:cs="Times New Roman"/>
          <w:sz w:val="32"/>
          <w:highlight w:val="none"/>
          <w:lang w:val="en-US" w:eastAsia="zh-CN"/>
        </w:rPr>
        <w:t>数字经济发展进程，持续完善本区域规划布局和空间载体建设，加强企业引育和产业项目招商引资。区各相关部门按照上级工作部署安排，探索开展数字经济运行监测和发展评估。</w:t>
      </w:r>
    </w:p>
    <w:p w14:paraId="173BF6F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58" w:name="_Toc19250"/>
      <w:bookmarkStart w:id="359" w:name="_Toc10931"/>
      <w:bookmarkStart w:id="360" w:name="_Toc3190"/>
      <w:bookmarkStart w:id="361" w:name="_Toc26402"/>
      <w:bookmarkStart w:id="362" w:name="_Toc21970"/>
      <w:r>
        <w:rPr>
          <w:rFonts w:hint="default" w:ascii="楷体_GB2312" w:hAnsi="楷体_GB2312" w:eastAsia="楷体_GB2312" w:cs="楷体_GB2312"/>
          <w:sz w:val="32"/>
          <w:highlight w:val="none"/>
          <w:lang w:val="en-US" w:eastAsia="zh-CN"/>
        </w:rPr>
        <w:t>（二）</w:t>
      </w:r>
      <w:bookmarkEnd w:id="358"/>
      <w:bookmarkEnd w:id="359"/>
      <w:bookmarkEnd w:id="360"/>
      <w:bookmarkEnd w:id="361"/>
      <w:r>
        <w:rPr>
          <w:rFonts w:hint="default" w:ascii="楷体_GB2312" w:hAnsi="楷体_GB2312" w:eastAsia="楷体_GB2312" w:cs="楷体_GB2312"/>
          <w:sz w:val="32"/>
          <w:highlight w:val="none"/>
          <w:lang w:val="en-US" w:eastAsia="zh-CN"/>
        </w:rPr>
        <w:t>完善</w:t>
      </w:r>
      <w:r>
        <w:rPr>
          <w:rFonts w:hint="eastAsia" w:ascii="楷体_GB2312" w:hAnsi="楷体_GB2312" w:eastAsia="楷体_GB2312" w:cs="楷体_GB2312"/>
          <w:sz w:val="32"/>
          <w:highlight w:val="none"/>
          <w:lang w:val="en-US" w:eastAsia="zh-CN"/>
        </w:rPr>
        <w:t>资金</w:t>
      </w:r>
      <w:r>
        <w:rPr>
          <w:rFonts w:hint="default" w:ascii="楷体_GB2312" w:hAnsi="楷体_GB2312" w:eastAsia="楷体_GB2312" w:cs="楷体_GB2312"/>
          <w:sz w:val="32"/>
          <w:highlight w:val="none"/>
          <w:lang w:val="en-US" w:eastAsia="zh-CN"/>
        </w:rPr>
        <w:t>配套</w:t>
      </w:r>
      <w:bookmarkEnd w:id="362"/>
    </w:p>
    <w:p w14:paraId="6E5F6B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发挥财政资金的引导作用，积极落实</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强芯九条</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软信11条</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等专项政策，争取项目获得中央预算内投资、地方政府专项债券、超长期特别国债等资金支持。优化科技创新、数字化转型、战略性新兴产业等资金使用方向，同等条件下优先支持数字经济重点领域重大项目。发挥产业基金引导作用，鼓励银行机构开发符合数字经济特点的金融产品，激发民间投资。</w:t>
      </w:r>
    </w:p>
    <w:p w14:paraId="5BE7035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63" w:name="_Toc25035"/>
      <w:r>
        <w:rPr>
          <w:rFonts w:hint="default" w:ascii="楷体_GB2312" w:hAnsi="楷体_GB2312" w:eastAsia="楷体_GB2312" w:cs="楷体_GB2312"/>
          <w:sz w:val="32"/>
          <w:highlight w:val="none"/>
          <w:lang w:val="en-US" w:eastAsia="zh-CN"/>
        </w:rPr>
        <w:t>（三）强化人才保障</w:t>
      </w:r>
      <w:bookmarkEnd w:id="363"/>
    </w:p>
    <w:p w14:paraId="778ABC2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rPr>
        <w:t>加强</w:t>
      </w:r>
      <w:r>
        <w:rPr>
          <w:rFonts w:hint="default" w:ascii="Times New Roman" w:hAnsi="Times New Roman" w:eastAsia="仿宋_GB2312" w:cs="Times New Roman"/>
          <w:sz w:val="32"/>
          <w:highlight w:val="none"/>
          <w:lang w:val="en-US" w:eastAsia="zh-CN"/>
        </w:rPr>
        <w:fldChar w:fldCharType="begin"/>
      </w:r>
      <w:r>
        <w:rPr>
          <w:rFonts w:hint="default" w:ascii="Times New Roman" w:hAnsi="Times New Roman" w:eastAsia="仿宋" w:cs="Times New Roman"/>
          <w:sz w:val="32"/>
          <w:highlight w:val="none"/>
          <w:lang w:val="en-US" w:eastAsia="zh-CN"/>
        </w:rPr>
        <w:instrText xml:space="preserve"> HYPERLINK "http://www.baidu.com/link?url=YTY0nSKewBgErjEgbTS_67apyVHX2zkOmhxJkfcMAD66mqNB6dUtMxIrDdVDDsHy" \t "https://www.baidu.com/_blank" </w:instrText>
      </w:r>
      <w:r>
        <w:rPr>
          <w:rFonts w:hint="default" w:ascii="Times New Roman" w:hAnsi="Times New Roman" w:eastAsia="仿宋_GB2312" w:cs="Times New Roman"/>
          <w:sz w:val="32"/>
          <w:highlight w:val="none"/>
          <w:lang w:val="en-US" w:eastAsia="zh-CN"/>
        </w:rPr>
        <w:fldChar w:fldCharType="separate"/>
      </w:r>
      <w:r>
        <w:rPr>
          <w:rFonts w:hint="default" w:ascii="Times New Roman" w:hAnsi="Times New Roman" w:eastAsia="仿宋_GB2312" w:cs="Times New Roman"/>
          <w:sz w:val="32"/>
          <w:highlight w:val="none"/>
          <w:lang w:val="en-US" w:eastAsia="zh-CN"/>
        </w:rPr>
        <w:t>香港科技大学（广州）</w:t>
      </w:r>
      <w:r>
        <w:rPr>
          <w:rFonts w:hint="default" w:ascii="Times New Roman" w:hAnsi="Times New Roman" w:eastAsia="仿宋_GB2312" w:cs="Times New Roman"/>
          <w:sz w:val="32"/>
          <w:highlight w:val="none"/>
          <w:lang w:val="en-US" w:eastAsia="zh-CN"/>
        </w:rPr>
        <w:fldChar w:fldCharType="end"/>
      </w:r>
      <w:r>
        <w:rPr>
          <w:rFonts w:hint="eastAsia" w:ascii="Times New Roman" w:hAnsi="Times New Roman" w:eastAsia="仿宋_GB2312" w:cs="Times New Roman"/>
          <w:sz w:val="32"/>
          <w:highlight w:val="none"/>
          <w:lang w:val="en-US" w:eastAsia="zh-CN"/>
        </w:rPr>
        <w:t>等</w:t>
      </w:r>
      <w:r>
        <w:rPr>
          <w:rFonts w:hint="default" w:ascii="Times New Roman" w:hAnsi="Times New Roman" w:eastAsia="仿宋_GB2312" w:cs="Times New Roman"/>
          <w:sz w:val="32"/>
          <w:highlight w:val="none"/>
        </w:rPr>
        <w:t>高等院校数字领域相关学科专业建设，加大</w:t>
      </w:r>
      <w:r>
        <w:rPr>
          <w:rFonts w:hint="default" w:ascii="Times New Roman" w:hAnsi="Times New Roman" w:eastAsia="仿宋_GB2312" w:cs="Times New Roman"/>
          <w:sz w:val="32"/>
          <w:highlight w:val="none"/>
          <w:lang w:val="en-US" w:eastAsia="zh-CN"/>
        </w:rPr>
        <w:t>数字经济高端人才、实用人才培育，汇集国际化人才。</w:t>
      </w:r>
      <w:r>
        <w:rPr>
          <w:rFonts w:hint="default" w:ascii="Times New Roman" w:hAnsi="Times New Roman" w:eastAsia="仿宋_GB2312" w:cs="Times New Roman"/>
          <w:sz w:val="32"/>
          <w:highlight w:val="none"/>
        </w:rPr>
        <w:t>充分发挥职业院校</w:t>
      </w:r>
      <w:r>
        <w:rPr>
          <w:rFonts w:hint="eastAsia" w:ascii="Times New Roman" w:hAnsi="Times New Roman" w:eastAsia="仿宋_GB2312" w:cs="Times New Roman"/>
          <w:sz w:val="32"/>
          <w:highlight w:val="none"/>
          <w:lang w:eastAsia="zh-CN"/>
        </w:rPr>
        <w:t>、</w:t>
      </w:r>
      <w:r>
        <w:rPr>
          <w:rFonts w:hint="eastAsia" w:ascii="Times New Roman" w:hAnsi="Times New Roman" w:eastAsia="仿宋_GB2312" w:cs="Times New Roman"/>
          <w:sz w:val="32"/>
        </w:rPr>
        <w:t>卓越工程师实践基地、产教融合实训基地</w:t>
      </w:r>
      <w:r>
        <w:rPr>
          <w:rFonts w:hint="default" w:ascii="Times New Roman" w:hAnsi="Times New Roman" w:eastAsia="仿宋_GB2312" w:cs="Times New Roman"/>
          <w:sz w:val="32"/>
          <w:highlight w:val="none"/>
        </w:rPr>
        <w:t>作用，支持高校、科研院所与企业联合培养复合型数字人才</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深化产学研融合。</w:t>
      </w:r>
      <w:r>
        <w:rPr>
          <w:rFonts w:hint="default" w:ascii="Times New Roman" w:hAnsi="Times New Roman" w:eastAsia="仿宋_GB2312" w:cs="Times New Roman"/>
          <w:sz w:val="32"/>
          <w:highlight w:val="none"/>
          <w:lang w:val="en-US" w:eastAsia="zh-CN"/>
        </w:rPr>
        <w:t>强化数字人才招引</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用好用足</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港澳青创新十条</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等政策，为人才提供落户、就医、租房和生活等优质服务。</w:t>
      </w:r>
    </w:p>
    <w:p w14:paraId="27961B9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64" w:name="_Toc5666"/>
      <w:r>
        <w:rPr>
          <w:rFonts w:hint="eastAsia" w:ascii="楷体_GB2312" w:hAnsi="楷体_GB2312" w:eastAsia="楷体_GB2312" w:cs="楷体_GB2312"/>
          <w:sz w:val="32"/>
          <w:highlight w:val="none"/>
          <w:lang w:val="en-US" w:eastAsia="zh-CN"/>
        </w:rPr>
        <w:t>（四）</w:t>
      </w:r>
      <w:r>
        <w:rPr>
          <w:rFonts w:hint="default" w:ascii="楷体_GB2312" w:hAnsi="楷体_GB2312" w:eastAsia="楷体_GB2312" w:cs="楷体_GB2312"/>
          <w:sz w:val="32"/>
          <w:highlight w:val="none"/>
          <w:lang w:val="en-US" w:eastAsia="zh-CN"/>
        </w:rPr>
        <w:t>实施试点示范</w:t>
      </w:r>
      <w:bookmarkEnd w:id="364"/>
    </w:p>
    <w:p w14:paraId="02FDB3F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i w:val="0"/>
          <w:iCs w:val="0"/>
          <w:caps w:val="0"/>
          <w:spacing w:val="0"/>
          <w:sz w:val="32"/>
          <w:szCs w:val="22"/>
          <w:highlight w:val="none"/>
          <w:shd w:val="clear" w:color="auto" w:fill="auto"/>
        </w:rPr>
      </w:pPr>
      <w:r>
        <w:rPr>
          <w:rFonts w:hint="default" w:ascii="Times New Roman" w:hAnsi="Times New Roman" w:eastAsia="仿宋_GB2312" w:cs="Times New Roman"/>
          <w:i w:val="0"/>
          <w:iCs w:val="0"/>
          <w:caps w:val="0"/>
          <w:color w:val="auto"/>
          <w:spacing w:val="0"/>
          <w:sz w:val="32"/>
          <w:szCs w:val="22"/>
          <w:highlight w:val="none"/>
          <w:shd w:val="clear" w:color="auto" w:fill="auto"/>
        </w:rPr>
        <w:t>推动数字经济</w:t>
      </w:r>
      <w:r>
        <w:rPr>
          <w:rFonts w:hint="default" w:ascii="Times New Roman" w:hAnsi="Times New Roman" w:eastAsia="仿宋_GB2312" w:cs="Times New Roman"/>
          <w:i w:val="0"/>
          <w:iCs w:val="0"/>
          <w:caps w:val="0"/>
          <w:spacing w:val="0"/>
          <w:sz w:val="32"/>
          <w:szCs w:val="22"/>
          <w:highlight w:val="none"/>
          <w:shd w:val="clear" w:color="auto" w:fill="auto"/>
          <w:lang w:val="en-US" w:eastAsia="zh-CN"/>
        </w:rPr>
        <w:t>优秀企业、项目及园区</w:t>
      </w:r>
      <w:r>
        <w:rPr>
          <w:rFonts w:hint="default" w:ascii="Times New Roman" w:hAnsi="Times New Roman" w:eastAsia="仿宋_GB2312" w:cs="Times New Roman"/>
          <w:i w:val="0"/>
          <w:iCs w:val="0"/>
          <w:caps w:val="0"/>
          <w:color w:val="auto"/>
          <w:spacing w:val="0"/>
          <w:sz w:val="32"/>
          <w:szCs w:val="22"/>
          <w:highlight w:val="none"/>
          <w:shd w:val="clear" w:color="auto" w:fill="auto"/>
        </w:rPr>
        <w:t>试点示范</w:t>
      </w:r>
      <w:r>
        <w:rPr>
          <w:rFonts w:hint="default" w:ascii="Times New Roman" w:hAnsi="Times New Roman" w:eastAsia="仿宋_GB2312" w:cs="Times New Roman"/>
          <w:i w:val="0"/>
          <w:iCs w:val="0"/>
          <w:caps w:val="0"/>
          <w:spacing w:val="0"/>
          <w:sz w:val="32"/>
          <w:szCs w:val="22"/>
          <w:highlight w:val="none"/>
          <w:shd w:val="clear" w:color="auto" w:fill="auto"/>
          <w:lang w:val="en-US" w:eastAsia="zh-CN"/>
        </w:rPr>
        <w:t>工作</w:t>
      </w:r>
      <w:r>
        <w:rPr>
          <w:rFonts w:hint="default" w:ascii="Times New Roman" w:hAnsi="Times New Roman" w:eastAsia="仿宋_GB2312" w:cs="Times New Roman"/>
          <w:i w:val="0"/>
          <w:iCs w:val="0"/>
          <w:caps w:val="0"/>
          <w:color w:val="auto"/>
          <w:spacing w:val="0"/>
          <w:sz w:val="32"/>
          <w:szCs w:val="22"/>
          <w:highlight w:val="none"/>
          <w:shd w:val="clear" w:color="auto" w:fill="auto"/>
        </w:rPr>
        <w:t>，完善创新资源高效配置机制，构建引领性数字经济产业集聚高地。鼓励各</w:t>
      </w:r>
      <w:r>
        <w:rPr>
          <w:rFonts w:hint="default" w:ascii="Times New Roman" w:hAnsi="Times New Roman" w:eastAsia="仿宋_GB2312" w:cs="Times New Roman"/>
          <w:i w:val="0"/>
          <w:iCs w:val="0"/>
          <w:caps w:val="0"/>
          <w:spacing w:val="0"/>
          <w:sz w:val="32"/>
          <w:szCs w:val="22"/>
          <w:highlight w:val="none"/>
          <w:shd w:val="clear" w:color="auto" w:fill="auto"/>
          <w:lang w:val="en-US" w:eastAsia="zh-CN"/>
        </w:rPr>
        <w:t>街道</w:t>
      </w:r>
      <w:r>
        <w:rPr>
          <w:rFonts w:hint="default" w:ascii="Times New Roman" w:hAnsi="Times New Roman" w:eastAsia="仿宋_GB2312" w:cs="Times New Roman"/>
          <w:i w:val="0"/>
          <w:iCs w:val="0"/>
          <w:caps w:val="0"/>
          <w:color w:val="auto"/>
          <w:spacing w:val="0"/>
          <w:sz w:val="32"/>
          <w:szCs w:val="22"/>
          <w:highlight w:val="none"/>
          <w:shd w:val="clear" w:color="auto" w:fill="auto"/>
        </w:rPr>
        <w:t>、各部门积极探索适应数字经济发展趋势的改革举措，采取有效方式和管用措施，形成一批可复制推广的经验做法和制度性成果。鼓励跨</w:t>
      </w:r>
      <w:r>
        <w:rPr>
          <w:rFonts w:hint="default" w:ascii="Times New Roman" w:hAnsi="Times New Roman" w:eastAsia="仿宋_GB2312" w:cs="Times New Roman"/>
          <w:i w:val="0"/>
          <w:iCs w:val="0"/>
          <w:caps w:val="0"/>
          <w:spacing w:val="0"/>
          <w:sz w:val="32"/>
          <w:szCs w:val="22"/>
          <w:highlight w:val="none"/>
          <w:shd w:val="clear" w:color="auto" w:fill="auto"/>
          <w:lang w:val="en-US" w:eastAsia="zh-CN"/>
        </w:rPr>
        <w:t>部门、跨领域、跨区域</w:t>
      </w:r>
      <w:r>
        <w:rPr>
          <w:rFonts w:hint="default" w:ascii="Times New Roman" w:hAnsi="Times New Roman" w:eastAsia="仿宋_GB2312" w:cs="Times New Roman"/>
          <w:i w:val="0"/>
          <w:iCs w:val="0"/>
          <w:caps w:val="0"/>
          <w:color w:val="auto"/>
          <w:spacing w:val="0"/>
          <w:sz w:val="32"/>
          <w:szCs w:val="22"/>
          <w:highlight w:val="none"/>
          <w:shd w:val="clear" w:color="auto" w:fill="auto"/>
        </w:rPr>
        <w:t>交流合作，适时总结推广各类示范区经验，加强标杆示范引领，形成以点带面的良好局面。</w:t>
      </w:r>
    </w:p>
    <w:p w14:paraId="1B16426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65" w:name="_Toc16774"/>
      <w:r>
        <w:rPr>
          <w:rFonts w:hint="eastAsia" w:ascii="楷体_GB2312" w:hAnsi="楷体_GB2312" w:eastAsia="楷体_GB2312" w:cs="楷体_GB2312"/>
          <w:sz w:val="32"/>
          <w:highlight w:val="none"/>
          <w:lang w:val="en-US" w:eastAsia="zh-CN"/>
        </w:rPr>
        <w:t>（五）</w:t>
      </w:r>
      <w:r>
        <w:rPr>
          <w:rFonts w:hint="default" w:ascii="楷体_GB2312" w:hAnsi="楷体_GB2312" w:eastAsia="楷体_GB2312" w:cs="楷体_GB2312"/>
          <w:sz w:val="32"/>
          <w:highlight w:val="none"/>
          <w:lang w:val="en-US" w:eastAsia="zh-CN"/>
        </w:rPr>
        <w:t>推进场景牵引</w:t>
      </w:r>
      <w:bookmarkEnd w:id="365"/>
    </w:p>
    <w:p w14:paraId="229EF867">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以数字化场景牵引做实数字经济，围绕企业、园区、产业等发布数字化转型</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需求清单</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通过揭榜挂帅、联合创新、优秀场景推介等方式，开放城市和产业数字化转型场景机会，促进场景供需双方对接合作，持续推进南沙数字技术应用场景建设。通过场景创新开放模式，精准招引具备数字化服务能力或综合解决方案供给的优质企业、科研院所、优质项目，实现以场景需求为牵引的靶向招商。</w:t>
      </w:r>
    </w:p>
    <w:p w14:paraId="3BC1A5B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楷体_GB2312" w:hAnsi="楷体_GB2312" w:eastAsia="楷体_GB2312" w:cs="楷体_GB2312"/>
          <w:sz w:val="32"/>
          <w:highlight w:val="none"/>
          <w:lang w:val="en-US" w:eastAsia="zh-CN"/>
        </w:rPr>
      </w:pPr>
      <w:bookmarkStart w:id="366" w:name="_Toc12946"/>
      <w:bookmarkStart w:id="367" w:name="_Toc18946"/>
      <w:bookmarkStart w:id="368" w:name="_Toc20880"/>
      <w:bookmarkStart w:id="369" w:name="_Toc17530"/>
      <w:bookmarkStart w:id="370" w:name="_Toc13639"/>
      <w:r>
        <w:rPr>
          <w:rFonts w:hint="default" w:ascii="楷体_GB2312" w:hAnsi="楷体_GB2312" w:eastAsia="楷体_GB2312" w:cs="楷体_GB2312"/>
          <w:sz w:val="32"/>
          <w:highlight w:val="none"/>
          <w:lang w:val="en-US" w:eastAsia="zh-CN"/>
        </w:rPr>
        <w:t>（</w:t>
      </w:r>
      <w:r>
        <w:rPr>
          <w:rFonts w:hint="eastAsia" w:ascii="楷体_GB2312" w:hAnsi="楷体_GB2312" w:eastAsia="楷体_GB2312" w:cs="楷体_GB2312"/>
          <w:sz w:val="32"/>
          <w:highlight w:val="none"/>
          <w:lang w:val="en-US" w:eastAsia="zh-CN"/>
        </w:rPr>
        <w:t>六</w:t>
      </w:r>
      <w:r>
        <w:rPr>
          <w:rFonts w:hint="default" w:ascii="楷体_GB2312" w:hAnsi="楷体_GB2312" w:eastAsia="楷体_GB2312" w:cs="楷体_GB2312"/>
          <w:sz w:val="32"/>
          <w:highlight w:val="none"/>
          <w:lang w:val="en-US" w:eastAsia="zh-CN"/>
        </w:rPr>
        <w:t>）优化发展环境</w:t>
      </w:r>
      <w:bookmarkEnd w:id="366"/>
      <w:bookmarkEnd w:id="367"/>
      <w:bookmarkEnd w:id="368"/>
      <w:bookmarkEnd w:id="369"/>
      <w:bookmarkEnd w:id="370"/>
    </w:p>
    <w:p w14:paraId="0D5B569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调动社会各界共同参与数字经济发展的积极性，加强对数字经济优秀经验与典型案例的宣传推广。深化</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放管服</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改革，简化现有涉及数字经济的行政审批事项，降低数字经济新业态企业设立门槛。提高全民网络文明素养，强化数字社会道德规范，引导全民遵守数字社会规则</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加强数字经济领域项目用地、用能、环境容量等要素资源优化配置和重点保障。</w:t>
      </w:r>
    </w:p>
    <w:p w14:paraId="0EC77485">
      <w:pPr>
        <w:pStyle w:val="3"/>
        <w:rPr>
          <w:rFonts w:hint="default"/>
          <w:lang w:val="en-US" w:eastAsia="zh-CN"/>
        </w:rPr>
        <w:sectPr>
          <w:headerReference r:id="rId4" w:type="default"/>
          <w:pgSz w:w="11906" w:h="16838"/>
          <w:pgMar w:top="2098" w:right="1474" w:bottom="1984" w:left="1587" w:header="851" w:footer="1247"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00E80678">
      <w:pPr>
        <w:pStyle w:val="16"/>
        <w:ind w:left="1120" w:hanging="1280" w:hangingChars="400"/>
        <w:jc w:val="left"/>
        <w:rPr>
          <w:rFonts w:hint="eastAsia" w:ascii="Times New Roman" w:hAnsi="Times New Roman" w:eastAsia="仿宋_GB2312" w:cs="仿宋_GB2312"/>
          <w:sz w:val="32"/>
          <w:szCs w:val="32"/>
          <w:lang w:val="en-US" w:eastAsia="zh-CN"/>
        </w:rPr>
      </w:pPr>
      <w:bookmarkStart w:id="371" w:name="_GoBack"/>
      <w:bookmarkEnd w:id="371"/>
    </w:p>
    <w:sectPr>
      <w:footerReference r:id="rId5" w:type="default"/>
      <w:pgSz w:w="11906" w:h="16838"/>
      <w:pgMar w:top="2098" w:right="1474" w:bottom="1984" w:left="1587" w:header="851" w:footer="1247" w:gutter="0"/>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EFBE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6854D2">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3QCNc7AgAAc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rijRTKHlp+/f&#10;Tj9+nX5+JfESErXWzxD5YBEburemw+AM9x6XkXlXORV/wYnAD4GPF4FFFwiPj6aT6TSHi8M3HICf&#10;PT63zod3wigSjYI6dDAJyw4bH/rQISRm02bdSJm6KDVpC3r9+k2eHlw8AJc6xoo0D2eYSKkvPVqh&#10;23ZnnltTHkHTmX5WvOXrBqVsmA/3zGE4UD7WJ9zhU0mDlOZsUVIb9+Vf9zEePYOXkhbDVlCN3aJE&#10;vtfoJQDDYLjB2A6G3qtbg+kdYy0tTyYeuCAHs3JGfcZOLWMOuJjmyFTQMJi3oR947CQXy2UK2lvX&#10;7Or+ASbRsrDRD5bHNFEqb5f7AGmT4lGgXhV0Kh4wi6ln572Jw/7nOUU9/l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LdAI1zsCAABzBAAADgAAAAAAAAABACAAAAAfAQAAZHJzL2Uyb0Rv&#10;Yy54bWxQSwUGAAAAAAYABgBZAQAAzAUAAAAA&#10;">
              <v:fill on="f" focussize="0,0"/>
              <v:stroke on="f" weight="0.5pt"/>
              <v:imagedata o:title=""/>
              <o:lock v:ext="edit" aspectratio="f"/>
              <v:textbox inset="0mm,0mm,0mm,0mm" style="mso-fit-shape-to-text:t;">
                <w:txbxContent>
                  <w:p w14:paraId="286854D2">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5DB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1E572">
    <w:pPr>
      <w:rPr>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MjAyNjAyYmMyMWQ2ZjA3YjZhMTdkZjU4MjM3NzYifQ=="/>
  </w:docVars>
  <w:rsids>
    <w:rsidRoot w:val="00000000"/>
    <w:rsid w:val="022D3F74"/>
    <w:rsid w:val="04971858"/>
    <w:rsid w:val="05C52BDD"/>
    <w:rsid w:val="07E92CC0"/>
    <w:rsid w:val="09DF4989"/>
    <w:rsid w:val="0A2729B6"/>
    <w:rsid w:val="0C8C7538"/>
    <w:rsid w:val="1471432C"/>
    <w:rsid w:val="151E5F7F"/>
    <w:rsid w:val="156F3948"/>
    <w:rsid w:val="170A50B0"/>
    <w:rsid w:val="18276177"/>
    <w:rsid w:val="187A3B4C"/>
    <w:rsid w:val="1A392659"/>
    <w:rsid w:val="1A5365D6"/>
    <w:rsid w:val="1C162155"/>
    <w:rsid w:val="1F0B5BFD"/>
    <w:rsid w:val="1FE12702"/>
    <w:rsid w:val="23526FC7"/>
    <w:rsid w:val="258A5F91"/>
    <w:rsid w:val="263557C9"/>
    <w:rsid w:val="276441C9"/>
    <w:rsid w:val="27EE00B2"/>
    <w:rsid w:val="27F0044B"/>
    <w:rsid w:val="283E2A52"/>
    <w:rsid w:val="28471A20"/>
    <w:rsid w:val="2AC61C8E"/>
    <w:rsid w:val="31477764"/>
    <w:rsid w:val="32E55957"/>
    <w:rsid w:val="33936C1E"/>
    <w:rsid w:val="360B7206"/>
    <w:rsid w:val="38112D1E"/>
    <w:rsid w:val="3995577D"/>
    <w:rsid w:val="3AB81C59"/>
    <w:rsid w:val="3B9451C0"/>
    <w:rsid w:val="3BA52E39"/>
    <w:rsid w:val="3CEB6F27"/>
    <w:rsid w:val="3D4F43CA"/>
    <w:rsid w:val="3D9E78DB"/>
    <w:rsid w:val="3E3B4F9F"/>
    <w:rsid w:val="40846A41"/>
    <w:rsid w:val="41614FF9"/>
    <w:rsid w:val="418E7FF6"/>
    <w:rsid w:val="41E54A74"/>
    <w:rsid w:val="46EF25BD"/>
    <w:rsid w:val="480942D2"/>
    <w:rsid w:val="4A662D0C"/>
    <w:rsid w:val="4BEE2165"/>
    <w:rsid w:val="4F392171"/>
    <w:rsid w:val="50865845"/>
    <w:rsid w:val="58A6570D"/>
    <w:rsid w:val="60817E82"/>
    <w:rsid w:val="62732617"/>
    <w:rsid w:val="644A1AD6"/>
    <w:rsid w:val="670107D9"/>
    <w:rsid w:val="6E59507F"/>
    <w:rsid w:val="6E5E1969"/>
    <w:rsid w:val="6F693E28"/>
    <w:rsid w:val="6FBFD2A4"/>
    <w:rsid w:val="72437348"/>
    <w:rsid w:val="72DC5C08"/>
    <w:rsid w:val="74C45045"/>
    <w:rsid w:val="75B02C4F"/>
    <w:rsid w:val="75D63F31"/>
    <w:rsid w:val="75F672EE"/>
    <w:rsid w:val="78820759"/>
    <w:rsid w:val="7BE226CE"/>
    <w:rsid w:val="7CB57BA8"/>
    <w:rsid w:val="7E202E3F"/>
    <w:rsid w:val="7F45553B"/>
    <w:rsid w:val="7FAB6901"/>
    <w:rsid w:val="7FF03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kern w:val="44"/>
      <w:sz w:val="44"/>
      <w:szCs w:val="22"/>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autoSpaceDN/>
      <w:spacing w:beforeLines="15" w:afterLines="15" w:line="360" w:lineRule="auto"/>
      <w:ind w:firstLine="480"/>
      <w:jc w:val="both"/>
      <w:textAlignment w:val="auto"/>
    </w:pPr>
    <w:rPr>
      <w:sz w:val="28"/>
    </w:rPr>
  </w:style>
  <w:style w:type="paragraph" w:styleId="5">
    <w:name w:val="caption"/>
    <w:next w:val="1"/>
    <w:qFormat/>
    <w:uiPriority w:val="35"/>
    <w:pPr>
      <w:widowControl w:val="0"/>
      <w:jc w:val="both"/>
    </w:pPr>
    <w:rPr>
      <w:rFonts w:ascii="等线 Light" w:hAnsi="等线 Light" w:eastAsia="等线 Light" w:cs="等线 Light"/>
      <w:color w:val="000000"/>
      <w:kern w:val="2"/>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1"/>
    <w:pPr>
      <w:autoSpaceDE/>
      <w:autoSpaceDN/>
      <w:jc w:val="both"/>
      <w:textAlignment w:val="auto"/>
    </w:pPr>
    <w:rPr>
      <w:rFonts w:ascii="Calibri" w:hAnsi="Calibri" w:cs="Calibri"/>
      <w:szCs w:val="32"/>
    </w:rPr>
  </w:style>
  <w:style w:type="paragraph" w:customStyle="1" w:styleId="8">
    <w:name w:val="toc 1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9">
    <w:name w:val="Body Text Indent"/>
    <w:basedOn w:val="1"/>
    <w:qFormat/>
    <w:uiPriority w:val="0"/>
    <w:pPr>
      <w:tabs>
        <w:tab w:val="left" w:pos="360"/>
      </w:tabs>
      <w:autoSpaceDE/>
      <w:autoSpaceDN/>
      <w:adjustRightInd w:val="0"/>
      <w:snapToGrid w:val="0"/>
      <w:spacing w:line="360" w:lineRule="auto"/>
      <w:ind w:firstLine="623"/>
      <w:jc w:val="both"/>
      <w:textAlignment w:val="auto"/>
    </w:pPr>
    <w:rPr>
      <w:rFonts w:ascii="等线" w:hAnsi="等线" w:cs="Times New Roman"/>
      <w:sz w:val="28"/>
    </w:rPr>
  </w:style>
  <w:style w:type="paragraph" w:styleId="10">
    <w:name w:val="toc 5"/>
    <w:basedOn w:val="1"/>
    <w:next w:val="1"/>
    <w:unhideWhenUsed/>
    <w:qFormat/>
    <w:uiPriority w:val="39"/>
    <w:pPr>
      <w:autoSpaceDE/>
      <w:autoSpaceDN/>
      <w:spacing w:line="240" w:lineRule="auto"/>
      <w:ind w:left="840" w:firstLine="0" w:firstLineChars="0"/>
      <w:textAlignment w:val="auto"/>
    </w:pPr>
    <w:rPr>
      <w:rFonts w:cs="等线"/>
      <w:sz w:val="18"/>
      <w:szCs w:val="18"/>
    </w:rPr>
  </w:style>
  <w:style w:type="paragraph" w:styleId="11">
    <w:name w:val="footer"/>
    <w:basedOn w:val="1"/>
    <w:unhideWhenUsed/>
    <w:qFormat/>
    <w:uiPriority w:val="99"/>
    <w:pPr>
      <w:tabs>
        <w:tab w:val="center" w:pos="4153"/>
        <w:tab w:val="right" w:pos="8306"/>
      </w:tabs>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2"/>
    <w:basedOn w:val="1"/>
    <w:next w:val="1"/>
    <w:qFormat/>
    <w:uiPriority w:val="0"/>
    <w:pPr>
      <w:ind w:left="0" w:leftChars="0" w:firstLine="400" w:firstLineChars="100"/>
    </w:pPr>
    <w:rPr>
      <w:rFonts w:ascii="Times New Roman" w:hAnsi="Times New Roman" w:eastAsia="楷体_GB2312"/>
      <w:sz w:val="28"/>
    </w:rPr>
  </w:style>
  <w:style w:type="paragraph" w:styleId="14">
    <w:name w:val="Body Text 2"/>
    <w:basedOn w:val="1"/>
    <w:unhideWhenUsed/>
    <w:qFormat/>
    <w:uiPriority w:val="99"/>
    <w:pPr>
      <w:widowControl w:val="0"/>
      <w:spacing w:after="120" w:line="480" w:lineRule="auto"/>
      <w:jc w:val="both"/>
    </w:pPr>
    <w:rPr>
      <w:rFonts w:ascii="Calibri" w:hAnsi="Calibri" w:eastAsia="宋体" w:cs="Times New Roman"/>
      <w:kern w:val="2"/>
      <w:sz w:val="21"/>
      <w:szCs w:val="24"/>
      <w:lang w:val="en-US" w:eastAsia="zh-CN" w:bidi="ar-SA"/>
    </w:rPr>
  </w:style>
  <w:style w:type="paragraph" w:styleId="15">
    <w:name w:val="Body Text First Indent"/>
    <w:basedOn w:val="7"/>
    <w:next w:val="16"/>
    <w:qFormat/>
    <w:uiPriority w:val="99"/>
    <w:pPr>
      <w:ind w:firstLine="420" w:firstLineChars="100"/>
    </w:pPr>
    <w:rPr>
      <w:rFonts w:cs="Times New Roman"/>
    </w:rPr>
  </w:style>
  <w:style w:type="paragraph" w:styleId="16">
    <w:name w:val="Body Text First Indent 2"/>
    <w:basedOn w:val="9"/>
    <w:next w:val="15"/>
    <w:unhideWhenUsed/>
    <w:qFormat/>
    <w:uiPriority w:val="99"/>
    <w:pPr>
      <w:widowControl w:val="0"/>
      <w:ind w:firstLine="420" w:firstLineChars="200"/>
      <w:jc w:val="both"/>
    </w:pPr>
    <w:rPr>
      <w:rFonts w:ascii="等线" w:hAnsi="等线" w:eastAsia="黑体"/>
      <w:kern w:val="2"/>
      <w:sz w:val="21"/>
      <w:szCs w:val="24"/>
      <w:lang w:val="en-US" w:eastAsia="zh-CN" w:bidi="ar-SA"/>
    </w:rPr>
  </w:style>
  <w:style w:type="table" w:styleId="1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Text"/>
    <w:basedOn w:val="1"/>
    <w:qFormat/>
    <w:uiPriority w:val="0"/>
    <w:rPr>
      <w:rFonts w:ascii="Times New Roman" w:hAnsi="Times New Roman" w:eastAsia="宋体" w:cs="Times New Roman"/>
    </w:rPr>
  </w:style>
  <w:style w:type="paragraph" w:customStyle="1" w:styleId="2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公文正文"/>
    <w:basedOn w:val="1"/>
    <w:qFormat/>
    <w:uiPriority w:val="0"/>
    <w:pPr>
      <w:spacing w:line="560" w:lineRule="exact"/>
      <w:ind w:firstLine="640" w:firstLineChars="200"/>
    </w:pPr>
    <w:rPr>
      <w:rFonts w:ascii="仿宋_GB2312" w:hAnsi="仿宋_GB2312" w:eastAsia="仿宋_GB2312"/>
      <w:sz w:val="32"/>
      <w:szCs w:val="32"/>
    </w:rPr>
  </w:style>
  <w:style w:type="paragraph" w:customStyle="1" w:styleId="23">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4">
    <w:name w:val="Normal Indent1"/>
    <w:basedOn w:val="1"/>
    <w:qFormat/>
    <w:uiPriority w:val="0"/>
    <w:pPr>
      <w:spacing w:line="480" w:lineRule="auto"/>
      <w:ind w:firstLine="200" w:firstLineChars="200"/>
    </w:pPr>
    <w:rPr>
      <w:rFonts w:ascii="仿宋_GB2312" w:eastAsia="宋体"/>
      <w:spacing w:val="0"/>
    </w:rPr>
  </w:style>
  <w:style w:type="paragraph" w:customStyle="1" w:styleId="25">
    <w:name w:val="图表名"/>
    <w:basedOn w:val="1"/>
    <w:next w:val="1"/>
    <w:qFormat/>
    <w:uiPriority w:val="0"/>
    <w:pPr>
      <w:adjustRightInd w:val="0"/>
      <w:spacing w:line="360" w:lineRule="auto"/>
      <w:outlineLvl w:val="5"/>
    </w:pPr>
    <w:rPr>
      <w:rFonts w:ascii="Times New Roman" w:hAnsi="Times New Roman" w:eastAsia="仿宋"/>
      <w:b/>
      <w:sz w:val="28"/>
    </w:rPr>
  </w:style>
  <w:style w:type="paragraph" w:customStyle="1" w:styleId="26">
    <w:name w:val="正文空2字"/>
    <w:basedOn w:val="14"/>
    <w:qFormat/>
    <w:uiPriority w:val="0"/>
    <w:pPr>
      <w:widowControl w:val="0"/>
      <w:snapToGrid w:val="0"/>
      <w:spacing w:after="0" w:line="560" w:lineRule="exact"/>
      <w:ind w:firstLine="640" w:firstLineChars="200"/>
      <w:jc w:val="both"/>
    </w:pPr>
    <w:rPr>
      <w:rFonts w:ascii="Calibri" w:hAnsi="Times New Roman" w:eastAsia="宋体" w:cs="Times New Roman"/>
      <w:kern w:val="2"/>
      <w:sz w:val="21"/>
      <w:szCs w:val="32"/>
      <w:lang w:val="en-US" w:eastAsia="zh-CN" w:bidi="ar-SA"/>
    </w:rPr>
  </w:style>
  <w:style w:type="paragraph" w:customStyle="1" w:styleId="27">
    <w:name w:val="表格文字"/>
    <w:basedOn w:val="1"/>
    <w:qFormat/>
    <w:uiPriority w:val="0"/>
    <w:pPr>
      <w:adjustRightInd w:val="0"/>
    </w:pPr>
    <w:rPr>
      <w:rFonts w:ascii="Times New Roman" w:hAnsi="Times New Roman" w:eastAsia="仿宋"/>
      <w:sz w:val="24"/>
    </w:rPr>
  </w:style>
  <w:style w:type="paragraph" w:customStyle="1" w:styleId="28">
    <w:name w:val="列出段落1"/>
    <w:basedOn w:val="1"/>
    <w:qFormat/>
    <w:uiPriority w:val="34"/>
    <w:pPr>
      <w:ind w:firstLine="420" w:firstLineChars="200"/>
    </w:pPr>
  </w:style>
  <w:style w:type="paragraph" w:styleId="29">
    <w:name w:val="List Paragraph"/>
    <w:qFormat/>
    <w:uiPriority w:val="34"/>
    <w:pPr>
      <w:widowControl w:val="0"/>
      <w:ind w:firstLine="420"/>
      <w:jc w:val="both"/>
    </w:pPr>
    <w:rPr>
      <w:rFonts w:ascii="Calibri" w:hAnsi="Calibri" w:eastAsia="宋体" w:cs="Times New Roman"/>
      <w:color w:val="000000"/>
      <w:kern w:val="2"/>
      <w:sz w:val="21"/>
      <w:szCs w:val="24"/>
      <w:lang w:val="en-US" w:eastAsia="zh-CN" w:bidi="ar-SA"/>
    </w:rPr>
  </w:style>
  <w:style w:type="paragraph" w:customStyle="1" w:styleId="30">
    <w:name w:val="正文 New New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31">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
    <w:name w:val="正文文本 New"/>
    <w:basedOn w:val="33"/>
    <w:qFormat/>
    <w:uiPriority w:val="0"/>
    <w:pPr>
      <w:spacing w:line="520" w:lineRule="atLeast"/>
      <w:jc w:val="center"/>
    </w:pPr>
    <w:rPr>
      <w:rFonts w:eastAsia="方正小标宋简体"/>
      <w:sz w:val="44"/>
    </w:rPr>
  </w:style>
  <w:style w:type="paragraph" w:customStyle="1" w:styleId="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11029</Words>
  <Characters>11323</Characters>
  <Lines>0</Lines>
  <Paragraphs>0</Paragraphs>
  <TotalTime>109</TotalTime>
  <ScaleCrop>false</ScaleCrop>
  <LinksUpToDate>false</LinksUpToDate>
  <CharactersWithSpaces>11434</CharactersWithSpaces>
  <Application>WPS Office_12.8.2.19550_F1E327BC-269C-435d-A152-05C5408002CA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2023-09-13T14:36:00Z</dcterms:created>
  <dc:creator>Administrator</dc:creator>
  <cp:lastModifiedBy>user</cp:lastModifiedBy>
  <cp:lastPrinted>2025-02-07T09:05:00Z</cp:lastPrinted>
  <dcterms:modified xsi:type="dcterms:W3CDTF">2025-02-07T11:09:39Z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2052-12.8.2.19550</vt:lpwstr>
  </property>
  <property fmtid="{D5CDD505-2E9C-101B-9397-08002B2CF9AE}" pid="3" name="ICV">
    <vt:lpwstr>21CF9B5BCCA2439ABBE5E1283DC54B88_13</vt:lpwstr>
  </property>
  <property fmtid="{D5CDD505-2E9C-101B-9397-08002B2CF9AE}" pid="4" name="KSOTemplateDocerSaveRecord">
    <vt:lpwstr>eyJoZGlkIjoiYzdlNWFlNzJlZTU2MTJhOTQ3MDEzMjg1YjYzNjFkZDIiLCJ1c2VySWQiOiIyODk2MDEzMjUifQ==</vt:lpwstr>
  </property>
</Properties>
</file>