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DD6003">
      <w:pPr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广东省人力资源管理服务信息系统</w:t>
      </w:r>
    </w:p>
    <w:p w14:paraId="187C15B8">
      <w:pPr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年度报告操作手册</w:t>
      </w:r>
    </w:p>
    <w:p w14:paraId="733FF3C2"/>
    <w:p w14:paraId="0D0A4E08">
      <w:pPr>
        <w:widowControl/>
        <w:jc w:val="center"/>
      </w:pPr>
      <w:r>
        <w:rPr>
          <w:rFonts w:ascii="黑体" w:hAnsi="宋体" w:eastAsia="黑体" w:cs="黑体"/>
          <w:color w:val="000000"/>
          <w:kern w:val="0"/>
          <w:sz w:val="36"/>
          <w:szCs w:val="36"/>
          <w:lang w:bidi="ar"/>
        </w:rPr>
        <w:t>（人力资源服务机构用户）</w:t>
      </w:r>
    </w:p>
    <w:p w14:paraId="72BC0328"/>
    <w:p w14:paraId="21F18ABA"/>
    <w:p w14:paraId="783DC46B"/>
    <w:p w14:paraId="3C121084"/>
    <w:p w14:paraId="76A2A1CA"/>
    <w:p w14:paraId="3BC8BBEA"/>
    <w:p w14:paraId="024DEC52"/>
    <w:p w14:paraId="0DA581E0"/>
    <w:p w14:paraId="4D4FDA60"/>
    <w:p w14:paraId="3D88CEA1"/>
    <w:p w14:paraId="0663E678"/>
    <w:p w14:paraId="175CC97D"/>
    <w:p w14:paraId="2C7924FB"/>
    <w:p w14:paraId="23362D6A"/>
    <w:p w14:paraId="4B36E1B7"/>
    <w:p w14:paraId="59E1A82C"/>
    <w:p w14:paraId="7DF88C27"/>
    <w:p w14:paraId="362E82A3"/>
    <w:p w14:paraId="39D43287"/>
    <w:p w14:paraId="10E8A84C"/>
    <w:p w14:paraId="57833063"/>
    <w:p w14:paraId="1687527A"/>
    <w:p w14:paraId="413D8D60"/>
    <w:p w14:paraId="30942F82"/>
    <w:p w14:paraId="00C618FB"/>
    <w:p w14:paraId="49D7AB30"/>
    <w:p w14:paraId="329E6D9A"/>
    <w:p w14:paraId="0B4F7995"/>
    <w:p w14:paraId="47D57E4A"/>
    <w:p w14:paraId="5410C6EC"/>
    <w:p w14:paraId="4D08105D"/>
    <w:p w14:paraId="1428BD73"/>
    <w:p w14:paraId="211E6D19">
      <w:pPr>
        <w:widowControl/>
        <w:jc w:val="center"/>
        <w:rPr>
          <w:rFonts w:ascii="楷体_GB2312" w:hAnsi="楷体_GB2312" w:eastAsia="楷体_GB2312" w:cs="楷体_GB2312"/>
          <w:color w:val="000000"/>
          <w:kern w:val="0"/>
          <w:sz w:val="31"/>
          <w:szCs w:val="31"/>
          <w:lang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宋体" w:cs="Times New Roman"/>
          <w:color w:val="000000"/>
          <w:kern w:val="0"/>
          <w:sz w:val="31"/>
          <w:szCs w:val="31"/>
          <w:lang w:bidi="ar"/>
        </w:rPr>
        <w:t>202</w:t>
      </w:r>
      <w:r>
        <w:rPr>
          <w:rFonts w:hint="eastAsia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4</w:t>
      </w:r>
      <w:bookmarkStart w:id="28" w:name="_GoBack"/>
      <w:bookmarkEnd w:id="28"/>
      <w:r>
        <w:rPr>
          <w:rFonts w:ascii="Times New Roman" w:hAnsi="Times New Roman" w:eastAsia="宋体" w:cs="Times New Roman"/>
          <w:color w:val="000000"/>
          <w:kern w:val="0"/>
          <w:sz w:val="31"/>
          <w:szCs w:val="31"/>
          <w:lang w:bidi="ar"/>
        </w:rPr>
        <w:t xml:space="preserve"> </w:t>
      </w:r>
      <w:r>
        <w:rPr>
          <w:rFonts w:ascii="楷体_GB2312" w:hAnsi="楷体_GB2312" w:eastAsia="楷体_GB2312" w:cs="楷体_GB2312"/>
          <w:color w:val="000000"/>
          <w:kern w:val="0"/>
          <w:sz w:val="31"/>
          <w:szCs w:val="31"/>
          <w:lang w:bidi="ar"/>
        </w:rPr>
        <w:t xml:space="preserve">年 </w:t>
      </w:r>
      <w:r>
        <w:rPr>
          <w:rFonts w:ascii="Times New Roman" w:hAnsi="Times New Roman" w:eastAsia="宋体" w:cs="Times New Roman"/>
          <w:color w:val="000000"/>
          <w:kern w:val="0"/>
          <w:sz w:val="31"/>
          <w:szCs w:val="31"/>
          <w:lang w:bidi="ar"/>
        </w:rPr>
        <w:t xml:space="preserve">12 </w:t>
      </w:r>
      <w:r>
        <w:rPr>
          <w:rFonts w:ascii="楷体_GB2312" w:hAnsi="楷体_GB2312" w:eastAsia="楷体_GB2312" w:cs="楷体_GB2312"/>
          <w:color w:val="000000"/>
          <w:kern w:val="0"/>
          <w:sz w:val="31"/>
          <w:szCs w:val="31"/>
          <w:lang w:bidi="ar"/>
        </w:rPr>
        <w:t>月</w:t>
      </w:r>
    </w:p>
    <w:sdt>
      <w:sdtPr>
        <w:rPr>
          <w:rFonts w:ascii="宋体" w:hAnsi="宋体" w:eastAsia="宋体"/>
        </w:rPr>
        <w:id w:val="147471946"/>
        <w15:color w:val="DBDBDB"/>
        <w:docPartObj>
          <w:docPartGallery w:val="Table of Contents"/>
          <w:docPartUnique/>
        </w:docPartObj>
      </w:sdtPr>
      <w:sdtEndPr>
        <w:rPr>
          <w:rFonts w:hint="eastAsia" w:ascii="楷体_GB2312" w:hAnsi="楷体_GB2312" w:eastAsia="楷体_GB2312" w:cs="楷体_GB2312"/>
          <w:color w:val="000000"/>
          <w:kern w:val="0"/>
          <w:szCs w:val="31"/>
          <w:lang w:bidi="ar"/>
        </w:rPr>
      </w:sdtEndPr>
      <w:sdtContent>
        <w:p w14:paraId="02005BAB"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 w14:paraId="56C2E6C4">
          <w:pPr>
            <w:pStyle w:val="8"/>
            <w:tabs>
              <w:tab w:val="right" w:leader="dot" w:pos="8306"/>
            </w:tabs>
          </w:pPr>
          <w:r>
            <w:rPr>
              <w:rFonts w:hint="eastAsia" w:ascii="楷体_GB2312" w:hAnsi="楷体_GB2312" w:eastAsia="楷体_GB2312" w:cs="楷体_GB2312"/>
              <w:color w:val="000000"/>
              <w:kern w:val="0"/>
              <w:sz w:val="31"/>
              <w:szCs w:val="31"/>
              <w:lang w:bidi="ar"/>
            </w:rPr>
            <w:fldChar w:fldCharType="begin"/>
          </w:r>
          <w:r>
            <w:rPr>
              <w:rFonts w:hint="eastAsia" w:ascii="楷体_GB2312" w:hAnsi="楷体_GB2312" w:eastAsia="楷体_GB2312" w:cs="楷体_GB2312"/>
              <w:color w:val="000000"/>
              <w:kern w:val="0"/>
              <w:sz w:val="31"/>
              <w:szCs w:val="31"/>
              <w:lang w:bidi="ar"/>
            </w:rPr>
            <w:instrText xml:space="preserve">TOC \o "1-3" \h \u </w:instrText>
          </w:r>
          <w:r>
            <w:rPr>
              <w:rFonts w:hint="eastAsia" w:ascii="楷体_GB2312" w:hAnsi="楷体_GB2312" w:eastAsia="楷体_GB2312" w:cs="楷体_GB2312"/>
              <w:color w:val="000000"/>
              <w:kern w:val="0"/>
              <w:sz w:val="31"/>
              <w:szCs w:val="31"/>
              <w:lang w:bidi="ar"/>
            </w:rPr>
            <w:fldChar w:fldCharType="separate"/>
          </w: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begin"/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instrText xml:space="preserve"> HYPERLINK \l _Toc23598 </w:instrText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fldChar w:fldCharType="separate"/>
          </w:r>
          <w:r>
            <w:rPr>
              <w:rFonts w:hint="eastAsia"/>
            </w:rPr>
            <w:t>一、 简介</w:t>
          </w:r>
          <w:r>
            <w:tab/>
          </w:r>
          <w:r>
            <w:fldChar w:fldCharType="begin"/>
          </w:r>
          <w:r>
            <w:instrText xml:space="preserve"> PAGEREF _Toc23598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end"/>
          </w:r>
        </w:p>
        <w:p w14:paraId="0590DB52">
          <w:pPr>
            <w:pStyle w:val="9"/>
            <w:tabs>
              <w:tab w:val="right" w:leader="dot" w:pos="8306"/>
            </w:tabs>
          </w:pP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begin"/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instrText xml:space="preserve"> HYPERLINK \l _Toc12426 </w:instrText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fldChar w:fldCharType="separate"/>
          </w:r>
          <w:r>
            <w:rPr>
              <w:rFonts w:hint="eastAsia"/>
            </w:rPr>
            <w:t>（一） 功能介绍</w:t>
          </w:r>
          <w:r>
            <w:tab/>
          </w:r>
          <w:r>
            <w:fldChar w:fldCharType="begin"/>
          </w:r>
          <w:r>
            <w:instrText xml:space="preserve"> PAGEREF _Toc12426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end"/>
          </w:r>
        </w:p>
        <w:p w14:paraId="31AD21FD">
          <w:pPr>
            <w:pStyle w:val="9"/>
            <w:tabs>
              <w:tab w:val="right" w:leader="dot" w:pos="8306"/>
            </w:tabs>
          </w:pP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begin"/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instrText xml:space="preserve"> HYPERLINK \l _Toc8220 </w:instrText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fldChar w:fldCharType="separate"/>
          </w:r>
          <w:r>
            <w:rPr>
              <w:rFonts w:hint="eastAsia"/>
            </w:rPr>
            <w:t>（二） 系统访问</w:t>
          </w:r>
          <w:r>
            <w:tab/>
          </w:r>
          <w:r>
            <w:fldChar w:fldCharType="begin"/>
          </w:r>
          <w:r>
            <w:instrText xml:space="preserve"> PAGEREF _Toc8220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end"/>
          </w:r>
        </w:p>
        <w:p w14:paraId="08704A06">
          <w:pPr>
            <w:pStyle w:val="8"/>
            <w:tabs>
              <w:tab w:val="right" w:leader="dot" w:pos="8306"/>
            </w:tabs>
          </w:pP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begin"/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instrText xml:space="preserve"> HYPERLINK \l _Toc11748 </w:instrText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fldChar w:fldCharType="separate"/>
          </w:r>
          <w:r>
            <w:rPr>
              <w:rFonts w:hint="eastAsia"/>
            </w:rPr>
            <w:t>二、 系统填报</w:t>
          </w:r>
          <w:r>
            <w:tab/>
          </w:r>
          <w:r>
            <w:fldChar w:fldCharType="begin"/>
          </w:r>
          <w:r>
            <w:instrText xml:space="preserve"> PAGEREF _Toc11748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end"/>
          </w:r>
        </w:p>
        <w:p w14:paraId="276ABD40">
          <w:pPr>
            <w:pStyle w:val="9"/>
            <w:tabs>
              <w:tab w:val="right" w:leader="dot" w:pos="8306"/>
            </w:tabs>
          </w:pP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begin"/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instrText xml:space="preserve"> HYPERLINK \l _Toc18370 </w:instrText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fldChar w:fldCharType="separate"/>
          </w:r>
          <w:r>
            <w:rPr>
              <w:rFonts w:hint="eastAsia"/>
            </w:rPr>
            <w:t>（一） 访问系统</w:t>
          </w:r>
          <w:r>
            <w:tab/>
          </w:r>
          <w:r>
            <w:fldChar w:fldCharType="begin"/>
          </w:r>
          <w:r>
            <w:instrText xml:space="preserve"> PAGEREF _Toc18370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end"/>
          </w:r>
        </w:p>
        <w:p w14:paraId="33398CBC">
          <w:pPr>
            <w:pStyle w:val="9"/>
            <w:tabs>
              <w:tab w:val="right" w:leader="dot" w:pos="8306"/>
            </w:tabs>
          </w:pP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begin"/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instrText xml:space="preserve"> HYPERLINK \l _Toc26233 </w:instrText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szCs w:val="24"/>
            </w:rPr>
            <w:t>①注册账号</w:t>
          </w:r>
          <w:r>
            <w:tab/>
          </w:r>
          <w:r>
            <w:fldChar w:fldCharType="begin"/>
          </w:r>
          <w:r>
            <w:instrText xml:space="preserve"> PAGEREF _Toc26233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end"/>
          </w:r>
        </w:p>
        <w:p w14:paraId="16194C83">
          <w:pPr>
            <w:pStyle w:val="9"/>
            <w:tabs>
              <w:tab w:val="right" w:leader="dot" w:pos="8306"/>
            </w:tabs>
          </w:pP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begin"/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instrText xml:space="preserve"> HYPERLINK \l _Toc25488 </w:instrText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szCs w:val="24"/>
            </w:rPr>
            <w:t>②登录系统</w:t>
          </w:r>
          <w:r>
            <w:tab/>
          </w:r>
          <w:r>
            <w:fldChar w:fldCharType="begin"/>
          </w:r>
          <w:r>
            <w:instrText xml:space="preserve"> PAGEREF _Toc25488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end"/>
          </w:r>
        </w:p>
        <w:p w14:paraId="2AEAB196">
          <w:pPr>
            <w:pStyle w:val="9"/>
            <w:tabs>
              <w:tab w:val="right" w:leader="dot" w:pos="8306"/>
            </w:tabs>
          </w:pP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begin"/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instrText xml:space="preserve"> HYPERLINK \l _Toc17930 </w:instrText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szCs w:val="24"/>
              <w:lang w:val="en-US" w:eastAsia="zh-CN"/>
            </w:rPr>
            <w:t>③单位绑定个人账号</w:t>
          </w:r>
          <w:r>
            <w:tab/>
          </w:r>
          <w:r>
            <w:fldChar w:fldCharType="begin"/>
          </w:r>
          <w:r>
            <w:instrText xml:space="preserve"> PAGEREF _Toc17930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end"/>
          </w:r>
        </w:p>
        <w:p w14:paraId="26B66DBF">
          <w:pPr>
            <w:pStyle w:val="9"/>
            <w:tabs>
              <w:tab w:val="right" w:leader="dot" w:pos="8306"/>
            </w:tabs>
          </w:pP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begin"/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instrText xml:space="preserve"> HYPERLINK \l _Toc8458 </w:instrText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szCs w:val="24"/>
              <w:lang w:val="en-US" w:eastAsia="zh-CN"/>
            </w:rPr>
            <w:t>④单位授权个人账号访问系统权限</w:t>
          </w:r>
          <w:r>
            <w:tab/>
          </w:r>
          <w:r>
            <w:fldChar w:fldCharType="begin"/>
          </w:r>
          <w:r>
            <w:instrText xml:space="preserve"> PAGEREF _Toc8458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end"/>
          </w:r>
        </w:p>
        <w:p w14:paraId="1610F3C4">
          <w:pPr>
            <w:pStyle w:val="9"/>
            <w:tabs>
              <w:tab w:val="right" w:leader="dot" w:pos="8306"/>
            </w:tabs>
          </w:pP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begin"/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instrText xml:space="preserve"> HYPERLINK \l _Toc6572 </w:instrText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szCs w:val="24"/>
              <w:lang w:val="en-US" w:eastAsia="zh-CN"/>
            </w:rPr>
            <w:t>⑤单位解绑个人账号</w:t>
          </w:r>
          <w:r>
            <w:tab/>
          </w:r>
          <w:r>
            <w:fldChar w:fldCharType="begin"/>
          </w:r>
          <w:r>
            <w:instrText xml:space="preserve"> PAGEREF _Toc6572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end"/>
          </w:r>
        </w:p>
        <w:p w14:paraId="41CB4B02">
          <w:pPr>
            <w:pStyle w:val="9"/>
            <w:tabs>
              <w:tab w:val="right" w:leader="dot" w:pos="8306"/>
            </w:tabs>
          </w:pP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begin"/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instrText xml:space="preserve"> HYPERLINK \l _Toc8211 </w:instrText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szCs w:val="24"/>
              <w:lang w:val="en-US" w:eastAsia="zh-CN"/>
            </w:rPr>
            <w:t>⑥常见问题</w:t>
          </w:r>
          <w:r>
            <w:tab/>
          </w:r>
          <w:r>
            <w:fldChar w:fldCharType="begin"/>
          </w:r>
          <w:r>
            <w:instrText xml:space="preserve"> PAGEREF _Toc8211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end"/>
          </w:r>
        </w:p>
        <w:p w14:paraId="35AC2735">
          <w:pPr>
            <w:pStyle w:val="9"/>
            <w:tabs>
              <w:tab w:val="right" w:leader="dot" w:pos="8306"/>
            </w:tabs>
          </w:pP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begin"/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instrText xml:space="preserve"> HYPERLINK \l _Toc21612 </w:instrText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szCs w:val="24"/>
              <w:lang w:val="en-US" w:eastAsia="zh-CN"/>
            </w:rPr>
            <w:t>⑦账号密码找回</w:t>
          </w:r>
          <w:r>
            <w:tab/>
          </w:r>
          <w:r>
            <w:fldChar w:fldCharType="begin"/>
          </w:r>
          <w:r>
            <w:instrText xml:space="preserve"> PAGEREF _Toc21612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end"/>
          </w:r>
        </w:p>
        <w:p w14:paraId="04A5D0C7">
          <w:pPr>
            <w:pStyle w:val="9"/>
            <w:tabs>
              <w:tab w:val="right" w:leader="dot" w:pos="8306"/>
            </w:tabs>
          </w:pP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begin"/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instrText xml:space="preserve"> HYPERLINK \l _Toc22374 </w:instrText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fldChar w:fldCharType="separate"/>
          </w:r>
          <w:r>
            <w:rPr>
              <w:rFonts w:hint="eastAsia"/>
            </w:rPr>
            <w:t>（二） 年度报告填报</w:t>
          </w:r>
          <w:r>
            <w:tab/>
          </w:r>
          <w:r>
            <w:fldChar w:fldCharType="begin"/>
          </w:r>
          <w:r>
            <w:instrText xml:space="preserve"> PAGEREF _Toc22374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end"/>
          </w:r>
        </w:p>
        <w:p w14:paraId="01F9AF14">
          <w:pPr>
            <w:pStyle w:val="9"/>
            <w:tabs>
              <w:tab w:val="right" w:leader="dot" w:pos="8306"/>
            </w:tabs>
          </w:pP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begin"/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instrText xml:space="preserve"> HYPERLINK \l _Toc19030 </w:instrText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fldChar w:fldCharType="separate"/>
          </w:r>
          <w:r>
            <w:rPr>
              <w:rFonts w:hint="eastAsia"/>
            </w:rPr>
            <w:t>（三） 保存与提交</w:t>
          </w:r>
          <w:r>
            <w:tab/>
          </w:r>
          <w:r>
            <w:fldChar w:fldCharType="begin"/>
          </w:r>
          <w:r>
            <w:instrText xml:space="preserve"> PAGEREF _Toc19030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end"/>
          </w:r>
        </w:p>
        <w:p w14:paraId="2BDFF503">
          <w:pPr>
            <w:pStyle w:val="9"/>
            <w:tabs>
              <w:tab w:val="right" w:leader="dot" w:pos="8306"/>
            </w:tabs>
          </w:pP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begin"/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instrText xml:space="preserve"> HYPERLINK \l _Toc10783 </w:instrText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fldChar w:fldCharType="separate"/>
          </w:r>
          <w:r>
            <w:rPr>
              <w:rFonts w:hint="eastAsia"/>
            </w:rPr>
            <w:t>（四） 退回修改</w:t>
          </w:r>
          <w:r>
            <w:tab/>
          </w:r>
          <w:r>
            <w:fldChar w:fldCharType="begin"/>
          </w:r>
          <w:r>
            <w:instrText xml:space="preserve"> PAGEREF _Toc10783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end"/>
          </w:r>
        </w:p>
        <w:p w14:paraId="5F3C9A69">
          <w:pPr>
            <w:pStyle w:val="8"/>
            <w:tabs>
              <w:tab w:val="right" w:leader="dot" w:pos="8306"/>
            </w:tabs>
          </w:pP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begin"/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instrText xml:space="preserve"> HYPERLINK \l _Toc7275 </w:instrText>
          </w:r>
          <w:r>
            <w:rPr>
              <w:rFonts w:hint="eastAsia" w:ascii="楷体_GB2312" w:hAnsi="楷体_GB2312" w:eastAsia="楷体_GB2312" w:cs="楷体_GB2312"/>
              <w:kern w:val="0"/>
              <w:szCs w:val="31"/>
              <w:lang w:bidi="ar"/>
            </w:rPr>
            <w:fldChar w:fldCharType="separate"/>
          </w:r>
          <w:r>
            <w:rPr>
              <w:rFonts w:hint="eastAsia"/>
            </w:rPr>
            <w:t>三、 技术咨询</w:t>
          </w:r>
          <w:r>
            <w:tab/>
          </w:r>
          <w:r>
            <w:fldChar w:fldCharType="begin"/>
          </w:r>
          <w:r>
            <w:instrText xml:space="preserve"> PAGEREF _Toc7275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end"/>
          </w:r>
        </w:p>
        <w:p w14:paraId="23341E06">
          <w:pPr>
            <w:widowControl/>
            <w:jc w:val="center"/>
            <w:rPr>
              <w:rFonts w:ascii="楷体_GB2312" w:hAnsi="楷体_GB2312" w:eastAsia="楷体_GB2312" w:cs="楷体_GB2312"/>
              <w:color w:val="000000"/>
              <w:kern w:val="0"/>
              <w:sz w:val="31"/>
              <w:szCs w:val="31"/>
              <w:lang w:bidi="ar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end"/>
          </w:r>
        </w:p>
      </w:sdtContent>
    </w:sdt>
    <w:p w14:paraId="40976836">
      <w:pPr>
        <w:pStyle w:val="2"/>
        <w:numPr>
          <w:ilvl w:val="0"/>
          <w:numId w:val="1"/>
        </w:numPr>
      </w:pPr>
      <w:bookmarkStart w:id="0" w:name="_Toc23598"/>
      <w:r>
        <w:rPr>
          <w:rFonts w:hint="eastAsia"/>
        </w:rPr>
        <w:t>简介</w:t>
      </w:r>
      <w:bookmarkEnd w:id="0"/>
    </w:p>
    <w:p w14:paraId="1912ECAA">
      <w:pPr>
        <w:pStyle w:val="3"/>
        <w:numPr>
          <w:ilvl w:val="0"/>
          <w:numId w:val="2"/>
        </w:numPr>
      </w:pPr>
      <w:bookmarkStart w:id="1" w:name="_Toc12426"/>
      <w:r>
        <w:rPr>
          <w:rFonts w:hint="eastAsia"/>
        </w:rPr>
        <w:t>功能介绍</w:t>
      </w:r>
      <w:bookmarkEnd w:id="1"/>
    </w:p>
    <w:p w14:paraId="31A25ECF"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lang w:bidi="ar"/>
        </w:rPr>
        <w:t>各人力资源服务机构作为填报用户，可通过 PC 端在浏览器访问广东省人力资源管理服务信息系统，年度报告模块进行年度报告填报工作。</w:t>
      </w:r>
    </w:p>
    <w:p w14:paraId="3D7B16E7"/>
    <w:p w14:paraId="38DB0F88">
      <w:pPr>
        <w:pStyle w:val="3"/>
        <w:numPr>
          <w:ilvl w:val="0"/>
          <w:numId w:val="2"/>
        </w:numPr>
      </w:pPr>
      <w:bookmarkStart w:id="2" w:name="_Toc8220"/>
      <w:r>
        <w:rPr>
          <w:rFonts w:hint="eastAsia"/>
        </w:rPr>
        <w:t>系统访问</w:t>
      </w:r>
      <w:bookmarkEnd w:id="2"/>
    </w:p>
    <w:p w14:paraId="30F60672"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参考网址：广东省人力资源管理服务信息系统</w:t>
      </w:r>
    </w:p>
    <w:p w14:paraId="2DF19661"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（https://ggfw.hrss.gd.gov.cn/rlzyh/）</w:t>
      </w:r>
    </w:p>
    <w:p w14:paraId="14819073">
      <w:pPr>
        <w:rPr>
          <w:rFonts w:asciiTheme="minorEastAsia" w:hAnsiTheme="minorEastAsia" w:cstheme="minorEastAsia"/>
          <w:sz w:val="24"/>
        </w:rPr>
      </w:pPr>
    </w:p>
    <w:p w14:paraId="0C8F6429"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lang w:bidi="ar"/>
        </w:rPr>
        <w:t xml:space="preserve">参考浏览器：浏览器支持 Google Chrome 浏览器（重点推荐）、360 </w:t>
      </w:r>
    </w:p>
    <w:p w14:paraId="3C4AA7D6"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lang w:bidi="ar"/>
        </w:rPr>
        <w:t>极速浏览器等常见浏览器。</w:t>
      </w:r>
    </w:p>
    <w:p w14:paraId="59F00E87"/>
    <w:p w14:paraId="3B4426B3">
      <w:pPr>
        <w:pStyle w:val="2"/>
        <w:numPr>
          <w:ilvl w:val="0"/>
          <w:numId w:val="1"/>
        </w:numPr>
      </w:pPr>
      <w:bookmarkStart w:id="3" w:name="_Toc11748"/>
      <w:r>
        <w:rPr>
          <w:rFonts w:hint="eastAsia"/>
        </w:rPr>
        <w:t>系统填报</w:t>
      </w:r>
      <w:bookmarkEnd w:id="3"/>
    </w:p>
    <w:p w14:paraId="4A613DF6">
      <w:pPr>
        <w:pStyle w:val="3"/>
        <w:numPr>
          <w:ilvl w:val="0"/>
          <w:numId w:val="3"/>
        </w:numPr>
      </w:pPr>
      <w:bookmarkStart w:id="4" w:name="_Toc18370"/>
      <w:r>
        <w:rPr>
          <w:rFonts w:hint="eastAsia"/>
        </w:rPr>
        <w:t>访问系统</w:t>
      </w:r>
      <w:bookmarkEnd w:id="4"/>
    </w:p>
    <w:p w14:paraId="66C5C357">
      <w:pPr>
        <w:rPr>
          <w:sz w:val="24"/>
        </w:rPr>
      </w:pPr>
      <w:r>
        <w:rPr>
          <w:rFonts w:hint="eastAsia"/>
          <w:sz w:val="24"/>
        </w:rPr>
        <w:t>在浏览器输入系统链接访问系统，然后在“区域选择”中选择单位所属区县，并点击对应区域，进入到对应区域页面，点击左边“业务办理”或右上角“登录”进行系统登录，如无账号则点击右上角的“注册”进行账号的注册。</w:t>
      </w:r>
    </w:p>
    <w:p w14:paraId="61CB6BEC">
      <w:r>
        <w:drawing>
          <wp:inline distT="0" distB="0" distL="114300" distR="114300">
            <wp:extent cx="5260975" cy="2324735"/>
            <wp:effectExtent l="0" t="0" r="1206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E274C">
      <w:r>
        <w:drawing>
          <wp:inline distT="0" distB="0" distL="114300" distR="114300">
            <wp:extent cx="5266690" cy="2307590"/>
            <wp:effectExtent l="0" t="0" r="635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21ECB"/>
    <w:p w14:paraId="681F1FC0">
      <w:pPr>
        <w:pStyle w:val="16"/>
        <w:spacing w:line="480" w:lineRule="auto"/>
        <w:ind w:left="0" w:leftChars="0" w:firstLine="0" w:firstLineChars="0"/>
        <w:outlineLvl w:val="1"/>
        <w:rPr>
          <w:rFonts w:hint="default" w:ascii="Times New Roman" w:hAnsi="Times New Roman" w:eastAsia="黑体" w:cs="Times New Roman"/>
          <w:sz w:val="24"/>
          <w:szCs w:val="24"/>
        </w:rPr>
      </w:pPr>
      <w:bookmarkStart w:id="5" w:name="_Toc27767"/>
      <w:bookmarkStart w:id="6" w:name="_Toc29895"/>
      <w:bookmarkStart w:id="7" w:name="_Toc26233"/>
      <w:r>
        <w:rPr>
          <w:rFonts w:hint="default" w:ascii="Times New Roman" w:hAnsi="Times New Roman" w:eastAsia="黑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黑体" w:cs="Times New Roman"/>
          <w:sz w:val="24"/>
          <w:szCs w:val="24"/>
        </w:rPr>
        <w:instrText xml:space="preserve"> = 1 \* GB3 </w:instrText>
      </w:r>
      <w:r>
        <w:rPr>
          <w:rFonts w:hint="default" w:ascii="Times New Roman" w:hAnsi="Times New Roman" w:eastAsia="黑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黑体" w:cs="Times New Roman"/>
          <w:sz w:val="24"/>
          <w:szCs w:val="24"/>
        </w:rPr>
        <w:t>①</w:t>
      </w:r>
      <w:r>
        <w:rPr>
          <w:rFonts w:hint="default" w:ascii="Times New Roman" w:hAnsi="Times New Roman" w:eastAsia="黑体" w:cs="Times New Roman"/>
          <w:sz w:val="24"/>
          <w:szCs w:val="24"/>
        </w:rPr>
        <w:fldChar w:fldCharType="end"/>
      </w:r>
      <w:r>
        <w:rPr>
          <w:rFonts w:hint="default" w:ascii="Times New Roman" w:hAnsi="Times New Roman" w:eastAsia="黑体" w:cs="Times New Roman"/>
          <w:sz w:val="24"/>
          <w:szCs w:val="24"/>
        </w:rPr>
        <w:t>注册账号</w:t>
      </w:r>
      <w:bookmarkEnd w:id="5"/>
      <w:bookmarkEnd w:id="6"/>
      <w:bookmarkEnd w:id="7"/>
    </w:p>
    <w:p w14:paraId="43E09DFF">
      <w:pPr>
        <w:pStyle w:val="16"/>
        <w:numPr>
          <w:ilvl w:val="0"/>
          <w:numId w:val="4"/>
        </w:numPr>
        <w:spacing w:line="480" w:lineRule="auto"/>
        <w:ind w:left="630" w:leftChars="0" w:firstLine="0" w:firstLineChars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若单位之前已在 “广东省人力资源和社会保障厅网上服务平台”注册过账号则跳过此步骤。</w:t>
      </w:r>
    </w:p>
    <w:p w14:paraId="1D5F9448">
      <w:pPr>
        <w:pStyle w:val="16"/>
        <w:numPr>
          <w:ilvl w:val="0"/>
          <w:numId w:val="4"/>
        </w:numPr>
        <w:spacing w:line="480" w:lineRule="auto"/>
        <w:ind w:left="630" w:leftChars="0"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 w:val="24"/>
          <w:szCs w:val="24"/>
        </w:rPr>
        <w:t>打开网址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"https://ggfw.hrss.gd.gov.cn/isso/login.html"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Style w:val="12"/>
          <w:rFonts w:hint="default" w:ascii="Times New Roman" w:hAnsi="Times New Roman" w:cs="Times New Roman"/>
          <w:sz w:val="24"/>
          <w:szCs w:val="24"/>
        </w:rPr>
        <w:t>https://ggfw.hrss.gd.gov.cn/isso/login.html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t xml:space="preserve"> 点击下图所示“个人注册”或“单位注册”进行帐号注册。</w:t>
      </w:r>
    </w:p>
    <w:p w14:paraId="2C05FD44">
      <w:pPr>
        <w:pStyle w:val="16"/>
        <w:spacing w:line="480" w:lineRule="auto"/>
        <w:ind w:left="900" w:firstLine="0" w:firstLineChars="0"/>
        <w:jc w:val="left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4661535" cy="2543810"/>
            <wp:effectExtent l="0" t="0" r="1905" b="1270"/>
            <wp:docPr id="3" name="图片 1" descr="msedge_wfM1MtCl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msedge_wfM1MtClIH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82DC7">
      <w:pPr>
        <w:pStyle w:val="16"/>
        <w:numPr>
          <w:ilvl w:val="0"/>
          <w:numId w:val="4"/>
        </w:numPr>
        <w:spacing w:line="480" w:lineRule="auto"/>
        <w:ind w:left="150" w:leftChars="0" w:firstLine="480" w:firstLineChars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单位账号必须由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已完成实名认证</w:t>
      </w:r>
      <w:r>
        <w:rPr>
          <w:rFonts w:hint="default" w:ascii="Times New Roman" w:hAnsi="Times New Roman" w:cs="Times New Roman"/>
          <w:sz w:val="24"/>
          <w:szCs w:val="24"/>
        </w:rPr>
        <w:t>的个人用户进行注册。详细指引可以点击下图所示“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"javascript:void(0);"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>个人注册指引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t>“或”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"javascript:void(0);"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>单位注册指引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t>”查看。</w:t>
      </w:r>
    </w:p>
    <w:p w14:paraId="2CF25555">
      <w:pPr>
        <w:pStyle w:val="16"/>
        <w:spacing w:line="480" w:lineRule="auto"/>
        <w:ind w:left="900" w:firstLine="0" w:firstLineChars="0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4616450" cy="2543810"/>
            <wp:effectExtent l="0" t="0" r="1270" b="1270"/>
            <wp:docPr id="4" name="图片 2" descr="msedge_dEZ3VoXC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msedge_dEZ3VoXCq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B1DC2">
      <w:pPr>
        <w:pStyle w:val="16"/>
        <w:numPr>
          <w:ilvl w:val="0"/>
          <w:numId w:val="4"/>
        </w:numPr>
        <w:spacing w:line="480" w:lineRule="auto"/>
        <w:ind w:left="150" w:leftChars="0" w:firstLine="480" w:firstLineChars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注册账号的网址（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"https://ggfw.hrss.gd.gov.cn/isso/login.html"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Style w:val="12"/>
          <w:rFonts w:hint="default" w:ascii="Times New Roman" w:hAnsi="Times New Roman" w:cs="Times New Roman"/>
          <w:sz w:val="24"/>
          <w:szCs w:val="24"/>
        </w:rPr>
        <w:t>https://ggfw.hrss.gd.gov.cn/isso/login.html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t>）为互联网环境，如无法打开请检查电脑网络是否连接到互联网。</w:t>
      </w:r>
    </w:p>
    <w:p w14:paraId="5DFE7BB8">
      <w:pPr>
        <w:pStyle w:val="16"/>
        <w:spacing w:line="480" w:lineRule="auto"/>
        <w:ind w:left="0" w:leftChars="0" w:firstLine="0" w:firstLineChars="0"/>
        <w:outlineLvl w:val="1"/>
        <w:rPr>
          <w:rFonts w:hint="default" w:ascii="Times New Roman" w:hAnsi="Times New Roman" w:eastAsia="黑体" w:cs="Times New Roman"/>
          <w:sz w:val="24"/>
          <w:szCs w:val="24"/>
        </w:rPr>
      </w:pPr>
      <w:bookmarkStart w:id="8" w:name="_Toc31197"/>
      <w:bookmarkStart w:id="9" w:name="_Toc32229"/>
      <w:bookmarkStart w:id="10" w:name="_Toc25488"/>
      <w:r>
        <w:rPr>
          <w:rFonts w:hint="default" w:ascii="Times New Roman" w:hAnsi="Times New Roman" w:eastAsia="黑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黑体" w:cs="Times New Roman"/>
          <w:sz w:val="24"/>
          <w:szCs w:val="24"/>
        </w:rPr>
        <w:instrText xml:space="preserve"> = 2 \* GB3 </w:instrText>
      </w:r>
      <w:r>
        <w:rPr>
          <w:rFonts w:hint="default" w:ascii="Times New Roman" w:hAnsi="Times New Roman" w:eastAsia="黑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黑体" w:cs="Times New Roman"/>
          <w:sz w:val="24"/>
          <w:szCs w:val="24"/>
        </w:rPr>
        <w:t>②</w:t>
      </w:r>
      <w:r>
        <w:rPr>
          <w:rFonts w:hint="default" w:ascii="Times New Roman" w:hAnsi="Times New Roman" w:eastAsia="黑体" w:cs="Times New Roman"/>
          <w:sz w:val="24"/>
          <w:szCs w:val="24"/>
        </w:rPr>
        <w:fldChar w:fldCharType="end"/>
      </w:r>
      <w:r>
        <w:rPr>
          <w:rFonts w:hint="default" w:ascii="Times New Roman" w:hAnsi="Times New Roman" w:eastAsia="黑体" w:cs="Times New Roman"/>
          <w:sz w:val="24"/>
          <w:szCs w:val="24"/>
        </w:rPr>
        <w:t>登录系统</w:t>
      </w:r>
      <w:bookmarkEnd w:id="8"/>
      <w:bookmarkEnd w:id="9"/>
      <w:bookmarkEnd w:id="10"/>
    </w:p>
    <w:p w14:paraId="0AB37445">
      <w:pPr>
        <w:pStyle w:val="16"/>
        <w:numPr>
          <w:ilvl w:val="0"/>
          <w:numId w:val="4"/>
        </w:numPr>
        <w:spacing w:line="480" w:lineRule="auto"/>
        <w:ind w:left="150" w:leftChars="0" w:firstLine="480" w:firstLineChars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帐号注册成功后，打开网址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"http://www.gdhrss.nwmh/rsjh登录系统。"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>登录系统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，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其中互联网登录系统，需要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先登录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单位账号，绑定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已实名认证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的个人账号，并且授权系统访问权限给此个人账号，授权之后，才能以个人账号登录后选择单位账户访问系统</w:t>
      </w:r>
      <w:r>
        <w:rPr>
          <w:rFonts w:hint="default" w:ascii="Times New Roman" w:hAnsi="Times New Roman" w:cs="Times New Roman"/>
          <w:sz w:val="24"/>
          <w:szCs w:val="24"/>
        </w:rPr>
        <w:t>。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</w:p>
    <w:p w14:paraId="0044F64F">
      <w:pPr>
        <w:pStyle w:val="16"/>
        <w:spacing w:line="480" w:lineRule="auto"/>
        <w:ind w:left="900" w:firstLine="0" w:firstLineChars="0"/>
        <w:rPr>
          <w:rStyle w:val="12"/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 w:val="24"/>
          <w:szCs w:val="24"/>
        </w:rPr>
        <w:t>互联网登录地址：</w:t>
      </w:r>
      <w:r>
        <w:rPr>
          <w:rStyle w:val="12"/>
          <w:rFonts w:hint="default" w:ascii="Times New Roman" w:hAnsi="Times New Roman" w:cs="Times New Roman"/>
          <w:sz w:val="24"/>
          <w:szCs w:val="28"/>
        </w:rPr>
        <w:t>https://ggfw.hrss.gd.gov.cn/r</w:t>
      </w:r>
      <w:r>
        <w:rPr>
          <w:rStyle w:val="12"/>
          <w:rFonts w:hint="eastAsia" w:ascii="Times New Roman" w:hAnsi="Times New Roman" w:cs="Times New Roman"/>
          <w:sz w:val="24"/>
          <w:szCs w:val="28"/>
          <w:lang w:val="en-US" w:eastAsia="zh-CN"/>
        </w:rPr>
        <w:t>lzyh</w:t>
      </w:r>
      <w:r>
        <w:rPr>
          <w:rStyle w:val="12"/>
          <w:rFonts w:hint="default" w:ascii="Times New Roman" w:hAnsi="Times New Roman" w:cs="Times New Roman"/>
          <w:sz w:val="24"/>
          <w:szCs w:val="28"/>
        </w:rPr>
        <w:t>/</w:t>
      </w:r>
    </w:p>
    <w:p w14:paraId="001CB2CA">
      <w:pPr>
        <w:pStyle w:val="16"/>
        <w:numPr>
          <w:ilvl w:val="0"/>
          <w:numId w:val="0"/>
        </w:numPr>
        <w:spacing w:line="480" w:lineRule="auto"/>
        <w:outlineLvl w:val="1"/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</w:pPr>
      <w:bookmarkStart w:id="11" w:name="_Toc9414"/>
      <w:bookmarkStart w:id="12" w:name="_Toc14186"/>
      <w:bookmarkStart w:id="13" w:name="_Toc17930"/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>③单位绑定个人账号</w:t>
      </w:r>
      <w:bookmarkEnd w:id="11"/>
      <w:bookmarkEnd w:id="12"/>
      <w:bookmarkEnd w:id="13"/>
    </w:p>
    <w:p w14:paraId="547A6C18">
      <w:pPr>
        <w:pStyle w:val="16"/>
        <w:numPr>
          <w:ilvl w:val="0"/>
          <w:numId w:val="5"/>
        </w:numPr>
        <w:spacing w:line="480" w:lineRule="auto"/>
        <w:ind w:left="1050" w:leftChars="0" w:hanging="420" w:firstLineChars="0"/>
        <w:jc w:val="lef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首先访问网上服务平台的登录地址（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instrText xml:space="preserve"> HYPERLINK "https://ggfw.hrss.gd.gov.cn/gdggfw/index" </w:instrTex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separate"/>
      </w:r>
      <w:r>
        <w:rPr>
          <w:rStyle w:val="12"/>
          <w:rFonts w:hint="eastAsia" w:ascii="Times New Roman" w:hAnsi="Times New Roman" w:cs="Times New Roman"/>
          <w:sz w:val="24"/>
          <w:szCs w:val="24"/>
          <w:lang w:val="en-US" w:eastAsia="zh-CN"/>
        </w:rPr>
        <w:t>https://ggfw.hrss.gd.gov.cn/gdggfw/index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）登录单位账号，</w:t>
      </w:r>
    </w:p>
    <w:p w14:paraId="7E7D8D37">
      <w:pPr>
        <w:pStyle w:val="16"/>
        <w:widowControl w:val="0"/>
        <w:numPr>
          <w:ilvl w:val="0"/>
          <w:numId w:val="0"/>
        </w:numPr>
        <w:spacing w:line="480" w:lineRule="auto"/>
        <w:ind w:left="840" w:leftChars="0" w:firstLine="420" w:firstLineChars="0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4471670" cy="2538095"/>
            <wp:effectExtent l="0" t="0" r="8890" b="6985"/>
            <wp:docPr id="5" name="图片 4" descr="msedge_OOLt9WEMy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msedge_OOLt9WEMyh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3F3CD">
      <w:pPr>
        <w:pStyle w:val="16"/>
        <w:widowControl w:val="0"/>
        <w:numPr>
          <w:ilvl w:val="0"/>
          <w:numId w:val="0"/>
        </w:numPr>
        <w:spacing w:line="480" w:lineRule="auto"/>
        <w:ind w:left="840" w:leftChars="0" w:firstLine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479290" cy="2538095"/>
            <wp:effectExtent l="0" t="0" r="1270" b="6985"/>
            <wp:docPr id="6" name="图片 5" descr="msedge_cn9KSrei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msedge_cn9KSreiGW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443C4">
      <w:pPr>
        <w:pStyle w:val="16"/>
        <w:widowControl w:val="0"/>
        <w:numPr>
          <w:ilvl w:val="0"/>
          <w:numId w:val="5"/>
        </w:numPr>
        <w:spacing w:line="480" w:lineRule="auto"/>
        <w:ind w:left="1050" w:leftChars="0" w:hanging="420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登录之后，鼠标移动至下三角，选择账户管理；到账户管理后，点击左侧导航栏的子账号信息，右侧会出现单位已经绑定的个人账号列表，此时需要绑定新的经办人，点击授权账号列表下方的新增按钮。</w:t>
      </w:r>
    </w:p>
    <w:p w14:paraId="361834CF">
      <w:pPr>
        <w:pStyle w:val="16"/>
        <w:widowControl w:val="0"/>
        <w:numPr>
          <w:ilvl w:val="0"/>
          <w:numId w:val="0"/>
        </w:numPr>
        <w:spacing w:line="480" w:lineRule="auto"/>
        <w:ind w:left="840" w:leftChars="0" w:firstLine="420" w:firstLineChars="0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4487545" cy="2317115"/>
            <wp:effectExtent l="0" t="0" r="8255" b="14605"/>
            <wp:docPr id="7" name="图片 6" descr="msedge_utRHlsCS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msedge_utRHlsCS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12F65">
      <w:pPr>
        <w:pStyle w:val="16"/>
        <w:widowControl w:val="0"/>
        <w:numPr>
          <w:ilvl w:val="0"/>
          <w:numId w:val="0"/>
        </w:numPr>
        <w:spacing w:line="480" w:lineRule="auto"/>
        <w:ind w:left="840" w:leftChars="0" w:firstLine="420" w:firstLineChars="0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4441825" cy="2538095"/>
            <wp:effectExtent l="0" t="0" r="8255" b="6985"/>
            <wp:docPr id="10" name="图片 7" descr="msedge_AX3pgFCN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msedge_AX3pgFCNo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182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7723A">
      <w:pPr>
        <w:pStyle w:val="16"/>
        <w:numPr>
          <w:ilvl w:val="0"/>
          <w:numId w:val="5"/>
        </w:numPr>
        <w:spacing w:line="480" w:lineRule="auto"/>
        <w:ind w:left="1050" w:leftChars="0" w:hanging="420" w:firstLineChars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输入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已实名认证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的个人账号信息，确认无误后点击发起绑定。那么单位绑定个人整个过程中单位的操作就已经完成了，接下来就还需要个人同意单位绑定。</w:t>
      </w:r>
    </w:p>
    <w:p w14:paraId="55CB5136">
      <w:pPr>
        <w:pStyle w:val="16"/>
        <w:widowControl w:val="0"/>
        <w:numPr>
          <w:ilvl w:val="0"/>
          <w:numId w:val="0"/>
        </w:numPr>
        <w:spacing w:line="480" w:lineRule="auto"/>
        <w:ind w:left="840" w:leftChars="0" w:firstLine="420" w:firstLineChars="0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4441825" cy="2538095"/>
            <wp:effectExtent l="0" t="0" r="8255" b="6985"/>
            <wp:docPr id="8" name="图片 8" descr="msedge_y47XAwW76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sedge_y47XAwW76Y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182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A4C02">
      <w:pPr>
        <w:pStyle w:val="16"/>
        <w:numPr>
          <w:ilvl w:val="0"/>
          <w:numId w:val="5"/>
        </w:numPr>
        <w:spacing w:line="480" w:lineRule="auto"/>
        <w:ind w:left="1050" w:leftChars="0" w:hanging="420" w:firstLineChars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个人同意单位发起的绑定，需要先退出已登录的单位账号，回到网上服务平台首页（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instrText xml:space="preserve"> HYPERLINK "https://ggfw.hrss.gd.gov.cn/gdggfw/index" </w:instrTex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separate"/>
      </w:r>
      <w:r>
        <w:rPr>
          <w:rStyle w:val="12"/>
          <w:rFonts w:hint="eastAsia" w:ascii="Times New Roman" w:hAnsi="Times New Roman" w:cs="Times New Roman"/>
          <w:sz w:val="24"/>
          <w:szCs w:val="24"/>
          <w:lang w:val="en-US" w:eastAsia="zh-CN"/>
        </w:rPr>
        <w:t>https://ggfw.hrss.gd.gov.cn/gdggfw/index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），鼠标移动至下三角，点击退出登录，单位账号退出后，重新点击登录，选择个人登录，登录刚才单位发起绑定的个人账号。</w:t>
      </w:r>
    </w:p>
    <w:p w14:paraId="3DC3F07F">
      <w:pPr>
        <w:pStyle w:val="16"/>
        <w:numPr>
          <w:ilvl w:val="0"/>
          <w:numId w:val="0"/>
        </w:numPr>
        <w:spacing w:line="480" w:lineRule="auto"/>
        <w:ind w:left="840" w:leftChars="0" w:firstLine="420" w:firstLineChars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518025" cy="2538095"/>
            <wp:effectExtent l="0" t="0" r="8255" b="6985"/>
            <wp:docPr id="16" name="图片 9" descr="TdGRv9AK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TdGRv9AK0N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D3079">
      <w:pPr>
        <w:pStyle w:val="16"/>
        <w:numPr>
          <w:ilvl w:val="0"/>
          <w:numId w:val="0"/>
        </w:numPr>
        <w:spacing w:line="480" w:lineRule="auto"/>
        <w:ind w:left="840" w:leftChars="0" w:firstLine="420" w:firstLineChars="0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4411345" cy="2538095"/>
            <wp:effectExtent l="0" t="0" r="8255" b="6985"/>
            <wp:docPr id="13" name="图片 10" descr="msedge_vC3XvYrm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msedge_vC3XvYrmg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1724C">
      <w:pPr>
        <w:pStyle w:val="16"/>
        <w:numPr>
          <w:ilvl w:val="0"/>
          <w:numId w:val="0"/>
        </w:numPr>
        <w:spacing w:line="480" w:lineRule="auto"/>
        <w:ind w:left="840" w:leftChars="0" w:firstLine="420" w:firstLineChars="0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4380230" cy="2538095"/>
            <wp:effectExtent l="0" t="0" r="8890" b="6985"/>
            <wp:docPr id="9" name="图片 11" descr="aaknFuKK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aaknFuKKCO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56CED">
      <w:pPr>
        <w:pStyle w:val="16"/>
        <w:numPr>
          <w:ilvl w:val="0"/>
          <w:numId w:val="5"/>
        </w:numPr>
        <w:spacing w:line="480" w:lineRule="auto"/>
        <w:ind w:left="1050" w:leftChars="0" w:hanging="420" w:firstLineChars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成功登录个人账号后，将鼠标移动至下三角，点击账户管理，进入个人的账户管理；点击左侧导航栏的父账号信息，右侧会出现刚才单位发起的绑定申请，点击通过申请，点击后就真正完成了单位绑定个人账号。</w:t>
      </w:r>
    </w:p>
    <w:p w14:paraId="4E5F0FD2">
      <w:pPr>
        <w:pStyle w:val="16"/>
        <w:numPr>
          <w:ilvl w:val="0"/>
          <w:numId w:val="0"/>
        </w:numPr>
        <w:spacing w:line="480" w:lineRule="auto"/>
        <w:ind w:left="840" w:leftChars="0" w:firstLine="420" w:firstLineChars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456430" cy="2538095"/>
            <wp:effectExtent l="0" t="0" r="8890" b="6985"/>
            <wp:docPr id="12" name="图片 12" descr="msedge_PeX5cOgH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sedge_PeX5cOgH7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643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C9BF4">
      <w:pPr>
        <w:pStyle w:val="16"/>
        <w:numPr>
          <w:ilvl w:val="0"/>
          <w:numId w:val="0"/>
        </w:numPr>
        <w:spacing w:line="480" w:lineRule="auto"/>
        <w:ind w:left="840" w:leftChars="0" w:firstLine="420" w:firstLineChars="0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4392930" cy="3074670"/>
            <wp:effectExtent l="0" t="0" r="11430" b="3810"/>
            <wp:docPr id="11" name="图片 13" descr="cvB0uF0q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cvB0uF0qYn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783A8">
      <w:pPr>
        <w:pStyle w:val="16"/>
        <w:numPr>
          <w:ilvl w:val="0"/>
          <w:numId w:val="0"/>
        </w:numPr>
        <w:spacing w:line="480" w:lineRule="auto"/>
        <w:outlineLvl w:val="1"/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</w:pPr>
      <w:bookmarkStart w:id="14" w:name="_Toc10427"/>
      <w:bookmarkStart w:id="15" w:name="_Toc805"/>
      <w:bookmarkStart w:id="16" w:name="_Toc8458"/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>④单位授权个人账号访问系</w:t>
      </w:r>
      <w:bookmarkEnd w:id="14"/>
      <w:bookmarkEnd w:id="15"/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>统权限</w:t>
      </w:r>
      <w:bookmarkEnd w:id="16"/>
    </w:p>
    <w:p w14:paraId="0D555AD4">
      <w:pPr>
        <w:pStyle w:val="16"/>
        <w:widowControl w:val="0"/>
        <w:numPr>
          <w:ilvl w:val="0"/>
          <w:numId w:val="0"/>
        </w:numPr>
        <w:spacing w:line="480" w:lineRule="auto"/>
        <w:ind w:left="840" w:leftChars="0" w:firstLine="420" w:firstLineChars="0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首先访问网上服务平台的登录地址（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instrText xml:space="preserve"> HYPERLINK "https://ggfw.hrss.gd.gov.cn/gdggfw/index" </w:instrTex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separate"/>
      </w:r>
      <w:r>
        <w:rPr>
          <w:rStyle w:val="12"/>
          <w:rFonts w:hint="eastAsia" w:ascii="Times New Roman" w:hAnsi="Times New Roman" w:cs="Times New Roman"/>
          <w:sz w:val="24"/>
          <w:szCs w:val="24"/>
          <w:lang w:val="en-US" w:eastAsia="zh-CN"/>
        </w:rPr>
        <w:t>https://ggfw.hrss.gd.gov.cn/gdggfw/index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）登录单位账号，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4471670" cy="2538095"/>
            <wp:effectExtent l="0" t="0" r="8890" b="6985"/>
            <wp:docPr id="24" name="图片 14" descr="msedge_OOLt9WEMy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 descr="msedge_OOLt9WEMyh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6CB15">
      <w:pPr>
        <w:pStyle w:val="16"/>
        <w:widowControl w:val="0"/>
        <w:numPr>
          <w:ilvl w:val="0"/>
          <w:numId w:val="0"/>
        </w:numPr>
        <w:spacing w:line="48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   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479290" cy="2538095"/>
            <wp:effectExtent l="0" t="0" r="1270" b="6985"/>
            <wp:docPr id="26" name="图片 15" descr="msedge_cn9KSrei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 descr="msedge_cn9KSreiGW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A7AD2">
      <w:pPr>
        <w:pStyle w:val="16"/>
        <w:widowControl w:val="0"/>
        <w:numPr>
          <w:ilvl w:val="0"/>
          <w:numId w:val="5"/>
        </w:numPr>
        <w:spacing w:line="480" w:lineRule="auto"/>
        <w:ind w:left="105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登录之后，鼠标移动至下三角，选择账户管理；到账户管理后，点击左侧导航栏的子账号信息，右侧会出现已绑定的个人账号列表，选择需要授权系统访问权限的个人账号，点击右侧的授权</w:t>
      </w:r>
    </w:p>
    <w:p w14:paraId="24E09F1C">
      <w:pPr>
        <w:pStyle w:val="16"/>
        <w:widowControl w:val="0"/>
        <w:numPr>
          <w:ilvl w:val="0"/>
          <w:numId w:val="0"/>
        </w:numPr>
        <w:spacing w:line="480" w:lineRule="auto"/>
        <w:ind w:left="840" w:leftChars="0" w:firstLine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456430" cy="2393950"/>
            <wp:effectExtent l="0" t="0" r="8890" b="13970"/>
            <wp:docPr id="27" name="图片 16" descr="msedge_HnbhnyxX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 descr="msedge_HnbhnyxXek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5643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CA6E6">
      <w:pPr>
        <w:pStyle w:val="16"/>
        <w:widowControl w:val="0"/>
        <w:numPr>
          <w:ilvl w:val="0"/>
          <w:numId w:val="5"/>
        </w:numPr>
        <w:spacing w:line="480" w:lineRule="auto"/>
        <w:ind w:left="105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点击授权后，会出现系统授权模块，下方找到需要授权访问权限的系统，找到后点击其左侧小方块勾选，然后点击右上角的保存按钮，即可完成单位授权个人账号访问系统的权限。</w:t>
      </w:r>
    </w:p>
    <w:p w14:paraId="58845F06">
      <w:pPr>
        <w:pStyle w:val="16"/>
        <w:widowControl w:val="0"/>
        <w:numPr>
          <w:ilvl w:val="0"/>
          <w:numId w:val="0"/>
        </w:numPr>
        <w:spacing w:line="480" w:lineRule="auto"/>
        <w:ind w:left="840" w:leftChars="0" w:firstLine="420" w:firstLineChars="0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4349750" cy="2538095"/>
            <wp:effectExtent l="0" t="0" r="8890" b="6985"/>
            <wp:docPr id="30" name="图片 17" descr="msedge_MrHU25jI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 descr="msedge_MrHU25jI7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DE083">
      <w:pPr>
        <w:pStyle w:val="16"/>
        <w:numPr>
          <w:ilvl w:val="0"/>
          <w:numId w:val="0"/>
        </w:numPr>
        <w:spacing w:line="480" w:lineRule="auto"/>
        <w:outlineLvl w:val="1"/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</w:pPr>
      <w:bookmarkStart w:id="17" w:name="_Toc1356"/>
      <w:bookmarkStart w:id="18" w:name="_Toc25080"/>
      <w:bookmarkStart w:id="19" w:name="_Toc6572"/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>⑤单位解绑个人账号</w:t>
      </w:r>
      <w:bookmarkEnd w:id="17"/>
      <w:bookmarkEnd w:id="18"/>
      <w:bookmarkEnd w:id="19"/>
    </w:p>
    <w:p w14:paraId="39F2FE37">
      <w:pPr>
        <w:pStyle w:val="16"/>
        <w:numPr>
          <w:ilvl w:val="0"/>
          <w:numId w:val="5"/>
        </w:numPr>
        <w:spacing w:line="480" w:lineRule="auto"/>
        <w:ind w:left="1050" w:leftChars="0" w:hanging="420" w:firstLineChars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首先访问网上服务平台的登录地址（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instrText xml:space="preserve"> HYPERLINK "https://ggfw.hrss.gd.gov.cn/gdggfw/index" </w:instrTex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separate"/>
      </w:r>
      <w:r>
        <w:rPr>
          <w:rStyle w:val="12"/>
          <w:rFonts w:hint="eastAsia" w:ascii="Times New Roman" w:hAnsi="Times New Roman" w:cs="Times New Roman"/>
          <w:sz w:val="24"/>
          <w:szCs w:val="24"/>
          <w:lang w:val="en-US" w:eastAsia="zh-CN"/>
        </w:rPr>
        <w:t>https://ggfw.hrss.gd.gov.cn/gdggfw/index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）登录单位账号</w:t>
      </w:r>
    </w:p>
    <w:p w14:paraId="2421E3CF">
      <w:pPr>
        <w:pStyle w:val="16"/>
        <w:widowControl w:val="0"/>
        <w:numPr>
          <w:ilvl w:val="0"/>
          <w:numId w:val="0"/>
        </w:numPr>
        <w:spacing w:line="480" w:lineRule="auto"/>
        <w:ind w:left="840" w:leftChars="0" w:firstLine="420" w:firstLineChars="0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4471670" cy="2538095"/>
            <wp:effectExtent l="0" t="0" r="8890" b="6985"/>
            <wp:docPr id="37" name="图片 18" descr="msedge_OOLt9WEMy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 descr="msedge_OOLt9WEMyh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680BE">
      <w:pPr>
        <w:pStyle w:val="16"/>
        <w:widowControl w:val="0"/>
        <w:numPr>
          <w:ilvl w:val="0"/>
          <w:numId w:val="0"/>
        </w:numPr>
        <w:spacing w:line="480" w:lineRule="auto"/>
        <w:ind w:left="840" w:leftChars="0" w:firstLine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479290" cy="2538095"/>
            <wp:effectExtent l="0" t="0" r="1270" b="6985"/>
            <wp:docPr id="38" name="图片 19" descr="msedge_cn9KSrei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 descr="msedge_cn9KSreiGW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7104D">
      <w:pPr>
        <w:pStyle w:val="16"/>
        <w:widowControl w:val="0"/>
        <w:numPr>
          <w:ilvl w:val="0"/>
          <w:numId w:val="0"/>
        </w:numPr>
        <w:spacing w:line="480" w:lineRule="auto"/>
        <w:ind w:left="840" w:leftChars="0" w:firstLine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4487545" cy="2317115"/>
            <wp:effectExtent l="0" t="0" r="8255" b="14605"/>
            <wp:docPr id="39" name="图片 20" descr="msedge_utRHlsCS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 descr="msedge_utRHlsCS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E6EFC">
      <w:pPr>
        <w:pStyle w:val="16"/>
        <w:widowControl w:val="0"/>
        <w:numPr>
          <w:ilvl w:val="0"/>
          <w:numId w:val="5"/>
        </w:numPr>
        <w:spacing w:line="480" w:lineRule="auto"/>
        <w:ind w:left="105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登录之后，鼠标移动至下三角，选择账户管理；到账户管理后，点击左侧导航栏的子账号信息，右侧会出现已绑定的个人账号列表，对需要解绑的个人账号，点击其右侧的解除绑定。</w:t>
      </w:r>
    </w:p>
    <w:p w14:paraId="2C0315A4">
      <w:pPr>
        <w:pStyle w:val="16"/>
        <w:widowControl w:val="0"/>
        <w:numPr>
          <w:ilvl w:val="0"/>
          <w:numId w:val="0"/>
        </w:numPr>
        <w:spacing w:line="480" w:lineRule="auto"/>
        <w:ind w:left="840" w:leftChars="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4471670" cy="2538095"/>
            <wp:effectExtent l="0" t="0" r="8890" b="6985"/>
            <wp:docPr id="40" name="图片 21" descr="u21s18wV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 descr="u21s18wVUt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9A71B">
      <w:pPr>
        <w:pStyle w:val="16"/>
        <w:numPr>
          <w:ilvl w:val="0"/>
          <w:numId w:val="0"/>
        </w:numPr>
        <w:spacing w:line="480" w:lineRule="auto"/>
        <w:outlineLvl w:val="1"/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</w:pPr>
      <w:bookmarkStart w:id="20" w:name="_Toc16093"/>
      <w:bookmarkStart w:id="21" w:name="_Toc4794"/>
      <w:bookmarkStart w:id="22" w:name="_Toc8211"/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>⑥常见问题</w:t>
      </w:r>
      <w:bookmarkEnd w:id="20"/>
      <w:bookmarkEnd w:id="21"/>
      <w:bookmarkEnd w:id="22"/>
    </w:p>
    <w:p w14:paraId="38CD3678">
      <w:pPr>
        <w:pStyle w:val="16"/>
        <w:widowControl w:val="0"/>
        <w:numPr>
          <w:ilvl w:val="0"/>
          <w:numId w:val="5"/>
        </w:numPr>
        <w:spacing w:line="480" w:lineRule="auto"/>
        <w:ind w:left="105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浏览器推荐</w:t>
      </w:r>
    </w:p>
    <w:p w14:paraId="566C36E0">
      <w:pPr>
        <w:pStyle w:val="16"/>
        <w:widowControl w:val="0"/>
        <w:numPr>
          <w:ilvl w:val="0"/>
          <w:numId w:val="0"/>
        </w:numPr>
        <w:spacing w:line="480" w:lineRule="auto"/>
        <w:ind w:left="840" w:leftChars="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建议使用兼容性好的浏览器，如谷歌浏览器、360极速浏览器、系统自带的Microsoft Edge浏览器等等。</w:t>
      </w:r>
    </w:p>
    <w:p w14:paraId="214DEFE3">
      <w:pPr>
        <w:pStyle w:val="16"/>
        <w:widowControl w:val="0"/>
        <w:numPr>
          <w:ilvl w:val="0"/>
          <w:numId w:val="5"/>
        </w:numPr>
        <w:spacing w:line="480" w:lineRule="auto"/>
        <w:ind w:left="105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单位授权个人账号后，个人账号登录后选择单位账户仍无法登录</w:t>
      </w:r>
    </w:p>
    <w:p w14:paraId="65C83780">
      <w:pPr>
        <w:pStyle w:val="16"/>
        <w:widowControl w:val="0"/>
        <w:numPr>
          <w:ilvl w:val="0"/>
          <w:numId w:val="0"/>
        </w:numPr>
        <w:spacing w:line="480" w:lineRule="auto"/>
        <w:ind w:left="840" w:leftChars="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可能是缓存导致的，需要清理浏览器的缓存或者新打开一个无痕窗口，无痕窗口通常在右上角的设置里，点开设置后，会出现下拉选项，点击“打开新的无痕式窗口”，重新登录访问系统。</w:t>
      </w:r>
    </w:p>
    <w:p w14:paraId="30F60580">
      <w:pPr>
        <w:pStyle w:val="16"/>
        <w:widowControl w:val="0"/>
        <w:numPr>
          <w:ilvl w:val="0"/>
          <w:numId w:val="0"/>
        </w:numPr>
        <w:spacing w:line="480" w:lineRule="auto"/>
        <w:ind w:left="840" w:leftChars="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4300220" cy="2693035"/>
            <wp:effectExtent l="0" t="0" r="12700" b="4445"/>
            <wp:docPr id="41" name="图片 22" descr="chrome_B9lKGFDH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 descr="chrome_B9lKGFDHg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60B4D"/>
    <w:p w14:paraId="785466C5">
      <w:pPr>
        <w:pStyle w:val="16"/>
        <w:numPr>
          <w:ilvl w:val="0"/>
          <w:numId w:val="0"/>
        </w:numPr>
        <w:spacing w:line="480" w:lineRule="auto"/>
        <w:outlineLvl w:val="1"/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</w:pPr>
      <w:bookmarkStart w:id="23" w:name="_Toc21612"/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>⑦账号密码找回</w:t>
      </w:r>
      <w:bookmarkEnd w:id="23"/>
    </w:p>
    <w:p w14:paraId="78741D52">
      <w:pPr>
        <w:numPr>
          <w:ilvl w:val="0"/>
          <w:numId w:val="6"/>
        </w:numPr>
      </w:pPr>
      <w:r>
        <w:rPr>
          <w:rFonts w:hint="eastAsia"/>
        </w:rPr>
        <w:t>账号找回参考：</w:t>
      </w:r>
    </w:p>
    <w:p w14:paraId="5A7DD36B">
      <w:pPr>
        <w:rPr>
          <w:rFonts w:hint="eastAsia" w:eastAsiaTheme="minorEastAsia"/>
          <w:lang w:eastAsia="zh-CN"/>
        </w:rPr>
      </w:pPr>
      <w:r>
        <w:t>https://ggfw.hrss.gd.gov.cn/isso/findLoginId.html?showIndex=2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962910"/>
            <wp:effectExtent l="0" t="0" r="5715" b="8890"/>
            <wp:docPr id="44" name="图片 44" descr="msedge_pXbxoyBL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msedge_pXbxoyBLX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9FE5E">
      <w:pPr>
        <w:numPr>
          <w:ilvl w:val="0"/>
          <w:numId w:val="6"/>
        </w:numPr>
      </w:pPr>
      <w:r>
        <w:rPr>
          <w:rFonts w:hint="eastAsia"/>
        </w:rPr>
        <w:t>密码找回参考：</w:t>
      </w:r>
    </w:p>
    <w:p w14:paraId="2E9616AE">
      <w:r>
        <w:t>https://ggfw.hrss.gd.gov.cn/isso/findPassword.html?showIndex=2</w:t>
      </w:r>
    </w:p>
    <w:p w14:paraId="28B6899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962910"/>
            <wp:effectExtent l="0" t="0" r="5715" b="8890"/>
            <wp:docPr id="43" name="图片 43" descr="msedge_oZjH43c8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msedge_oZjH43c8eK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A6B9"/>
    <w:p w14:paraId="22A67D55">
      <w:pPr>
        <w:pStyle w:val="3"/>
        <w:numPr>
          <w:ilvl w:val="0"/>
          <w:numId w:val="3"/>
        </w:numPr>
      </w:pPr>
      <w:bookmarkStart w:id="24" w:name="_Toc22374"/>
      <w:r>
        <w:rPr>
          <w:rFonts w:hint="eastAsia"/>
        </w:rPr>
        <w:t>年度报告填报</w:t>
      </w:r>
      <w:bookmarkEnd w:id="24"/>
    </w:p>
    <w:p w14:paraId="01D399C3">
      <w:r>
        <w:rPr>
          <w:rFonts w:hint="eastAsia"/>
        </w:rPr>
        <w:t>待成功登录系统后，点击左边菜单栏“年度报告”菜单，并点击“年度报告”菜单进入到年度报告填报页面。</w:t>
      </w:r>
    </w:p>
    <w:p w14:paraId="66398C0B">
      <w:r>
        <w:drawing>
          <wp:inline distT="0" distB="0" distL="114300" distR="114300">
            <wp:extent cx="5268595" cy="1885315"/>
            <wp:effectExtent l="0" t="0" r="444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DB489"/>
    <w:p w14:paraId="6649CB45"/>
    <w:p w14:paraId="30789CE0">
      <w:r>
        <w:rPr>
          <w:rFonts w:hint="eastAsia"/>
        </w:rPr>
        <w:t>进入到年度报告填报页面，如未填报，则点击“新增”按钮进行填报，如已填报并保存成功的，则可以点击列表中对应信息项“操作”中的“查看”，可以查看已保存成功的年度报告信息。</w:t>
      </w:r>
    </w:p>
    <w:p w14:paraId="5CCFABAD">
      <w:r>
        <w:drawing>
          <wp:inline distT="0" distB="0" distL="114300" distR="114300">
            <wp:extent cx="5267325" cy="1076325"/>
            <wp:effectExtent l="0" t="0" r="5715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2822E"/>
    <w:p w14:paraId="1F535F11"/>
    <w:p w14:paraId="46724086"/>
    <w:p w14:paraId="4EB34991">
      <w:r>
        <w:rPr>
          <w:rFonts w:hint="eastAsia"/>
        </w:rPr>
        <w:t>进入到年报详细页面，可先点击右上角的“内容说明”，查看年度报告内容信息项的参数解析。如下图：</w:t>
      </w:r>
    </w:p>
    <w:p w14:paraId="7F5EE714">
      <w:r>
        <w:drawing>
          <wp:inline distT="0" distB="0" distL="114300" distR="114300">
            <wp:extent cx="5267325" cy="471805"/>
            <wp:effectExtent l="0" t="0" r="571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93C30"/>
    <w:p w14:paraId="78E70998">
      <w:r>
        <w:drawing>
          <wp:inline distT="0" distB="0" distL="114300" distR="114300">
            <wp:extent cx="5267325" cy="2521585"/>
            <wp:effectExtent l="0" t="0" r="5715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EA370"/>
    <w:p w14:paraId="51B56981">
      <w:r>
        <w:rPr>
          <w:rFonts w:hint="eastAsia"/>
        </w:rPr>
        <w:t>年度报告信息项中的年度、上级部门、机构基本信息等不用填写，系统根据机构基本信息获取数据进行显示。如下图：</w:t>
      </w:r>
    </w:p>
    <w:p w14:paraId="6316B4D1">
      <w:r>
        <w:drawing>
          <wp:inline distT="0" distB="0" distL="0" distR="0">
            <wp:extent cx="5274310" cy="2522855"/>
            <wp:effectExtent l="0" t="0" r="2540" b="0"/>
            <wp:docPr id="47" name="图片 47" descr="E:\Program Files\ShareX绿色版 12.3.1\ShareX绿色版 12.3.1\ShareX\Screenshots\2023-12\msedge_KWJBJ5pf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:\Program Files\ShareX绿色版 12.3.1\ShareX绿色版 12.3.1\ShareX\Screenshots\2023-12\msedge_KWJBJ5pfB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0C683"/>
    <w:p w14:paraId="3A8728F3">
      <w:r>
        <w:rPr>
          <w:rFonts w:hint="eastAsia"/>
        </w:rPr>
        <w:t>以下信息项需要填写完整具体信息，并需要注意按顺序填写。</w:t>
      </w:r>
    </w:p>
    <w:p w14:paraId="75DBBFA5">
      <w:pPr>
        <w:rPr>
          <w:b/>
          <w:bCs/>
        </w:rPr>
      </w:pPr>
      <w:r>
        <w:rPr>
          <w:rFonts w:hint="eastAsia"/>
          <w:b/>
          <w:bCs/>
        </w:rPr>
        <w:t>注意事项：</w:t>
      </w:r>
    </w:p>
    <w:p w14:paraId="3EE8D267">
      <w:pPr>
        <w:numPr>
          <w:ilvl w:val="0"/>
          <w:numId w:val="7"/>
        </w:num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对应信息项的数值单位，如人、家、万元等。</w:t>
      </w:r>
    </w:p>
    <w:p w14:paraId="2A1500A2">
      <w:pPr>
        <w:numPr>
          <w:ilvl w:val="0"/>
          <w:numId w:val="7"/>
        </w:num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关注内容说明中的指标解析，填写正确信息。</w:t>
      </w:r>
    </w:p>
    <w:p w14:paraId="1F26D721">
      <w:pPr>
        <w:numPr>
          <w:ilvl w:val="0"/>
          <w:numId w:val="7"/>
        </w:num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注意部分信息项中的逻辑关系，填写要求。</w:t>
      </w:r>
    </w:p>
    <w:p w14:paraId="420CC801">
      <w:pPr>
        <w:numPr>
          <w:ilvl w:val="0"/>
          <w:numId w:val="7"/>
        </w:num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注意对应信息项是否只能填整数，数值单位如：人、家等，如果数值单位为万元等，则可以为整数或带小数。</w:t>
      </w:r>
    </w:p>
    <w:p w14:paraId="2DB4566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863215"/>
            <wp:effectExtent l="0" t="0" r="2540" b="6985"/>
            <wp:docPr id="50" name="图片 50" descr="msedge_d4ObMcE90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sedge_d4ObMcE90j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D9CAB">
      <w:r>
        <w:drawing>
          <wp:inline distT="0" distB="0" distL="114300" distR="114300">
            <wp:extent cx="5264785" cy="2573020"/>
            <wp:effectExtent l="0" t="0" r="8255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9E7A3">
      <w:r>
        <w:drawing>
          <wp:inline distT="0" distB="0" distL="114300" distR="114300">
            <wp:extent cx="5262245" cy="1777365"/>
            <wp:effectExtent l="0" t="0" r="1079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60AC2">
      <w:r>
        <w:drawing>
          <wp:inline distT="0" distB="0" distL="114300" distR="114300">
            <wp:extent cx="5271770" cy="1764665"/>
            <wp:effectExtent l="0" t="0" r="127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34401"/>
    <w:p w14:paraId="0B2F9334">
      <w:r>
        <w:drawing>
          <wp:inline distT="0" distB="0" distL="114300" distR="114300">
            <wp:extent cx="5273040" cy="2714625"/>
            <wp:effectExtent l="0" t="0" r="0" b="133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EC3D8">
      <w:r>
        <w:drawing>
          <wp:inline distT="0" distB="0" distL="114300" distR="114300">
            <wp:extent cx="5264785" cy="1233805"/>
            <wp:effectExtent l="0" t="0" r="825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02C12">
      <w:pPr>
        <w:pStyle w:val="3"/>
        <w:numPr>
          <w:ilvl w:val="0"/>
          <w:numId w:val="3"/>
        </w:numPr>
      </w:pPr>
      <w:bookmarkStart w:id="25" w:name="_Toc19030"/>
      <w:r>
        <w:rPr>
          <w:rFonts w:hint="eastAsia"/>
        </w:rPr>
        <w:t>保存与提交</w:t>
      </w:r>
      <w:bookmarkEnd w:id="25"/>
    </w:p>
    <w:p w14:paraId="49E1B161">
      <w:r>
        <w:rPr>
          <w:rFonts w:hint="eastAsia"/>
        </w:rPr>
        <w:t>当填写完整年度报告所需信息项，并检查无误后可以点击右上角“保存”按钮保存填写的数据信息项，若保存时有相应提示信息框出现，则根据提示信息框内容检查对应信息项内容是否填写正确，并更正，当提示保存成功时则为保存成功。</w:t>
      </w:r>
    </w:p>
    <w:p w14:paraId="2ACDF486">
      <w:r>
        <w:rPr>
          <w:rFonts w:hint="eastAsia"/>
        </w:rPr>
        <w:t>如下提示框：则需要填写对应信息项内容才可以保存信息。</w:t>
      </w:r>
    </w:p>
    <w:p w14:paraId="1C2BD9E4">
      <w:r>
        <w:drawing>
          <wp:inline distT="0" distB="0" distL="114300" distR="114300">
            <wp:extent cx="5267960" cy="2328545"/>
            <wp:effectExtent l="0" t="0" r="508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7B1DC"/>
    <w:p w14:paraId="470FEF14">
      <w:r>
        <w:rPr>
          <w:rFonts w:hint="eastAsia"/>
        </w:rPr>
        <w:t>当提示“保存成功”时，才是成功保存信息。</w:t>
      </w:r>
    </w:p>
    <w:p w14:paraId="1206F4EB">
      <w:r>
        <w:drawing>
          <wp:inline distT="0" distB="0" distL="114300" distR="114300">
            <wp:extent cx="5265420" cy="2447925"/>
            <wp:effectExtent l="0" t="0" r="762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0D3F4"/>
    <w:p w14:paraId="77988848">
      <w:r>
        <w:rPr>
          <w:rFonts w:hint="eastAsia"/>
        </w:rPr>
        <w:t>查询保存成功后的信息，如下图在年度报告列表中可以查询显示对应的年度数据信息。</w:t>
      </w:r>
    </w:p>
    <w:p w14:paraId="1ECE1D71">
      <w:r>
        <w:drawing>
          <wp:inline distT="0" distB="0" distL="114300" distR="114300">
            <wp:extent cx="5262245" cy="908685"/>
            <wp:effectExtent l="0" t="0" r="10795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29359"/>
    <w:p w14:paraId="60C627FA"/>
    <w:p w14:paraId="450C1E08">
      <w:r>
        <w:rPr>
          <w:rFonts w:hint="eastAsia"/>
        </w:rPr>
        <w:t>当信息项都填写完毕并检查无误后，可以点击右上角“提交到区审核”（上级部门如为市级的，则为提交到市级审核），提交上报填写的年度报告数据信息，提示如下图所示则为成功提交数据信息。提交上报成功后不能修改数据信息</w:t>
      </w:r>
    </w:p>
    <w:p w14:paraId="4C8AEA87">
      <w:r>
        <w:drawing>
          <wp:inline distT="0" distB="0" distL="114300" distR="114300">
            <wp:extent cx="5273675" cy="2402205"/>
            <wp:effectExtent l="0" t="0" r="14605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09761"/>
    <w:p w14:paraId="2605A5CC">
      <w:r>
        <w:rPr>
          <w:rFonts w:hint="eastAsia"/>
        </w:rPr>
        <w:t>此时查看上报成功后的信息，可按下图步骤操作查询。</w:t>
      </w:r>
    </w:p>
    <w:p w14:paraId="0E4C456A">
      <w:r>
        <w:drawing>
          <wp:inline distT="0" distB="0" distL="114300" distR="114300">
            <wp:extent cx="5267960" cy="1268095"/>
            <wp:effectExtent l="0" t="0" r="5080" b="1206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855CB">
      <w:pPr>
        <w:pStyle w:val="3"/>
        <w:numPr>
          <w:ilvl w:val="0"/>
          <w:numId w:val="3"/>
        </w:numPr>
      </w:pPr>
      <w:bookmarkStart w:id="26" w:name="_Toc10783"/>
      <w:r>
        <w:rPr>
          <w:rFonts w:hint="eastAsia"/>
        </w:rPr>
        <w:t>退回修改</w:t>
      </w:r>
      <w:bookmarkEnd w:id="26"/>
    </w:p>
    <w:p w14:paraId="3D16922D">
      <w:r>
        <w:rPr>
          <w:rFonts w:hint="eastAsia"/>
        </w:rPr>
        <w:t>如果人社部门退回提交的业务时，则可以在年度报告列表中查看到对应信息，并点击对应信息项右侧“查看”进入到详细页面，在顶部“审核信息”中查看到审核结果，此处则为退回的原因。如下图所示：</w:t>
      </w:r>
    </w:p>
    <w:p w14:paraId="22E79A52">
      <w:r>
        <w:drawing>
          <wp:inline distT="0" distB="0" distL="114300" distR="114300">
            <wp:extent cx="5267960" cy="972185"/>
            <wp:effectExtent l="0" t="0" r="508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E1614"/>
    <w:p w14:paraId="6D1BA789">
      <w:r>
        <w:drawing>
          <wp:inline distT="0" distB="0" distL="114300" distR="114300">
            <wp:extent cx="5271135" cy="645160"/>
            <wp:effectExtent l="0" t="0" r="1905" b="1016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C2DCF"/>
    <w:p w14:paraId="0DE03705">
      <w:pPr>
        <w:pStyle w:val="2"/>
        <w:numPr>
          <w:ilvl w:val="0"/>
          <w:numId w:val="1"/>
        </w:numPr>
      </w:pPr>
      <w:bookmarkStart w:id="27" w:name="_Toc7275"/>
      <w:r>
        <w:rPr>
          <w:rFonts w:hint="eastAsia"/>
        </w:rPr>
        <w:t>技术咨询</w:t>
      </w:r>
      <w:bookmarkEnd w:id="27"/>
    </w:p>
    <w:p w14:paraId="20B79E4C">
      <w:pPr>
        <w:widowControl/>
        <w:jc w:val="left"/>
        <w:rPr>
          <w:rFonts w:hint="default" w:asciiTheme="minorEastAsia" w:hAnsiTheme="minorEastAsia" w:eastAsiaTheme="minorEastAsia" w:cstheme="minorEastAsia"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lang w:bidi="ar"/>
        </w:rPr>
        <w:t>系统使用遇到问题，请联系：陈工 020-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lang w:val="en-US" w:eastAsia="zh-CN" w:bidi="ar"/>
        </w:rPr>
        <w:t>33976873</w:t>
      </w:r>
    </w:p>
    <w:p w14:paraId="2B8D8B91"/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16FA85"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9ACF6A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SBpj0tAgAAVw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m/epu2FqwfgUiNHJNE9Nlqh2Tc9s73J&#10;zyDmTNcb3vJNheRb5sMDc2gGPBjjEu6xFNIgiektSkrjvv7rPMajRvBSUqO5MqoxS5TIDxq1A2AY&#10;DDcY+8HQR3Vn0K1jjKHlrYkLLsjBLJxRXzBDq5gDLqY5MmU0DOZd6BocM8jFatUGodssC1u9szxC&#10;R/G8XR0DBGx1jaJ0SvRaod/ayvSzERv6z30b9fQ/WD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BSBpj0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F9ACF6A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2AEAA2"/>
    <w:multiLevelType w:val="singleLevel"/>
    <w:tmpl w:val="8E2AEAA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8E389F6A"/>
    <w:multiLevelType w:val="singleLevel"/>
    <w:tmpl w:val="8E389F6A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E8CE8345"/>
    <w:multiLevelType w:val="singleLevel"/>
    <w:tmpl w:val="E8CE8345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FCD3B09B"/>
    <w:multiLevelType w:val="singleLevel"/>
    <w:tmpl w:val="FCD3B09B"/>
    <w:lvl w:ilvl="0" w:tentative="0">
      <w:start w:val="1"/>
      <w:numFmt w:val="bullet"/>
      <w:lvlText w:val=""/>
      <w:lvlJc w:val="left"/>
      <w:pPr>
        <w:tabs>
          <w:tab w:val="left" w:pos="840"/>
        </w:tabs>
        <w:ind w:left="1050" w:hanging="420"/>
      </w:pPr>
      <w:rPr>
        <w:rFonts w:hint="default" w:ascii="Wingdings" w:hAnsi="Wingdings"/>
      </w:rPr>
    </w:lvl>
  </w:abstractNum>
  <w:abstractNum w:abstractNumId="4">
    <w:nsid w:val="4195E688"/>
    <w:multiLevelType w:val="singleLevel"/>
    <w:tmpl w:val="4195E688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5">
    <w:nsid w:val="54E85BA9"/>
    <w:multiLevelType w:val="singleLevel"/>
    <w:tmpl w:val="54E85B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70E25DF2"/>
    <w:multiLevelType w:val="multilevel"/>
    <w:tmpl w:val="70E25DF2"/>
    <w:lvl w:ilvl="0" w:tentative="0">
      <w:start w:val="1"/>
      <w:numFmt w:val="bullet"/>
      <w:lvlText w:val=""/>
      <w:lvlJc w:val="left"/>
      <w:pPr>
        <w:ind w:left="15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57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99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41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183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25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67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09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510" w:hanging="420"/>
      </w:pPr>
      <w:rPr>
        <w:rFonts w:hint="default" w:ascii="Wingdings" w:hAnsi="Wingdings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xZTQ1NjljYjk4YjQxMDliZjlmMmNjMTJlYjZkY2IifQ=="/>
  </w:docVars>
  <w:rsids>
    <w:rsidRoot w:val="6B940AC6"/>
    <w:rsid w:val="003810FF"/>
    <w:rsid w:val="00490990"/>
    <w:rsid w:val="00557CF8"/>
    <w:rsid w:val="0060389F"/>
    <w:rsid w:val="009A27A9"/>
    <w:rsid w:val="009E4CEC"/>
    <w:rsid w:val="00C8558B"/>
    <w:rsid w:val="00CA454A"/>
    <w:rsid w:val="00EF0EB9"/>
    <w:rsid w:val="00FD432A"/>
    <w:rsid w:val="06FA2BAB"/>
    <w:rsid w:val="10EE11C5"/>
    <w:rsid w:val="11227FAD"/>
    <w:rsid w:val="174277A3"/>
    <w:rsid w:val="18E15BC5"/>
    <w:rsid w:val="295718E0"/>
    <w:rsid w:val="32543E01"/>
    <w:rsid w:val="37E03852"/>
    <w:rsid w:val="43C81360"/>
    <w:rsid w:val="44650584"/>
    <w:rsid w:val="4D133459"/>
    <w:rsid w:val="590D57DD"/>
    <w:rsid w:val="5E1656EE"/>
    <w:rsid w:val="5F9235E9"/>
    <w:rsid w:val="610004E2"/>
    <w:rsid w:val="6B940AC6"/>
    <w:rsid w:val="6DBF27BC"/>
    <w:rsid w:val="72F45119"/>
    <w:rsid w:val="757C3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customStyle="1" w:styleId="1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5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1423</Words>
  <Characters>1804</Characters>
  <Lines>19</Lines>
  <Paragraphs>5</Paragraphs>
  <TotalTime>4</TotalTime>
  <ScaleCrop>false</ScaleCrop>
  <LinksUpToDate>false</LinksUpToDate>
  <CharactersWithSpaces>1862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2022-12-30T06:22:00Z</dcterms:created>
  <dc:creator>JBin</dc:creator>
  <cp:lastModifiedBy>Wt.</cp:lastModifiedBy>
  <dcterms:modified xsi:type="dcterms:W3CDTF">2024-12-24T01:47:32Z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206BF6E7160E482B85FB4A5B44B50487</vt:lpwstr>
  </property>
</Properties>
</file>