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594"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Bdr/>
        <w:spacing w:line="594"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广州市市场监督管理局电灭蚊器具产品质量监督抽查实施细则</w:t>
      </w:r>
      <w:r>
        <w:rPr>
          <w:rFonts w:hint="eastAsia" w:ascii="方正小标宋简体" w:hAnsi="方正小标宋简体" w:eastAsia="方正小标宋简体" w:cs="方正小标宋简体"/>
          <w:sz w:val="44"/>
          <w:szCs w:val="44"/>
        </w:rPr>
      </w:r>
    </w:p>
    <w:p>
      <w:pPr>
        <w:pBdr/>
        <w:spacing w:line="594"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（2024年4月修订版）</w:t>
      </w:r>
      <w:r>
        <w:rPr>
          <w:rFonts w:hint="eastAsia" w:ascii="方正小标宋简体" w:hAnsi="方正小标宋简体" w:eastAsia="方正小标宋简体" w:cs="方正小标宋简体"/>
          <w:sz w:val="44"/>
          <w:szCs w:val="44"/>
        </w:rPr>
      </w:r>
    </w:p>
    <w:p>
      <w:pPr>
        <w:pBdr/>
        <w:spacing w:line="360" w:lineRule="auto"/>
        <w:ind/>
        <w:rPr>
          <w:rFonts w:ascii="Times New Roman" w:hAnsi="Times New Roman" w:eastAsia="黑体" w:cs="Times New Roman"/>
          <w:szCs w:val="21"/>
        </w:rPr>
      </w:pPr>
      <w:r>
        <w:rPr>
          <w:rFonts w:ascii="Times New Roman" w:hAnsi="Times New Roman" w:eastAsia="黑体" w:cs="Times New Roman"/>
          <w:szCs w:val="21"/>
        </w:rPr>
      </w:r>
      <w:r>
        <w:rPr>
          <w:rFonts w:ascii="Times New Roman" w:hAnsi="Times New Roman" w:eastAsia="黑体" w:cs="Times New Roman"/>
          <w:szCs w:val="21"/>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color w:val="000000"/>
          <w:sz w:val="32"/>
          <w:szCs w:val="32"/>
          <w:lang w:val="en-US" w:eastAsia="zh-CN"/>
        </w:rPr>
        <w:t xml:space="preserve">一、</w:t>
      </w:r>
      <w:r>
        <w:rPr>
          <w:rFonts w:hint="eastAsia" w:ascii="黑体" w:hAnsi="黑体" w:eastAsia="黑体" w:cs="黑体"/>
          <w:color w:val="000000"/>
          <w:sz w:val="32"/>
          <w:szCs w:val="32"/>
        </w:rPr>
        <w:t xml:space="preserve">抽样方法</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在企业的待销产品中随机抽取有产品质量检验合格证明或者以其他形式表明合格的、近期生产的产品。</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抽查样品基数应满足抽样数量要求。</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每批次产品抽取样品4台，其中3台作为检验样品，1台作为备用样品。</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ascii="Times New Roman" w:hAnsi="Times New Roman" w:eastAsia="黑体" w:cs="Times New Roman"/>
          <w:color w:val="000000"/>
          <w:szCs w:val="21"/>
        </w:rPr>
      </w:pPr>
      <w:r>
        <w:rPr>
          <w:rFonts w:hint="default" w:ascii="Times New Roman" w:hAnsi="Times New Roman" w:eastAsia="仿宋_GB2312" w:cs="Times New Roman"/>
          <w:sz w:val="32"/>
          <w:szCs w:val="32"/>
        </w:rPr>
        <w:t xml:space="preserve">随机数一般可使用随机数表、随机数骰子或扑克牌等方法产生。</w:t>
      </w:r>
      <w:r>
        <w:rPr>
          <w:rFonts w:ascii="Times New Roman" w:hAnsi="Times New Roman" w:eastAsia="黑体" w:cs="Times New Roman"/>
          <w:color w:val="000000"/>
          <w:szCs w:val="21"/>
        </w:rPr>
      </w:r>
    </w:p>
    <w:p>
      <w:pPr>
        <w:keepNext w:val="false"/>
        <w:keepLines w:val="false"/>
        <w:pageBreakBefore w:val="false"/>
        <w:widowControl w:val="false"/>
        <w:pBd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 xml:space="preserve">二、</w:t>
      </w:r>
      <w:r>
        <w:rPr>
          <w:rFonts w:ascii="Times New Roman" w:hAnsi="Times New Roman" w:eastAsia="黑体" w:cs="Times New Roman"/>
          <w:color w:val="000000"/>
          <w:sz w:val="32"/>
          <w:szCs w:val="32"/>
        </w:rPr>
        <w:t xml:space="preserve">检验依据</w:t>
      </w:r>
      <w:r>
        <w:rPr>
          <w:rFonts w:ascii="Times New Roman" w:hAnsi="Times New Roman" w:eastAsia="黑体" w:cs="Times New Roman"/>
          <w:color w:val="000000"/>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本次抽查检验项目和检验方法依据见表。</w:t>
      </w:r>
      <w:bookmarkStart w:id="0" w:name="_GoBack"/>
      <w:r/>
      <w:bookmarkEnd w:id="0"/>
      <w:r/>
      <w:r>
        <w:rPr>
          <w:rFonts w:hint="default" w:ascii="Times New Roman" w:hAnsi="Times New Roman" w:eastAsia="仿宋_GB2312" w:cs="Times New Roman"/>
          <w:sz w:val="32"/>
          <w:szCs w:val="32"/>
        </w:rPr>
      </w:r>
    </w:p>
    <w:p>
      <w:pPr>
        <w:keepNext w:val="false"/>
        <w:keepLines w:val="false"/>
        <w:pageBreakBefore w:val="false"/>
        <w:widowControl w:val="true"/>
        <w:pBdr/>
        <w:spacing w:line="560" w:lineRule="exact"/>
        <w:ind/>
        <w:jc w:val="center"/>
        <w:rPr>
          <w:rFonts w:hint="eastAsia" w:cs="Times New Roman" w:asciiTheme="minorEastAsia" w:hAnsiTheme="minorEastAsia"/>
          <w:szCs w:val="21"/>
          <w:lang w:val="en-US" w:eastAsia="zh-CN"/>
        </w:rPr>
      </w:pPr>
      <w:r>
        <w:rPr>
          <w:rFonts w:hint="default" w:cs="Times New Roman" w:asciiTheme="minorEastAsia" w:hAnsiTheme="minorEastAsia"/>
          <w:szCs w:val="21"/>
        </w:rPr>
        <w:t xml:space="preserve">表</w:t>
      </w:r>
      <w:r>
        <w:rPr>
          <w:rFonts w:hint="eastAsia" w:cs="Times New Roman" w:asciiTheme="minorEastAsia" w:hAnsiTheme="minorEastAsia"/>
          <w:szCs w:val="21"/>
        </w:rPr>
        <w:t xml:space="preserve"> </w:t>
      </w:r>
      <w:r>
        <w:rPr>
          <w:rFonts w:hint="default" w:cs="Times New Roman" w:asciiTheme="minorEastAsia" w:hAnsiTheme="minorEastAsia"/>
          <w:szCs w:val="21"/>
        </w:rPr>
        <w:t xml:space="preserve">检验项目</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lang w:val="en-US" w:eastAsia="zh-CN"/>
        </w:rPr>
      </w:r>
    </w:p>
    <w:tbl>
      <w:tblPr>
        <w:tblStyle w:val="621"/>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758"/>
        <w:gridCol w:w="3969"/>
        <w:gridCol w:w="2213"/>
        <w:gridCol w:w="2228"/>
      </w:tblGrid>
      <w:tr>
        <w:trPr>
          <w:jc w:val="center"/>
          <w:trHeight w:val="409"/>
          <w:tblHeader/>
        </w:trPr>
        <w:tc>
          <w:tcPr>
            <w:tcBorders/>
            <w:tcW w:w="758" w:type="dxa"/>
            <w:vAlign w:val="center"/>
            <w:vMerge w:val="restart"/>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序号</w:t>
            </w:r>
            <w:r>
              <w:rPr>
                <w:rFonts w:cs="Times New Roman" w:asciiTheme="minorEastAsia" w:hAnsiTheme="minorEastAsia"/>
                <w:color w:val="000000"/>
                <w:szCs w:val="21"/>
              </w:rPr>
            </w:r>
          </w:p>
        </w:tc>
        <w:tc>
          <w:tcPr>
            <w:tcBorders/>
            <w:tcW w:w="3969" w:type="dxa"/>
            <w:vAlign w:val="center"/>
            <w:vMerge w:val="restart"/>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检验项目</w:t>
            </w:r>
            <w:r>
              <w:rPr>
                <w:rFonts w:cs="Times New Roman" w:asciiTheme="minorEastAsia" w:hAnsiTheme="minorEastAsia"/>
                <w:color w:val="000000"/>
                <w:szCs w:val="21"/>
              </w:rPr>
            </w:r>
          </w:p>
        </w:tc>
        <w:tc>
          <w:tcPr>
            <w:tcBorders/>
            <w:tcW w:w="2213" w:type="dxa"/>
            <w:vAlign w:val="center"/>
            <w:vMerge w:val="restart"/>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检验依据</w:t>
            </w:r>
            <w:r>
              <w:rPr>
                <w:rFonts w:cs="Times New Roman" w:asciiTheme="minorEastAsia" w:hAnsiTheme="minorEastAsia"/>
                <w:color w:val="000000"/>
                <w:szCs w:val="21"/>
              </w:rPr>
            </w:r>
          </w:p>
        </w:tc>
        <w:tc>
          <w:tcPr>
            <w:tcBorders/>
            <w:tcW w:w="2228" w:type="dxa"/>
            <w:vAlign w:val="center"/>
            <w:vMerge w:val="restart"/>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检验方法</w:t>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对触及带电部件的防护</w:t>
            </w:r>
            <w:r>
              <w:rPr>
                <w:rFonts w:cs="Times New Roman" w:asciiTheme="minorEastAsia" w:hAnsiTheme="minorEastAsia"/>
                <w:color w:val="000000"/>
                <w:szCs w:val="21"/>
              </w:rPr>
            </w:r>
          </w:p>
        </w:tc>
        <w:tc>
          <w:tcPr>
            <w:tcBorders/>
            <w:tcW w:w="2213" w:type="dxa"/>
            <w:vAlign w:val="center"/>
            <w:vMerge w:val="restart"/>
            <w:textDirection w:val="lrTb"/>
            <w:noWrap w:val="false"/>
          </w:tcPr>
          <w:p>
            <w:pPr>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4706.1—2005</w:t>
            </w:r>
            <w:r>
              <w:rPr>
                <w:rFonts w:cs="Times New Roman" w:asciiTheme="minorEastAsia" w:hAnsiTheme="minorEastAsia"/>
                <w:szCs w:val="21"/>
              </w:rPr>
            </w:r>
          </w:p>
          <w:p>
            <w:pPr>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4706.76—2008</w:t>
            </w:r>
            <w:r>
              <w:rPr>
                <w:rFonts w:cs="Times New Roman" w:asciiTheme="minorEastAsia" w:hAnsiTheme="minorEastAsia"/>
                <w:szCs w:val="21"/>
              </w:rPr>
            </w:r>
          </w:p>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GB 4706.81—2014</w:t>
            </w:r>
            <w:r>
              <w:rPr>
                <w:rFonts w:cs="Times New Roman" w:asciiTheme="minorEastAsia" w:hAnsiTheme="minorEastAsia"/>
                <w:color w:val="000000"/>
                <w:szCs w:val="21"/>
              </w:rPr>
            </w:r>
          </w:p>
        </w:tc>
        <w:tc>
          <w:tcPr>
            <w:tcBorders/>
            <w:tcW w:w="2228" w:type="dxa"/>
            <w:vAlign w:val="center"/>
            <w:vMerge w:val="restart"/>
            <w:textDirection w:val="lrTb"/>
            <w:noWrap w:val="false"/>
          </w:tcPr>
          <w:p>
            <w:pPr>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4706.1—2005</w:t>
            </w:r>
            <w:r>
              <w:rPr>
                <w:rFonts w:cs="Times New Roman" w:asciiTheme="minorEastAsia" w:hAnsiTheme="minorEastAsia"/>
                <w:szCs w:val="21"/>
              </w:rPr>
            </w:r>
          </w:p>
          <w:p>
            <w:pPr>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4706.76—2008</w:t>
            </w:r>
            <w:r>
              <w:rPr>
                <w:rFonts w:cs="Times New Roman" w:asciiTheme="minorEastAsia" w:hAnsiTheme="minorEastAsia"/>
                <w:szCs w:val="21"/>
              </w:rPr>
            </w:r>
          </w:p>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GB 4706.81—2014</w:t>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2</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输入功率和电流</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3</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发热</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4</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工作温度下的泄漏电流和电气强度</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5</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耐潮湿</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6</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泄漏电流和电气强度</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7</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非正常工作（不包括第19.11.4条的试验）</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8</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稳定性和机械危险</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9</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机械强度</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10</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结构（不包括第22.46条的试验）</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11</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内部布线（不包括第</w:t>
            </w:r>
            <w:r>
              <w:rPr>
                <w:rFonts w:hint="eastAsia" w:cs="Times New Roman" w:asciiTheme="minorEastAsia" w:hAnsiTheme="minorEastAsia"/>
                <w:szCs w:val="21"/>
              </w:rPr>
              <w:t xml:space="preserve">23.3</w:t>
            </w:r>
            <w:r>
              <w:rPr>
                <w:rFonts w:cs="Times New Roman" w:asciiTheme="minorEastAsia" w:hAnsiTheme="minorEastAsia"/>
                <w:szCs w:val="21"/>
              </w:rPr>
              <w:t xml:space="preserve">条的试验）</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12</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电源连接和外部软线</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13</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外部导线用接线端子</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14</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接地措施</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15</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螺钉和连接</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16</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电气间隙、爬电距离和固体绝缘</w:t>
            </w:r>
            <w:r>
              <w:rPr>
                <w:rFonts w:cs="Times New Roman" w:asciiTheme="minorEastAsia" w:hAnsiTheme="minorEastAsia"/>
                <w:color w:val="000000"/>
                <w:szCs w:val="21"/>
              </w:rPr>
            </w:r>
          </w:p>
        </w:tc>
        <w:tc>
          <w:tcPr>
            <w:tcBorders/>
            <w:tcW w:w="2213"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1</w:t>
            </w:r>
            <w:r>
              <w:rPr>
                <w:rFonts w:hint="eastAsia" w:cs="Times New Roman" w:asciiTheme="minorEastAsia" w:hAnsiTheme="minorEastAsia"/>
                <w:szCs w:val="21"/>
              </w:rPr>
              <w:t xml:space="preserve">7</w:t>
            </w:r>
            <w:r>
              <w:rPr>
                <w:rFonts w:cs="Times New Roman" w:asciiTheme="minorEastAsia" w:hAnsiTheme="minorEastAsia"/>
                <w:color w:val="000000"/>
                <w:szCs w:val="21"/>
              </w:rPr>
            </w:r>
          </w:p>
        </w:tc>
        <w:tc>
          <w:tcPr>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asciiTheme="minorEastAsia" w:hAnsiTheme="minorEastAsia"/>
                <w:szCs w:val="21"/>
              </w:rPr>
              <w:t xml:space="preserve">端子骚扰电压（连续骚扰）</w:t>
            </w:r>
            <w:r>
              <w:rPr>
                <w:rFonts w:cs="Times New Roman" w:asciiTheme="minorEastAsia" w:hAnsiTheme="minorEastAsia"/>
                <w:color w:val="000000"/>
                <w:szCs w:val="21"/>
              </w:rPr>
            </w:r>
          </w:p>
        </w:tc>
        <w:tc>
          <w:tcPr>
            <w:tcBorders/>
            <w:tcW w:w="2213" w:type="dxa"/>
            <w:vAlign w:val="center"/>
            <w:vMerge w:val="restart"/>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GB 4343.1—201</w:t>
            </w:r>
            <w:r>
              <w:rPr>
                <w:rFonts w:hint="eastAsia" w:cs="Times New Roman" w:asciiTheme="minorEastAsia" w:hAnsiTheme="minorEastAsia"/>
                <w:color w:val="000000"/>
                <w:szCs w:val="21"/>
              </w:rPr>
              <w:t xml:space="preserve">8</w:t>
            </w:r>
            <w:r>
              <w:rPr>
                <w:rFonts w:cs="Times New Roman" w:asciiTheme="minorEastAsia" w:hAnsiTheme="minorEastAsia"/>
                <w:color w:val="000000"/>
                <w:szCs w:val="21"/>
              </w:rPr>
            </w:r>
          </w:p>
        </w:tc>
        <w:tc>
          <w:tcPr>
            <w:tcBorders/>
            <w:tcW w:w="2228" w:type="dxa"/>
            <w:vAlign w:val="center"/>
            <w:vMerge w:val="restart"/>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GB 4343.1—2018</w:t>
            </w:r>
            <w:r>
              <w:rPr>
                <w:rFonts w:cs="Times New Roman" w:asciiTheme="minorEastAsia" w:hAnsiTheme="minorEastAsia"/>
                <w:color w:val="000000"/>
                <w:szCs w:val="21"/>
              </w:rPr>
            </w:r>
          </w:p>
        </w:tc>
      </w:tr>
      <w:tr>
        <w:trPr>
          <w:jc w:val="center"/>
          <w:trHeight w:val="238"/>
        </w:trPr>
        <w:tc>
          <w:tcPr>
            <w:shd w:val="clear" w:color="auto" w:fill="auto"/>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hint="eastAsia" w:cs="Times New Roman" w:asciiTheme="minorEastAsia" w:hAnsiTheme="minorEastAsia"/>
                <w:szCs w:val="21"/>
              </w:rPr>
              <w:t xml:space="preserve">18</w:t>
            </w:r>
            <w:r>
              <w:rPr>
                <w:rFonts w:cs="Times New Roman" w:asciiTheme="minorEastAsia" w:hAnsiTheme="minorEastAsia"/>
                <w:color w:val="000000"/>
                <w:szCs w:val="21"/>
              </w:rPr>
            </w:r>
          </w:p>
        </w:tc>
        <w:tc>
          <w:tcPr>
            <w:shd w:val="clear" w:color="auto" w:fill="auto"/>
            <w:tcBorders/>
            <w:tcW w:w="3969"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骚扰功率、辐射骚扰</w:t>
            </w:r>
            <w:r>
              <w:rPr>
                <w:rFonts w:cs="Times New Roman" w:asciiTheme="minorEastAsia" w:hAnsiTheme="minorEastAsia"/>
                <w:color w:val="000000"/>
                <w:szCs w:val="21"/>
              </w:rPr>
            </w:r>
          </w:p>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t xml:space="preserve">（或骚扰功率）</w:t>
            </w:r>
            <w:r>
              <w:rPr>
                <w:rFonts w:cs="Times New Roman" w:asciiTheme="minorEastAsia" w:hAnsiTheme="minorEastAsia"/>
                <w:color w:val="000000"/>
                <w:szCs w:val="21"/>
              </w:rPr>
            </w:r>
          </w:p>
        </w:tc>
        <w:tc>
          <w:tcPr>
            <w:tcBorders/>
            <w:tcW w:w="2213" w:type="dxa"/>
            <w:vAlign w:val="center"/>
            <w:vMerge w:val="continue"/>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c>
          <w:tcPr>
            <w:tcBorders/>
            <w:tcW w:w="2228" w:type="dxa"/>
            <w:vAlign w:val="center"/>
            <w:vMerge w:val="continue"/>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tc>
      </w:tr>
      <w:tr>
        <w:trPr>
          <w:jc w:val="center"/>
          <w:trHeight w:val="238"/>
        </w:trPr>
        <w:tc>
          <w:tcPr>
            <w:shd w:val="clear" w:color="auto" w:fill="auto"/>
            <w:tcBorders/>
            <w:tcW w:w="758" w:type="dxa"/>
            <w:vAlign w:val="center"/>
            <w:textDirection w:val="lrTb"/>
            <w:noWrap w:val="false"/>
          </w:tcPr>
          <w:p>
            <w:pPr>
              <w:pBdr/>
              <w:spacing w:line="360" w:lineRule="auto"/>
              <w:ind/>
              <w:jc w:val="center"/>
              <w:rPr>
                <w:rFonts w:cs="Times New Roman" w:asciiTheme="minorEastAsia" w:hAnsiTheme="minorEastAsia"/>
                <w:color w:val="000000"/>
                <w:szCs w:val="21"/>
              </w:rPr>
            </w:pPr>
            <w:r>
              <w:rPr>
                <w:rFonts w:hint="eastAsia" w:cs="Times New Roman" w:asciiTheme="minorEastAsia" w:hAnsiTheme="minorEastAsia"/>
                <w:szCs w:val="21"/>
              </w:rPr>
              <w:t xml:space="preserve">19</w:t>
            </w:r>
            <w:r>
              <w:rPr>
                <w:rFonts w:cs="Times New Roman" w:asciiTheme="minorEastAsia" w:hAnsiTheme="minorEastAsia"/>
                <w:color w:val="000000"/>
                <w:szCs w:val="21"/>
              </w:rPr>
            </w:r>
          </w:p>
        </w:tc>
        <w:tc>
          <w:tcPr>
            <w:shd w:val="clear" w:color="auto" w:fill="auto"/>
            <w:tcBorders/>
            <w:tcW w:w="3969" w:type="dxa"/>
            <w:vAlign w:val="center"/>
            <w:textDirection w:val="lrTb"/>
            <w:noWrap w:val="false"/>
          </w:tcPr>
          <w:p>
            <w:pPr>
              <w:widowControl w:val="true"/>
              <w:pBdr/>
              <w:spacing w:line="360" w:lineRule="auto"/>
              <w:ind/>
              <w:jc w:val="center"/>
              <w:rPr>
                <w:rFonts w:cs="Times New Roman" w:asciiTheme="minorEastAsia" w:hAnsiTheme="minorEastAsia"/>
                <w:color w:val="000000"/>
                <w:szCs w:val="21"/>
              </w:rPr>
            </w:pPr>
            <w:r>
              <w:rPr>
                <w:rFonts w:cs="Times New Roman" w:asciiTheme="minorEastAsia" w:hAnsiTheme="minorEastAsia"/>
                <w:szCs w:val="21"/>
              </w:rPr>
              <w:t xml:space="preserve">谐波电流</w:t>
            </w:r>
            <w:r>
              <w:rPr>
                <w:rFonts w:cs="Times New Roman" w:asciiTheme="minorEastAsia" w:hAnsiTheme="minorEastAsia"/>
                <w:color w:val="000000"/>
                <w:szCs w:val="21"/>
              </w:rPr>
            </w:r>
          </w:p>
        </w:tc>
        <w:tc>
          <w:tcPr>
            <w:tcBorders/>
            <w:tcW w:w="2213" w:type="dxa"/>
            <w:vAlign w:val="center"/>
            <w:textDirection w:val="lrTb"/>
            <w:noWrap w:val="false"/>
          </w:tcPr>
          <w:p>
            <w:pPr>
              <w:widowControl w:val="true"/>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17625.1—2012</w:t>
            </w:r>
            <w:r>
              <w:rPr>
                <w:rFonts w:cs="Times New Roman" w:asciiTheme="minorEastAsia" w:hAnsiTheme="minorEastAsia"/>
                <w:szCs w:val="21"/>
              </w:rPr>
            </w:r>
          </w:p>
          <w:p>
            <w:pPr>
              <w:widowControl w:val="true"/>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17625.1—20</w:t>
            </w:r>
            <w:r>
              <w:rPr>
                <w:rFonts w:hint="eastAsia" w:cs="Times New Roman" w:asciiTheme="minorEastAsia" w:hAnsiTheme="minorEastAsia"/>
                <w:szCs w:val="21"/>
              </w:rPr>
              <w:t xml:space="preserve">2</w:t>
            </w:r>
            <w:r>
              <w:rPr>
                <w:rFonts w:cs="Times New Roman" w:asciiTheme="minorEastAsia" w:hAnsiTheme="minorEastAsia"/>
                <w:szCs w:val="21"/>
              </w:rPr>
              <w:t xml:space="preserve">2</w:t>
            </w:r>
            <w:r>
              <w:rPr>
                <w:rFonts w:cs="Times New Roman" w:asciiTheme="minorEastAsia" w:hAnsiTheme="minorEastAsia"/>
                <w:szCs w:val="21"/>
              </w:rPr>
            </w:r>
          </w:p>
        </w:tc>
        <w:tc>
          <w:tcPr>
            <w:tcBorders/>
            <w:tcW w:w="2228" w:type="dxa"/>
            <w:vAlign w:val="center"/>
            <w:textDirection w:val="lrTb"/>
            <w:noWrap w:val="false"/>
          </w:tcPr>
          <w:p>
            <w:pPr>
              <w:widowControl w:val="true"/>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17625.1—2012</w:t>
            </w:r>
            <w:r>
              <w:rPr>
                <w:rFonts w:cs="Times New Roman" w:asciiTheme="minorEastAsia" w:hAnsiTheme="minorEastAsia"/>
                <w:szCs w:val="21"/>
              </w:rPr>
            </w:r>
          </w:p>
          <w:p>
            <w:pPr>
              <w:widowControl w:val="true"/>
              <w:pBdr/>
              <w:spacing w:line="360" w:lineRule="auto"/>
              <w:ind/>
              <w:jc w:val="center"/>
              <w:rPr>
                <w:rFonts w:cs="Times New Roman" w:asciiTheme="minorEastAsia" w:hAnsiTheme="minorEastAsia"/>
                <w:szCs w:val="21"/>
              </w:rPr>
            </w:pPr>
            <w:r>
              <w:rPr>
                <w:rFonts w:cs="Times New Roman" w:asciiTheme="minorEastAsia" w:hAnsiTheme="minorEastAsia"/>
                <w:szCs w:val="21"/>
              </w:rPr>
              <w:t xml:space="preserve">GB 17625.1—20</w:t>
            </w:r>
            <w:r>
              <w:rPr>
                <w:rFonts w:hint="eastAsia" w:cs="Times New Roman" w:asciiTheme="minorEastAsia" w:hAnsiTheme="minorEastAsia"/>
                <w:szCs w:val="21"/>
              </w:rPr>
              <w:t xml:space="preserve">2</w:t>
            </w:r>
            <w:r>
              <w:rPr>
                <w:rFonts w:cs="Times New Roman" w:asciiTheme="minorEastAsia" w:hAnsiTheme="minorEastAsia"/>
                <w:szCs w:val="21"/>
              </w:rPr>
              <w:t xml:space="preserve">2</w:t>
            </w:r>
            <w:r>
              <w:rPr>
                <w:rFonts w:cs="Times New Roman" w:asciiTheme="minorEastAsia" w:hAnsiTheme="minorEastAsia"/>
                <w:szCs w:val="21"/>
              </w:rPr>
            </w:r>
          </w:p>
        </w:tc>
      </w:tr>
    </w:tbl>
    <w:p>
      <w:pPr>
        <w:pBdr/>
        <w:spacing w:line="360" w:lineRule="auto"/>
        <w:ind w:firstLine="420"/>
        <w:rPr>
          <w:rFonts w:cs="Times New Roman" w:asciiTheme="minorEastAsia" w:hAnsiTheme="minorEastAsia"/>
          <w:color w:val="000000"/>
          <w:szCs w:val="21"/>
        </w:rPr>
      </w:pPr>
      <w:r>
        <w:rPr>
          <w:rFonts w:cs="Times New Roman" w:asciiTheme="minorEastAsia" w:hAnsiTheme="minorEastAsia"/>
          <w:color w:val="000000"/>
          <w:szCs w:val="21"/>
        </w:rPr>
      </w:r>
      <w:r>
        <w:rPr>
          <w:rFonts w:cs="Times New Roman" w:asciiTheme="minorEastAsia" w:hAnsiTheme="minorEastAsia"/>
          <w:color w:val="000000"/>
          <w:szCs w:val="21"/>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lang w:val="zh-TW" w:eastAsia="zh-TW"/>
        </w:rPr>
      </w:pPr>
      <w:r>
        <w:rPr>
          <w:rFonts w:hint="eastAsia" w:ascii="Times New Roman" w:hAnsi="Times New Roman" w:eastAsia="仿宋_GB2312" w:cs="Times New Roman"/>
          <w:sz w:val="32"/>
          <w:szCs w:val="32"/>
          <w:lang w:val="zh-TW" w:eastAsia="zh-TW"/>
        </w:rPr>
        <w:t xml:space="preserve">执行企业标准、团体标准、地方标准的产品，检验项目参照上述内容执行。</w:t>
      </w:r>
      <w:r>
        <w:rPr>
          <w:rFonts w:hint="default" w:ascii="Times New Roman" w:hAnsi="Times New Roman" w:eastAsia="仿宋_GB2312" w:cs="Times New Roman"/>
          <w:sz w:val="32"/>
          <w:szCs w:val="32"/>
          <w:lang w:val="zh-TW" w:eastAsia="zh-TW"/>
        </w:rPr>
      </w:r>
    </w:p>
    <w:p>
      <w:pPr>
        <w:keepNext w:val="false"/>
        <w:keepLines w:val="false"/>
        <w:pageBreakBefore w:val="false"/>
        <w:widowControl w:val="false"/>
        <w:pBdr/>
        <w:spacing w:line="560" w:lineRule="exact"/>
        <w:ind w:firstLine="640"/>
        <w:rPr>
          <w:rFonts w:ascii="Times New Roman" w:hAnsi="Times New Roman" w:cs="Times New Roman"/>
          <w:color w:val="000000"/>
          <w:szCs w:val="21"/>
        </w:rPr>
      </w:pPr>
      <w:r>
        <w:rPr>
          <w:rFonts w:hint="default" w:ascii="Times New Roman" w:hAnsi="Times New Roman" w:eastAsia="仿宋_GB2312" w:cs="Times New Roman"/>
          <w:sz w:val="32"/>
          <w:szCs w:val="32"/>
        </w:rPr>
        <w:t xml:space="preserve">凡是注日期的文件，其随后所有的修改单（不包括勘误的内容）或修订版不适用于本细则。凡是不注日期的文件，其最新版本适用于本细则。</w:t>
      </w:r>
      <w:r>
        <w:rPr>
          <w:rFonts w:ascii="Times New Roman" w:hAnsi="Times New Roman" w:cs="Times New Roman"/>
          <w:color w:val="000000"/>
          <w:szCs w:val="21"/>
        </w:rPr>
      </w:r>
    </w:p>
    <w:p>
      <w:pPr>
        <w:keepNext w:val="false"/>
        <w:keepLines w:val="false"/>
        <w:pageBreakBefore w:val="false"/>
        <w:widowControl w:val="false"/>
        <w:pBd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 xml:space="preserve">三、</w:t>
      </w:r>
      <w:r>
        <w:rPr>
          <w:rFonts w:ascii="Times New Roman" w:hAnsi="Times New Roman" w:eastAsia="黑体" w:cs="Times New Roman"/>
          <w:color w:val="000000"/>
          <w:sz w:val="32"/>
          <w:szCs w:val="32"/>
        </w:rPr>
        <w:t xml:space="preserve">判定规则</w:t>
      </w:r>
      <w:r>
        <w:rPr>
          <w:rFonts w:ascii="Times New Roman" w:hAnsi="Times New Roman" w:eastAsia="黑体" w:cs="Times New Roman"/>
          <w:color w:val="000000"/>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3.1依据标准</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4706.1—2005 </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家用和类似用途电器的安全  第1部分：通用要求</w:t>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4706.76—2008 家用和类似用途电器的安全 灭虫器的特殊要求</w:t>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4706.81—2014</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家用和类似用途电器的安全 挥发器的特殊要求</w:t>
      </w:r>
      <w:r>
        <w:rPr>
          <w:rFonts w:hint="default" w:ascii="Times New Roman" w:hAnsi="Times New Roman" w:eastAsia="仿宋_GB2312" w:cs="Times New Roman"/>
          <w:sz w:val="32"/>
          <w:szCs w:val="32"/>
        </w:rPr>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17625.1—2012</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电磁兼容 限值 谐波电流发射限值(设备每相输入电流≤16A)</w:t>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17625.1—20</w:t>
      </w:r>
      <w:r>
        <w:rPr>
          <w:rFonts w:hint="eastAsia" w:ascii="Times New Roman" w:hAnsi="Times New Roman" w:eastAsia="仿宋_GB2312" w:cs="Times New Roman"/>
          <w:sz w:val="32"/>
          <w:szCs w:val="32"/>
        </w:rPr>
        <w:t xml:space="preserve">22</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电磁兼容 限值 第</w:t>
      </w:r>
      <w:r>
        <w:rPr>
          <w:rFonts w:hint="eastAsia" w:ascii="Times New Roman" w:hAnsi="Times New Roman" w:eastAsia="仿宋_GB2312" w:cs="Times New Roman"/>
          <w:sz w:val="32"/>
          <w:szCs w:val="32"/>
        </w:rPr>
        <w:t xml:space="preserve">1部分：</w:t>
      </w:r>
      <w:r>
        <w:rPr>
          <w:rFonts w:hint="default" w:ascii="Times New Roman" w:hAnsi="Times New Roman" w:eastAsia="仿宋_GB2312" w:cs="Times New Roman"/>
          <w:sz w:val="32"/>
          <w:szCs w:val="32"/>
        </w:rPr>
        <w:t xml:space="preserve">谐波电流发射限值(设备每相输入电流≤16A)</w:t>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4343.1—20</w:t>
      </w:r>
      <w:r>
        <w:rPr>
          <w:rFonts w:hint="eastAsia" w:ascii="Times New Roman" w:hAnsi="Times New Roman" w:eastAsia="仿宋_GB2312" w:cs="Times New Roman"/>
          <w:sz w:val="32"/>
          <w:szCs w:val="32"/>
        </w:rPr>
        <w:t xml:space="preserve">18  </w:t>
      </w:r>
      <w:r>
        <w:rPr>
          <w:rFonts w:hint="default" w:ascii="Times New Roman" w:hAnsi="Times New Roman" w:eastAsia="仿宋_GB2312" w:cs="Times New Roman"/>
          <w:sz w:val="32"/>
          <w:szCs w:val="32"/>
        </w:rPr>
        <w:t xml:space="preserve">家用电器、电动工具和类似器具的电磁兼容要求 第1部分：发射</w:t>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现行有效的企业标准、团体标准、地方标准及产品明示质量要求</w:t>
      </w:r>
      <w:r>
        <w:rPr>
          <w:rFonts w:hint="eastAsia" w:ascii="Times New Roman" w:hAnsi="Times New Roman" w:eastAsia="仿宋_GB2312" w:cs="Times New Roman"/>
          <w:sz w:val="32"/>
          <w:szCs w:val="32"/>
          <w:lang w:eastAsia="zh-CN"/>
        </w:rPr>
        <w:t xml:space="preserve">。</w:t>
      </w:r>
      <w:r>
        <w:rPr>
          <w:rFonts w:hint="eastAsia" w:ascii="Times New Roman" w:hAnsi="Times New Roman" w:eastAsia="仿宋_GB2312" w:cs="Times New Roman"/>
          <w:sz w:val="32"/>
          <w:szCs w:val="32"/>
          <w:lang w:eastAsia="zh-CN"/>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3.2判定原则</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经检验，检验项目全部合格，判定为被抽查产品所检项目未发现不合格；检验项目中任一项或一项以上不合格，判定为被抽查产品不合格。</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若被检产品明示的质量要求高于本细则中检验项目依据的标准要求时，应按被检产品明示的质量要求判定。</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若被检产品明示的质量要求低于本细则中检验项目依据的强制性标准要求时，应按照强制性标准要求判定。</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若被检产品明示的质量要求低于或包含本细则中检验项目依据的推荐性标准要求时，应以被检产品明示的质量要求判定。</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若被检产品明示的质量要求缺少本细则中检验项目依据的强制性标准要求时，应按照强制性标准要求判定。</w:t>
      </w:r>
      <w:r>
        <w:rPr>
          <w:rFonts w:hint="default" w:ascii="Times New Roman" w:hAnsi="Times New Roman" w:eastAsia="仿宋_GB2312" w:cs="Times New Roman"/>
          <w:sz w:val="32"/>
          <w:szCs w:val="32"/>
        </w:rPr>
      </w:r>
    </w:p>
    <w:p>
      <w:pPr>
        <w:keepNext w:val="false"/>
        <w:keepLines w:val="false"/>
        <w:pageBreakBefore w:val="false"/>
        <w:widowControl w:val="false"/>
        <w:pBdr/>
        <w:spacing w:line="560" w:lineRule="exact"/>
        <w:ind w:firstLine="640"/>
        <w:rPr>
          <w:szCs w:val="21"/>
        </w:rPr>
      </w:pPr>
      <w:r>
        <w:rPr>
          <w:rFonts w:hint="eastAsia" w:ascii="Times New Roman" w:hAnsi="Times New Roman" w:eastAsia="仿宋_GB2312" w:cs="Times New Roman"/>
          <w:sz w:val="32"/>
          <w:szCs w:val="32"/>
        </w:rPr>
        <w:t xml:space="preserve">若被检产品明示的质量要求缺少本细则中检验项目依据的推荐性标准要求时，该项目不参与判定。</w:t>
      </w:r>
      <w:r>
        <w:rPr>
          <w:szCs w:val="21"/>
        </w:rPr>
      </w:r>
    </w:p>
    <w:p>
      <w:pPr>
        <w:pBdr/>
        <w:spacing w:line="360" w:lineRule="auto"/>
        <w:ind/>
        <w:rPr>
          <w:rFonts w:ascii="Times New Roman" w:hAnsi="Times New Roman" w:eastAsia="宋体" w:cs="Times New Roman"/>
        </w:rPr>
      </w:pPr>
      <w:r>
        <w:rPr>
          <w:rFonts w:ascii="Times New Roman" w:hAnsi="Times New Roman" w:eastAsia="宋体" w:cs="Times New Roman"/>
        </w:rPr>
      </w:r>
      <w:r>
        <w:rPr>
          <w:rFonts w:ascii="Times New Roman" w:hAnsi="Times New Roman" w:eastAsia="宋体" w:cs="Times New Roman"/>
        </w:rPr>
      </w:r>
    </w:p>
    <w:sectPr>
      <w:footnotePr/>
      <w:endnotePr/>
      <w:type w:val="nextPage"/>
      <w:pgSz w:h="16838" w:orient="landscape" w:w="11906"/>
      <w:pgMar w:top="850" w:right="1134" w:bottom="850" w:left="1134"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仿宋_GB2312">
    <w:panose1 w:val="02010609030101010101"/>
  </w:font>
  <w:font w:name="方正小标宋简体">
    <w:panose1 w:val="03000509000000000000"/>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0"/>
    <w:link w:val="619"/>
    <w:uiPriority w:val="9"/>
    <w:pPr>
      <w:pBdr/>
      <w:spacing/>
      <w:ind/>
    </w:pPr>
    <w:rPr>
      <w:rFonts w:ascii="等线" w:hAnsi="等线" w:eastAsia="等线" w:cs="等线"/>
      <w:sz w:val="40"/>
      <w:szCs w:val="40"/>
    </w:rPr>
  </w:style>
  <w:style w:type="paragraph" w:styleId="15">
    <w:name w:val="Heading 2"/>
    <w:basedOn w:val="618"/>
    <w:next w:val="61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0"/>
    <w:link w:val="15"/>
    <w:uiPriority w:val="9"/>
    <w:pPr>
      <w:pBdr/>
      <w:spacing/>
      <w:ind/>
    </w:pPr>
    <w:rPr>
      <w:rFonts w:ascii="等线" w:hAnsi="等线" w:eastAsia="等线" w:cs="等线"/>
      <w:sz w:val="34"/>
    </w:rPr>
  </w:style>
  <w:style w:type="paragraph" w:styleId="17">
    <w:name w:val="Heading 3"/>
    <w:basedOn w:val="618"/>
    <w:next w:val="61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0"/>
    <w:link w:val="17"/>
    <w:uiPriority w:val="9"/>
    <w:pPr>
      <w:pBdr/>
      <w:spacing/>
      <w:ind/>
    </w:pPr>
    <w:rPr>
      <w:rFonts w:ascii="等线" w:hAnsi="等线" w:eastAsia="等线" w:cs="等线"/>
      <w:sz w:val="30"/>
      <w:szCs w:val="30"/>
    </w:rPr>
  </w:style>
  <w:style w:type="paragraph" w:styleId="19">
    <w:name w:val="Heading 4"/>
    <w:basedOn w:val="618"/>
    <w:next w:val="61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0"/>
    <w:link w:val="19"/>
    <w:uiPriority w:val="9"/>
    <w:pPr>
      <w:pBdr/>
      <w:spacing/>
      <w:ind/>
    </w:pPr>
    <w:rPr>
      <w:rFonts w:ascii="等线" w:hAnsi="等线" w:eastAsia="等线" w:cs="等线"/>
      <w:b/>
      <w:bCs/>
      <w:sz w:val="26"/>
      <w:szCs w:val="26"/>
    </w:rPr>
  </w:style>
  <w:style w:type="paragraph" w:styleId="21">
    <w:name w:val="Heading 5"/>
    <w:basedOn w:val="618"/>
    <w:next w:val="61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0"/>
    <w:link w:val="21"/>
    <w:uiPriority w:val="9"/>
    <w:pPr>
      <w:pBdr/>
      <w:spacing/>
      <w:ind/>
    </w:pPr>
    <w:rPr>
      <w:rFonts w:ascii="等线" w:hAnsi="等线" w:eastAsia="等线" w:cs="等线"/>
      <w:b/>
      <w:bCs/>
      <w:sz w:val="24"/>
      <w:szCs w:val="24"/>
    </w:rPr>
  </w:style>
  <w:style w:type="paragraph" w:styleId="23">
    <w:name w:val="Heading 6"/>
    <w:basedOn w:val="618"/>
    <w:next w:val="61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0"/>
    <w:link w:val="23"/>
    <w:uiPriority w:val="9"/>
    <w:pPr>
      <w:pBdr/>
      <w:spacing/>
      <w:ind/>
    </w:pPr>
    <w:rPr>
      <w:rFonts w:ascii="等线" w:hAnsi="等线" w:eastAsia="等线" w:cs="等线"/>
      <w:b/>
      <w:bCs/>
      <w:sz w:val="22"/>
      <w:szCs w:val="22"/>
    </w:rPr>
  </w:style>
  <w:style w:type="paragraph" w:styleId="25">
    <w:name w:val="Heading 7"/>
    <w:basedOn w:val="618"/>
    <w:next w:val="61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0"/>
    <w:link w:val="25"/>
    <w:uiPriority w:val="9"/>
    <w:pPr>
      <w:pBdr/>
      <w:spacing/>
      <w:ind/>
    </w:pPr>
    <w:rPr>
      <w:rFonts w:ascii="等线" w:hAnsi="等线" w:eastAsia="等线" w:cs="等线"/>
      <w:b/>
      <w:bCs/>
      <w:i/>
      <w:iCs/>
      <w:sz w:val="22"/>
      <w:szCs w:val="22"/>
    </w:rPr>
  </w:style>
  <w:style w:type="paragraph" w:styleId="27">
    <w:name w:val="Heading 8"/>
    <w:basedOn w:val="618"/>
    <w:next w:val="61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0"/>
    <w:link w:val="27"/>
    <w:uiPriority w:val="9"/>
    <w:pPr>
      <w:pBdr/>
      <w:spacing/>
      <w:ind/>
    </w:pPr>
    <w:rPr>
      <w:rFonts w:ascii="等线" w:hAnsi="等线" w:eastAsia="等线" w:cs="等线"/>
      <w:i/>
      <w:iCs/>
      <w:sz w:val="22"/>
      <w:szCs w:val="22"/>
    </w:rPr>
  </w:style>
  <w:style w:type="paragraph" w:styleId="29">
    <w:name w:val="Heading 9"/>
    <w:basedOn w:val="618"/>
    <w:next w:val="61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0"/>
    <w:link w:val="29"/>
    <w:uiPriority w:val="9"/>
    <w:pPr>
      <w:pBdr/>
      <w:spacing/>
      <w:ind/>
    </w:pPr>
    <w:rPr>
      <w:rFonts w:ascii="等线" w:hAnsi="等线" w:eastAsia="等线" w:cs="等线"/>
      <w:i/>
      <w:iCs/>
      <w:sz w:val="21"/>
      <w:szCs w:val="21"/>
    </w:rPr>
  </w:style>
  <w:style w:type="paragraph" w:styleId="31">
    <w:name w:val="List Paragraph"/>
    <w:basedOn w:val="61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8"/>
    <w:next w:val="618"/>
    <w:link w:val="35"/>
    <w:uiPriority w:val="10"/>
    <w:qFormat/>
    <w:pPr>
      <w:pBdr/>
      <w:spacing w:after="200" w:before="300"/>
      <w:ind/>
      <w:contextualSpacing w:val="true"/>
    </w:pPr>
    <w:rPr>
      <w:sz w:val="48"/>
      <w:szCs w:val="48"/>
    </w:rPr>
  </w:style>
  <w:style w:type="character" w:styleId="35">
    <w:name w:val="Title Char"/>
    <w:basedOn w:val="620"/>
    <w:link w:val="34"/>
    <w:uiPriority w:val="10"/>
    <w:pPr>
      <w:pBdr/>
      <w:spacing/>
      <w:ind/>
    </w:pPr>
    <w:rPr>
      <w:sz w:val="48"/>
      <w:szCs w:val="48"/>
    </w:rPr>
  </w:style>
  <w:style w:type="paragraph" w:styleId="36">
    <w:name w:val="Subtitle"/>
    <w:basedOn w:val="618"/>
    <w:next w:val="618"/>
    <w:link w:val="37"/>
    <w:uiPriority w:val="11"/>
    <w:qFormat/>
    <w:pPr>
      <w:pBdr/>
      <w:spacing w:after="200" w:before="200"/>
      <w:ind/>
    </w:pPr>
    <w:rPr>
      <w:sz w:val="24"/>
      <w:szCs w:val="24"/>
    </w:rPr>
  </w:style>
  <w:style w:type="character" w:styleId="37">
    <w:name w:val="Subtitle Char"/>
    <w:basedOn w:val="620"/>
    <w:link w:val="36"/>
    <w:uiPriority w:val="11"/>
    <w:pPr>
      <w:pBdr/>
      <w:spacing/>
      <w:ind/>
    </w:pPr>
    <w:rPr>
      <w:sz w:val="24"/>
      <w:szCs w:val="24"/>
    </w:rPr>
  </w:style>
  <w:style w:type="paragraph" w:styleId="38">
    <w:name w:val="Quote"/>
    <w:basedOn w:val="618"/>
    <w:next w:val="61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8"/>
    <w:next w:val="61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0"/>
    <w:link w:val="624"/>
    <w:uiPriority w:val="99"/>
    <w:pPr>
      <w:pBdr/>
      <w:spacing/>
      <w:ind/>
    </w:pPr>
  </w:style>
  <w:style w:type="character" w:styleId="45">
    <w:name w:val="Footer Char"/>
    <w:basedOn w:val="620"/>
    <w:link w:val="623"/>
    <w:uiPriority w:val="99"/>
    <w:pPr>
      <w:pBdr/>
      <w:spacing/>
      <w:ind/>
    </w:pPr>
  </w:style>
  <w:style w:type="paragraph" w:styleId="46">
    <w:name w:val="Caption"/>
    <w:basedOn w:val="618"/>
    <w:next w:val="618"/>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3"/>
    <w:uiPriority w:val="99"/>
    <w:pPr>
      <w:pBdr/>
      <w:spacing/>
      <w:ind/>
    </w:pPr>
  </w:style>
  <w:style w:type="table" w:styleId="49">
    <w:name w:val="Table Grid Light"/>
    <w:basedOn w:val="62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2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2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2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2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2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0"/>
    <w:uiPriority w:val="99"/>
    <w:unhideWhenUsed/>
    <w:pPr>
      <w:pBdr/>
      <w:spacing/>
      <w:ind/>
    </w:pPr>
    <w:rPr>
      <w:vertAlign w:val="superscript"/>
    </w:rPr>
  </w:style>
  <w:style w:type="paragraph" w:styleId="178">
    <w:name w:val="endnote text"/>
    <w:basedOn w:val="61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0"/>
    <w:uiPriority w:val="99"/>
    <w:semiHidden/>
    <w:unhideWhenUsed/>
    <w:pPr>
      <w:pBdr/>
      <w:spacing/>
      <w:ind/>
    </w:pPr>
    <w:rPr>
      <w:vertAlign w:val="superscript"/>
    </w:rPr>
  </w:style>
  <w:style w:type="paragraph" w:styleId="181">
    <w:name w:val="toc 1"/>
    <w:basedOn w:val="618"/>
    <w:next w:val="618"/>
    <w:uiPriority w:val="39"/>
    <w:unhideWhenUsed/>
    <w:pPr>
      <w:pBdr/>
      <w:spacing w:after="57"/>
      <w:ind w:right="0" w:firstLine="0" w:left="0"/>
    </w:pPr>
  </w:style>
  <w:style w:type="paragraph" w:styleId="182">
    <w:name w:val="toc 2"/>
    <w:basedOn w:val="618"/>
    <w:next w:val="618"/>
    <w:uiPriority w:val="39"/>
    <w:unhideWhenUsed/>
    <w:pPr>
      <w:pBdr/>
      <w:spacing w:after="57"/>
      <w:ind w:right="0" w:firstLine="0" w:left="283"/>
    </w:pPr>
  </w:style>
  <w:style w:type="paragraph" w:styleId="183">
    <w:name w:val="toc 3"/>
    <w:basedOn w:val="618"/>
    <w:next w:val="618"/>
    <w:uiPriority w:val="39"/>
    <w:unhideWhenUsed/>
    <w:pPr>
      <w:pBdr/>
      <w:spacing w:after="57"/>
      <w:ind w:right="0" w:firstLine="0" w:left="567"/>
    </w:pPr>
  </w:style>
  <w:style w:type="paragraph" w:styleId="184">
    <w:name w:val="toc 4"/>
    <w:basedOn w:val="618"/>
    <w:next w:val="618"/>
    <w:uiPriority w:val="39"/>
    <w:unhideWhenUsed/>
    <w:pPr>
      <w:pBdr/>
      <w:spacing w:after="57"/>
      <w:ind w:right="0" w:firstLine="0" w:left="850"/>
    </w:pPr>
  </w:style>
  <w:style w:type="paragraph" w:styleId="185">
    <w:name w:val="toc 5"/>
    <w:basedOn w:val="618"/>
    <w:next w:val="618"/>
    <w:uiPriority w:val="39"/>
    <w:unhideWhenUsed/>
    <w:pPr>
      <w:pBdr/>
      <w:spacing w:after="57"/>
      <w:ind w:right="0" w:firstLine="0" w:left="1134"/>
    </w:pPr>
  </w:style>
  <w:style w:type="paragraph" w:styleId="186">
    <w:name w:val="toc 6"/>
    <w:basedOn w:val="618"/>
    <w:next w:val="618"/>
    <w:uiPriority w:val="39"/>
    <w:unhideWhenUsed/>
    <w:pPr>
      <w:pBdr/>
      <w:spacing w:after="57"/>
      <w:ind w:right="0" w:firstLine="0" w:left="1417"/>
    </w:pPr>
  </w:style>
  <w:style w:type="paragraph" w:styleId="187">
    <w:name w:val="toc 7"/>
    <w:basedOn w:val="618"/>
    <w:next w:val="618"/>
    <w:uiPriority w:val="39"/>
    <w:unhideWhenUsed/>
    <w:pPr>
      <w:pBdr/>
      <w:spacing w:after="57"/>
      <w:ind w:right="0" w:firstLine="0" w:left="1701"/>
    </w:pPr>
  </w:style>
  <w:style w:type="paragraph" w:styleId="188">
    <w:name w:val="toc 8"/>
    <w:basedOn w:val="618"/>
    <w:next w:val="618"/>
    <w:uiPriority w:val="39"/>
    <w:unhideWhenUsed/>
    <w:pPr>
      <w:pBdr/>
      <w:spacing w:after="57"/>
      <w:ind w:right="0" w:firstLine="0" w:left="1984"/>
    </w:pPr>
  </w:style>
  <w:style w:type="paragraph" w:styleId="189">
    <w:name w:val="toc 9"/>
    <w:basedOn w:val="618"/>
    <w:next w:val="61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8"/>
    <w:next w:val="618"/>
    <w:uiPriority w:val="99"/>
    <w:unhideWhenUsed/>
    <w:pPr>
      <w:pBdr/>
      <w:spacing w:after="0" w:afterAutospacing="0"/>
      <w:ind/>
    </w:pPr>
  </w:style>
  <w:style w:type="paragraph" w:styleId="618" w:default="1">
    <w:name w:val="Normal"/>
    <w:uiPriority w:val="0"/>
    <w:qFormat/>
    <w:pPr>
      <w:widowControl w:val="false"/>
      <w:pBdr/>
      <w:spacing/>
      <w:ind/>
      <w:jc w:val="both"/>
    </w:pPr>
    <w:rPr>
      <w:rFonts w:asciiTheme="minorHAnsi" w:hAnsiTheme="minorHAnsi" w:eastAsiaTheme="minorEastAsia" w:cstheme="minorBidi"/>
      <w:sz w:val="21"/>
      <w:szCs w:val="24"/>
      <w:lang w:val="en-US" w:eastAsia="zh-CN" w:bidi="ar-SA"/>
    </w:rPr>
  </w:style>
  <w:style w:type="paragraph" w:styleId="619">
    <w:name w:val="Heading 1"/>
    <w:basedOn w:val="618"/>
    <w:next w:val="618"/>
    <w:uiPriority w:val="0"/>
    <w:qFormat/>
    <w:pPr>
      <w:pBdr/>
      <w:spacing/>
      <w:ind/>
      <w:jc w:val="center"/>
      <w:outlineLvl w:val="0"/>
    </w:pPr>
    <w:rPr>
      <w:rFonts w:ascii="方正小标宋简体" w:eastAsia="方正小标宋简体"/>
      <w:sz w:val="38"/>
    </w:rPr>
  </w:style>
  <w:style w:type="character" w:styleId="620" w:default="1">
    <w:name w:val="Default Paragraph Font"/>
    <w:uiPriority w:val="1"/>
    <w:semiHidden/>
    <w:unhideWhenUsed/>
    <w:qFormat/>
    <w:pPr>
      <w:pBdr/>
      <w:spacing/>
      <w:ind/>
    </w:pPr>
  </w:style>
  <w:style w:type="table" w:styleId="621"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2">
    <w:name w:val="Balloon Text"/>
    <w:basedOn w:val="618"/>
    <w:link w:val="627"/>
    <w:uiPriority w:val="0"/>
    <w:qFormat/>
    <w:pPr>
      <w:pBdr/>
      <w:spacing/>
      <w:ind/>
    </w:pPr>
    <w:rPr>
      <w:sz w:val="18"/>
      <w:szCs w:val="18"/>
    </w:rPr>
  </w:style>
  <w:style w:type="paragraph" w:styleId="623">
    <w:name w:val="Footer"/>
    <w:basedOn w:val="618"/>
    <w:uiPriority w:val="0"/>
    <w:qFormat/>
    <w:pPr>
      <w:pBdr/>
      <w:tabs>
        <w:tab w:val="center" w:leader="none" w:pos="4153"/>
        <w:tab w:val="right" w:leader="none" w:pos="8306"/>
      </w:tabs>
      <w:spacing/>
      <w:ind/>
      <w:jc w:val="left"/>
    </w:pPr>
    <w:rPr>
      <w:sz w:val="18"/>
      <w:szCs w:val="18"/>
    </w:rPr>
  </w:style>
  <w:style w:type="paragraph" w:styleId="624">
    <w:name w:val="Header"/>
    <w:basedOn w:val="618"/>
    <w:link w:val="628"/>
    <w:uiPriority w:val="0"/>
    <w:qFormat/>
    <w:pPr>
      <w:pBdr>
        <w:bottom w:val="single" w:color="000000" w:sz="6" w:space="1"/>
      </w:pBdr>
      <w:tabs>
        <w:tab w:val="center" w:leader="none" w:pos="4153"/>
        <w:tab w:val="right" w:leader="none" w:pos="8306"/>
      </w:tabs>
      <w:spacing/>
      <w:ind/>
      <w:jc w:val="center"/>
    </w:pPr>
    <w:rPr>
      <w:sz w:val="18"/>
      <w:szCs w:val="18"/>
    </w:rPr>
  </w:style>
  <w:style w:type="table" w:styleId="625">
    <w:name w:val="Table Grid"/>
    <w:basedOn w:val="621"/>
    <w:uiPriority w:val="0"/>
    <w:qFormat/>
    <w:pPr>
      <w:widowControl w:val="false"/>
      <w:pBdr/>
      <w:spacing/>
      <w:ind/>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26">
    <w:name w:val="page number"/>
    <w:basedOn w:val="620"/>
    <w:uiPriority w:val="0"/>
    <w:qFormat/>
    <w:pPr>
      <w:pBdr/>
      <w:spacing/>
      <w:ind/>
    </w:pPr>
  </w:style>
  <w:style w:type="character" w:styleId="627" w:customStyle="1">
    <w:name w:val="批注框文本 Char"/>
    <w:basedOn w:val="620"/>
    <w:link w:val="622"/>
    <w:uiPriority w:val="0"/>
    <w:qFormat/>
    <w:pPr>
      <w:pBdr/>
      <w:spacing/>
      <w:ind/>
    </w:pPr>
    <w:rPr>
      <w:rFonts w:asciiTheme="minorHAnsi" w:hAnsiTheme="minorHAnsi" w:eastAsiaTheme="minorEastAsia" w:cstheme="minorBidi"/>
      <w:sz w:val="18"/>
      <w:szCs w:val="18"/>
    </w:rPr>
  </w:style>
  <w:style w:type="character" w:styleId="628" w:customStyle="1">
    <w:name w:val="页眉 Char"/>
    <w:basedOn w:val="620"/>
    <w:link w:val="624"/>
    <w:uiPriority w:val="0"/>
    <w:qFormat/>
    <w:pPr>
      <w:pBdr/>
      <w:spacing/>
      <w:ind/>
    </w:pPr>
    <w:rPr>
      <w:rFonts w:asciiTheme="minorHAnsi" w:hAnsiTheme="minorHAnsi" w:eastAsiaTheme="minorEastAsia" w:cstheme="minorBidi"/>
      <w:sz w:val="18"/>
      <w:szCs w:val="18"/>
    </w:rPr>
  </w:style>
  <w:style w:type="numbering" w:styleId="1690"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MS</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匿名</cp:lastModifiedBy>
  <cp:revision>19</cp:revision>
  <dcterms:created xsi:type="dcterms:W3CDTF">2020-03-23T02:08:00Z</dcterms:created>
  <dcterms:modified xsi:type="dcterms:W3CDTF">2025-01-08T08:30:40Z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57F7F87F606242A4B8CE3C7779C8E9B9</vt:lpwstr>
  </property>
</Properties>
</file>