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adjustRightInd/>
        <w:snapToGrid/>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广东省</w:t>
      </w:r>
      <w:r>
        <w:rPr>
          <w:rFonts w:hint="eastAsia" w:ascii="方正小标宋简体" w:hAnsi="方正小标宋简体" w:eastAsia="方正小标宋简体" w:cs="方正小标宋简体"/>
          <w:color w:val="auto"/>
          <w:sz w:val="44"/>
          <w:szCs w:val="44"/>
          <w:highlight w:val="none"/>
          <w:lang w:val="en-US" w:eastAsia="zh-CN"/>
        </w:rPr>
        <w:t>摩托车头盔、电动自行头盔</w:t>
      </w:r>
      <w:r>
        <w:rPr>
          <w:rFonts w:hint="eastAsia" w:ascii="方正小标宋简体" w:hAnsi="方正小标宋简体" w:eastAsia="方正小标宋简体" w:cs="方正小标宋简体"/>
          <w:color w:val="auto"/>
          <w:sz w:val="44"/>
          <w:szCs w:val="44"/>
          <w:highlight w:val="none"/>
        </w:rPr>
        <w:t>产品</w:t>
      </w:r>
    </w:p>
    <w:p>
      <w:pPr>
        <w:bidi w:val="0"/>
        <w:adjustRightInd/>
        <w:snapToGrid/>
        <w:spacing w:line="560" w:lineRule="exact"/>
        <w:jc w:val="center"/>
        <w:rPr>
          <w:rFonts w:hint="eastAsia" w:ascii="方正小标宋简体" w:hAnsi="方正小标宋简体" w:eastAsia="方正小标宋简体" w:cs="方正小标宋简体"/>
          <w:color w:val="auto"/>
          <w:sz w:val="44"/>
          <w:szCs w:val="44"/>
          <w:highlight w:val="none"/>
        </w:rPr>
      </w:pPr>
      <w:bookmarkStart w:id="0" w:name="_GoBack"/>
      <w:bookmarkEnd w:id="0"/>
      <w:r>
        <w:rPr>
          <w:rFonts w:hint="eastAsia" w:ascii="方正小标宋简体" w:hAnsi="方正小标宋简体" w:eastAsia="方正小标宋简体" w:cs="方正小标宋简体"/>
          <w:color w:val="auto"/>
          <w:sz w:val="44"/>
          <w:szCs w:val="44"/>
          <w:highlight w:val="none"/>
        </w:rPr>
        <w:t>质量监督抽查实施细则</w:t>
      </w:r>
    </w:p>
    <w:p>
      <w:pPr>
        <w:bidi w:val="0"/>
        <w:adjustRightInd/>
        <w:snapToGrid/>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（2024年版）</w:t>
      </w:r>
    </w:p>
    <w:p>
      <w:pPr>
        <w:bidi w:val="0"/>
        <w:adjustRightInd/>
        <w:snapToGrid/>
        <w:spacing w:line="560" w:lineRule="exact"/>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抽样方法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随机数一般可使用随机数表等方法产生。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szCs w:val="21"/>
          <w:highlight w:val="none"/>
        </w:rPr>
      </w:pPr>
      <w:r>
        <w:rPr>
          <w:rFonts w:hint="default" w:ascii="Times New Roman" w:hAnsi="Times New Roman" w:eastAsia="仿宋_GB2312" w:cs="Times New Roman"/>
          <w:color w:val="000000"/>
          <w:sz w:val="32"/>
          <w:szCs w:val="32"/>
        </w:rPr>
        <w:t>每批次产品抽取样品4顶，其中2顶作为检验样品，2顶作为备用样品。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检验依据</w:t>
      </w:r>
    </w:p>
    <w:tbl>
      <w:tblPr>
        <w:tblStyle w:val="3"/>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8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序号</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检验项目</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w:t>
            </w:r>
          </w:p>
        </w:tc>
        <w:tc>
          <w:tcPr>
            <w:tcW w:w="709" w:type="dxa"/>
            <w:vMerge w:val="restart"/>
            <w:vAlign w:val="center"/>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结构</w:t>
            </w:r>
          </w:p>
        </w:tc>
        <w:tc>
          <w:tcPr>
            <w:tcW w:w="2835"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壳体</w:t>
            </w:r>
            <w:r>
              <w:rPr>
                <w:rFonts w:hint="default" w:ascii="Times New Roman" w:hAnsi="Times New Roman" w:cs="Times New Roman" w:eastAsiaTheme="minorEastAsia"/>
                <w:color w:val="000000"/>
                <w:szCs w:val="21"/>
                <w:vertAlign w:val="superscript"/>
              </w:rPr>
              <w:t>a</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bidi w:val="0"/>
              <w:adjustRightInd/>
              <w:snapToGrid/>
              <w:spacing w:line="560" w:lineRule="exact"/>
              <w:jc w:val="center"/>
              <w:rPr>
                <w:rFonts w:hint="default" w:ascii="Times New Roman" w:hAnsi="Times New Roman" w:cs="Times New Roman" w:eastAsiaTheme="minorEastAsia"/>
                <w:color w:val="000000"/>
                <w:szCs w:val="21"/>
              </w:rPr>
            </w:pPr>
          </w:p>
        </w:tc>
        <w:tc>
          <w:tcPr>
            <w:tcW w:w="709" w:type="dxa"/>
            <w:vMerge w:val="continue"/>
            <w:vAlign w:val="center"/>
          </w:tcPr>
          <w:p>
            <w:pPr>
              <w:bidi w:val="0"/>
              <w:adjustRightInd/>
              <w:snapToGrid/>
              <w:spacing w:line="560" w:lineRule="exact"/>
              <w:jc w:val="center"/>
              <w:rPr>
                <w:rFonts w:hint="default" w:ascii="Times New Roman" w:hAnsi="Times New Roman" w:cs="Times New Roman" w:eastAsiaTheme="minorEastAsia"/>
                <w:color w:val="000000"/>
                <w:szCs w:val="21"/>
              </w:rPr>
            </w:pPr>
          </w:p>
        </w:tc>
        <w:tc>
          <w:tcPr>
            <w:tcW w:w="2835"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缓冲层</w:t>
            </w:r>
            <w:r>
              <w:rPr>
                <w:rFonts w:hint="default" w:ascii="Times New Roman" w:hAnsi="Times New Roman" w:cs="Times New Roman" w:eastAsiaTheme="minorEastAsia"/>
                <w:color w:val="000000"/>
                <w:szCs w:val="21"/>
                <w:vertAlign w:val="superscript"/>
              </w:rPr>
              <w:t>b</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top"/>
          </w:tcPr>
          <w:p>
            <w:pPr>
              <w:bidi w:val="0"/>
              <w:adjustRightInd/>
              <w:snapToGrid/>
              <w:spacing w:line="560" w:lineRule="exact"/>
              <w:jc w:val="center"/>
              <w:rPr>
                <w:rFonts w:hint="default" w:ascii="Times New Roman" w:hAnsi="Times New Roman" w:cs="Times New Roman" w:eastAsiaTheme="minorEastAsia"/>
                <w:color w:val="000000"/>
                <w:szCs w:val="21"/>
              </w:rPr>
            </w:pPr>
          </w:p>
        </w:tc>
        <w:tc>
          <w:tcPr>
            <w:tcW w:w="709" w:type="dxa"/>
            <w:vMerge w:val="continue"/>
            <w:vAlign w:val="top"/>
          </w:tcPr>
          <w:p>
            <w:pPr>
              <w:bidi w:val="0"/>
              <w:adjustRightInd/>
              <w:snapToGrid/>
              <w:spacing w:line="560" w:lineRule="exact"/>
              <w:jc w:val="center"/>
              <w:rPr>
                <w:rFonts w:hint="default" w:ascii="Times New Roman" w:hAnsi="Times New Roman" w:cs="Times New Roman" w:eastAsiaTheme="minorEastAsia"/>
                <w:color w:val="000000"/>
                <w:szCs w:val="21"/>
              </w:rPr>
            </w:pPr>
          </w:p>
        </w:tc>
        <w:tc>
          <w:tcPr>
            <w:tcW w:w="2835"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佩戴装置</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视野</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3</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护目镜</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4</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表面摩擦力</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5</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固定装置稳定性</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6</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佩戴装置强度</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7</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吸收碰撞能量</w:t>
            </w:r>
            <w:r>
              <w:rPr>
                <w:rFonts w:hint="default" w:ascii="Times New Roman" w:hAnsi="Times New Roman" w:cs="Times New Roman" w:eastAsiaTheme="minorEastAsia"/>
                <w:color w:val="000000"/>
                <w:szCs w:val="21"/>
                <w:vertAlign w:val="superscript"/>
              </w:rPr>
              <w:t>c</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8</w:t>
            </w:r>
          </w:p>
        </w:tc>
        <w:tc>
          <w:tcPr>
            <w:tcW w:w="3544" w:type="dxa"/>
            <w:gridSpan w:val="2"/>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耐穿透</w:t>
            </w:r>
            <w:r>
              <w:rPr>
                <w:rFonts w:hint="default" w:ascii="Times New Roman" w:hAnsi="Times New Roman" w:cs="Times New Roman" w:eastAsiaTheme="minorEastAsia"/>
                <w:color w:val="000000"/>
                <w:szCs w:val="21"/>
                <w:vertAlign w:val="superscript"/>
              </w:rPr>
              <w:t>c</w:t>
            </w:r>
          </w:p>
        </w:tc>
        <w:tc>
          <w:tcPr>
            <w:tcW w:w="4536" w:type="dxa"/>
            <w:vAlign w:val="top"/>
          </w:tcPr>
          <w:p>
            <w:pPr>
              <w:bidi w:val="0"/>
              <w:adjustRightInd/>
              <w:snapToGrid/>
              <w:spacing w:line="56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GB 811</w:t>
            </w:r>
            <w:r>
              <w:rPr>
                <w:rFonts w:hint="default" w:ascii="Times New Roman" w:hAnsi="Times New Roman" w:cs="Times New Roman" w:eastAsiaTheme="minorEastAsia"/>
                <w:szCs w:val="21"/>
              </w:rPr>
              <w:t>—</w:t>
            </w:r>
            <w:r>
              <w:rPr>
                <w:rFonts w:hint="default" w:ascii="Times New Roman" w:hAnsi="Times New Roman" w:cs="Times New Roman" w:eastAsiaTheme="minorEastAsia"/>
                <w:color w:val="000000"/>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gridSpan w:val="4"/>
            <w:vAlign w:val="top"/>
          </w:tcPr>
          <w:p>
            <w:pPr>
              <w:bidi w:val="0"/>
              <w:adjustRightInd/>
              <w:snapToGrid/>
              <w:spacing w:line="560" w:lineRule="exac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注：a 壳体不测5.1.2.2.b），5.1.2.2.d）反光材料只测总面积和左、右、后三个方向可见；</w:t>
            </w:r>
          </w:p>
          <w:p>
            <w:pPr>
              <w:bidi w:val="0"/>
              <w:adjustRightInd/>
              <w:snapToGrid/>
              <w:spacing w:line="560" w:lineRule="exact"/>
              <w:ind w:firstLine="420" w:firstLineChars="20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b 缓冲层只测5.1.3 b）；</w:t>
            </w:r>
          </w:p>
          <w:p>
            <w:pPr>
              <w:bidi w:val="0"/>
              <w:adjustRightInd/>
              <w:snapToGrid/>
              <w:spacing w:line="560" w:lineRule="exact"/>
              <w:ind w:firstLine="420" w:firstLineChars="200"/>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c 环境前处理采用低温。</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Cs w:val="21"/>
          <w:highlight w:val="none"/>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判定规则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3.1依据标准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GB 811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2022 摩托车、电动自行车乘员头盔</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47" w:firstLineChars="171"/>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现行有效的企业标准、团体标准、地方标准及产品明示质量要求</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C4F4B"/>
    <w:rsid w:val="0A1C4F4B"/>
    <w:rsid w:val="134B0D57"/>
    <w:rsid w:val="15686A17"/>
    <w:rsid w:val="2AE66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eastAsia="宋体"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2024-12-06T02:05:00Z</dcterms:created>
  <dc:creator>盘思敏</dc:creator>
  <cp:lastModifiedBy>产品质量科lcf</cp:lastModifiedBy>
  <dcterms:modified xsi:type="dcterms:W3CDTF">2024-12-12T06:32:48Z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F85013669078469F8E9785868D53B721</vt:lpwstr>
  </property>
</Properties>
</file>